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19050</wp:posOffset>
            </wp:positionV>
            <wp:extent cx="704723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Given Lachlan P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461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315,151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315,151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816,759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will vest in whole or in part on September 30, 2026, with 80% being subject to the attainment of specified performance goals in addition to continued employment, and the remaining 20% being subject to continued employment only.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2023. However, no consideration was paid for the award other than services rendered and to be rendered by the Reporting Person.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Carrie Putnam,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2023-11-21T10:59:19Z</dcterms:created>
  <dcterms:modified xsi:type="dcterms:W3CDTF">2023-11-21T10:59:19Z</dcterms:modified>
</cp:coreProperties>
</file>