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210820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113665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620" w:right="260" w:hanging="585"/>
        <w:spacing w:after="0" w:line="262" w:lineRule="auto"/>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2013</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620" w:right="260" w:hanging="585"/>
        <w:spacing w:after="0" w:line="262"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297" w:lineRule="exact"/>
        <w:rPr>
          <w:sz w:val="24"/>
          <w:szCs w:val="24"/>
          <w:color w:val="auto"/>
        </w:rPr>
      </w:pPr>
    </w:p>
    <w:tbl>
      <w:tblPr>
        <w:tblLayout w:type="fixed"/>
        <w:tblInd w:w="1680" w:type="dxa"/>
        <w:tblCellMar>
          <w:top w:w="0" w:type="dxa"/>
          <w:left w:w="0" w:type="dxa"/>
          <w:bottom w:w="0" w:type="dxa"/>
          <w:right w:w="0" w:type="dxa"/>
        </w:tblCellMar>
      </w:tblPr>
      <w:tr>
        <w:trPr>
          <w:trHeight w:val="525"/>
        </w:trPr>
        <w:tc>
          <w:tcPr>
            <w:tcW w:w="6180" w:type="dxa"/>
            <w:vAlign w:val="bottom"/>
          </w:tcPr>
          <w:p>
            <w:pPr>
              <w:jc w:val="center"/>
              <w:ind w:left="1804"/>
              <w:spacing w:after="0"/>
              <w:rPr>
                <w:sz w:val="20"/>
                <w:szCs w:val="20"/>
                <w:color w:val="auto"/>
              </w:rPr>
            </w:pPr>
            <w:r>
              <w:rPr>
                <w:rFonts w:ascii="Times New Roman" w:cs="Times New Roman" w:eastAsia="Times New Roman" w:hAnsi="Times New Roman"/>
                <w:sz w:val="40"/>
                <w:szCs w:val="40"/>
                <w:b w:val="1"/>
                <w:bCs w:val="1"/>
                <w:color w:val="auto"/>
                <w:w w:val="97"/>
              </w:rPr>
              <w:t>EZCORP, INC.</w:t>
            </w:r>
          </w:p>
        </w:tc>
        <w:tc>
          <w:tcPr>
            <w:tcW w:w="1280" w:type="dxa"/>
            <w:vAlign w:val="bottom"/>
          </w:tcPr>
          <w:p>
            <w:pPr>
              <w:spacing w:after="0"/>
              <w:rPr>
                <w:sz w:val="24"/>
                <w:szCs w:val="24"/>
                <w:color w:val="auto"/>
              </w:rPr>
            </w:pPr>
          </w:p>
        </w:tc>
      </w:tr>
      <w:tr>
        <w:trPr>
          <w:trHeight w:val="366"/>
        </w:trPr>
        <w:tc>
          <w:tcPr>
            <w:tcW w:w="6180" w:type="dxa"/>
            <w:vAlign w:val="bottom"/>
          </w:tcPr>
          <w:p>
            <w:pPr>
              <w:jc w:val="center"/>
              <w:ind w:left="178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4"/>
                <w:szCs w:val="24"/>
                <w:color w:val="auto"/>
              </w:rPr>
            </w:pPr>
          </w:p>
        </w:tc>
      </w:tr>
      <w:tr>
        <w:trPr>
          <w:trHeight w:val="378"/>
        </w:trPr>
        <w:tc>
          <w:tcPr>
            <w:tcW w:w="6180" w:type="dxa"/>
            <w:vAlign w:val="bottom"/>
          </w:tcPr>
          <w:p>
            <w:pPr>
              <w:jc w:val="center"/>
              <w:ind w:right="37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6180" w:type="dxa"/>
            <w:vAlign w:val="bottom"/>
          </w:tcPr>
          <w:p>
            <w:pPr>
              <w:jc w:val="center"/>
              <w:ind w:right="372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6180" w:type="dxa"/>
            <w:vAlign w:val="bottom"/>
          </w:tcPr>
          <w:p>
            <w:pPr>
              <w:jc w:val="center"/>
              <w:ind w:right="3724"/>
              <w:spacing w:after="0"/>
              <w:rPr>
                <w:sz w:val="20"/>
                <w:szCs w:val="20"/>
                <w:color w:val="auto"/>
              </w:rPr>
            </w:pPr>
            <w:r>
              <w:rPr>
                <w:rFonts w:ascii="Times New Roman" w:cs="Times New Roman" w:eastAsia="Times New Roman" w:hAnsi="Times New Roman"/>
                <w:sz w:val="18"/>
                <w:szCs w:val="18"/>
                <w:b w:val="1"/>
                <w:bCs w:val="1"/>
                <w:color w:val="auto"/>
              </w:rPr>
              <w:t>1901 Capital Parkway</w:t>
            </w:r>
          </w:p>
        </w:tc>
        <w:tc>
          <w:tcPr>
            <w:tcW w:w="1280" w:type="dxa"/>
            <w:vAlign w:val="bottom"/>
          </w:tcPr>
          <w:p>
            <w:pPr>
              <w:spacing w:after="0"/>
              <w:rPr>
                <w:sz w:val="24"/>
                <w:szCs w:val="24"/>
                <w:color w:val="auto"/>
              </w:rPr>
            </w:pPr>
          </w:p>
        </w:tc>
      </w:tr>
      <w:tr>
        <w:trPr>
          <w:trHeight w:val="238"/>
        </w:trPr>
        <w:tc>
          <w:tcPr>
            <w:tcW w:w="6180" w:type="dxa"/>
            <w:vAlign w:val="bottom"/>
          </w:tcPr>
          <w:p>
            <w:pPr>
              <w:jc w:val="center"/>
              <w:ind w:right="3724"/>
              <w:spacing w:after="0"/>
              <w:rPr>
                <w:sz w:val="20"/>
                <w:szCs w:val="20"/>
                <w:color w:val="auto"/>
              </w:rPr>
            </w:pPr>
            <w:r>
              <w:rPr>
                <w:rFonts w:ascii="Times New Roman" w:cs="Times New Roman" w:eastAsia="Times New Roman" w:hAnsi="Times New Roman"/>
                <w:sz w:val="18"/>
                <w:szCs w:val="18"/>
                <w:b w:val="1"/>
                <w:bCs w:val="1"/>
                <w:color w:val="auto"/>
                <w:w w:val="98"/>
              </w:rPr>
              <w:t>Austin, Texas</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78746</w:t>
            </w:r>
          </w:p>
        </w:tc>
      </w:tr>
      <w:tr>
        <w:trPr>
          <w:trHeight w:val="220"/>
        </w:trPr>
        <w:tc>
          <w:tcPr>
            <w:tcW w:w="6180" w:type="dxa"/>
            <w:vAlign w:val="bottom"/>
          </w:tcPr>
          <w:p>
            <w:pPr>
              <w:jc w:val="center"/>
              <w:ind w:right="37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18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w w:val="99"/>
              </w:rPr>
              <w:t>(512) 314-3400</w:t>
            </w:r>
          </w:p>
        </w:tc>
        <w:tc>
          <w:tcPr>
            <w:tcW w:w="1280" w:type="dxa"/>
            <w:vAlign w:val="bottom"/>
          </w:tcPr>
          <w:p>
            <w:pPr>
              <w:spacing w:after="0"/>
              <w:rPr>
                <w:sz w:val="24"/>
                <w:szCs w:val="24"/>
                <w:color w:val="auto"/>
              </w:rPr>
            </w:pPr>
          </w:p>
        </w:tc>
      </w:tr>
    </w:tbl>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119380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Times New Roman" w:cs="Times New Roman" w:eastAsia="Times New Roman" w:hAnsi="Times New Roman"/>
          <w:sz w:val="16"/>
          <w:szCs w:val="16"/>
          <w:color w:val="auto"/>
        </w:rPr>
        <w:t>days.</w:t>
        <w:tab/>
        <w:t>Yes x</w:t>
        <w:tab/>
        <w:t xml:space="preserve">No </w:t>
      </w:r>
      <w:r>
        <w:rPr>
          <w:rFonts w:ascii="MS PGothic" w:cs="MS PGothic" w:eastAsia="MS PGothic" w:hAnsi="MS PGothic"/>
          <w:sz w:val="16"/>
          <w:szCs w:val="16"/>
          <w:color w:val="auto"/>
        </w:rPr>
        <w:t>☐</w:t>
      </w:r>
    </w:p>
    <w:p>
      <w:pPr>
        <w:spacing w:after="0" w:line="209"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4" w:lineRule="exact"/>
        <w:rPr>
          <w:sz w:val="24"/>
          <w:szCs w:val="24"/>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sectPr>
      </w:pPr>
    </w:p>
    <w:p>
      <w:pPr>
        <w:spacing w:after="0" w:line="1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940" w:space="720"/>
            <w:col w:w="3520" w:space="720"/>
            <w:col w:w="3380" w:space="720"/>
            <w:col w:w="380"/>
          </w:cols>
          <w:pgMar w:left="240" w:top="225" w:right="2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5"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1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APPLICABLE ONLY TO CORPORATE ISSUERS:</w:t>
      </w:r>
    </w:p>
    <w:p>
      <w:pPr>
        <w:spacing w:after="0" w:line="22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63"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As of December 31, 2013, 51,389,307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3"/>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1"/>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1"/>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2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PART I. FINANCIAL INFORMATION</w:t>
              </w:r>
            </w:hyperlink>
          </w:p>
        </w:tc>
        <w:tc>
          <w:tcPr>
            <w:tcW w:w="830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Borders>
              <w:bottom w:val="single" w:sz="8" w:color="0000EE"/>
            </w:tcBorders>
            <w:gridSpan w:val="13"/>
          </w:tcPr>
          <w:p>
            <w:pPr>
              <w:spacing w:after="0"/>
              <w:rPr>
                <w:rFonts w:ascii="Times New Roman" w:cs="Times New Roman" w:eastAsia="Times New Roman" w:hAnsi="Times New Roman"/>
                <w:sz w:val="18"/>
                <w:szCs w:val="18"/>
                <w:i w:val="1"/>
                <w:iCs w:val="1"/>
                <w:color w:val="0000EE"/>
                <w:w w:val="99"/>
              </w:rPr>
            </w:pPr>
            <w:hyperlink w:anchor="page3">
              <w:r>
                <w:rPr>
                  <w:rFonts w:ascii="Times New Roman" w:cs="Times New Roman" w:eastAsia="Times New Roman" w:hAnsi="Times New Roman"/>
                  <w:sz w:val="18"/>
                  <w:szCs w:val="18"/>
                  <w:i w:val="1"/>
                  <w:iCs w:val="1"/>
                  <w:color w:val="0000EE"/>
                  <w:w w:val="99"/>
                </w:rPr>
                <w:t>Item 1. Condensed Consolidated Financial Statements and Supplementary Data (Unaudited)</w:t>
              </w:r>
            </w:hyperlink>
          </w:p>
        </w:tc>
        <w:tc>
          <w:tcPr>
            <w:tcW w:w="41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December 31, 2013, December 31, 2012 and September 30, 2013</w:t>
              </w:r>
            </w:hyperlink>
          </w:p>
        </w:tc>
        <w:tc>
          <w:tcPr>
            <w:tcW w:w="24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0"/>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 xml:space="preserve">Condensed Consolidated Statements of Operations for the Three Months Ended December 31, 2013 and </w:t>
              </w:r>
            </w:hyperlink>
            <w:r>
              <w:rPr>
                <w:rFonts w:ascii="Times New Roman" w:cs="Times New Roman" w:eastAsia="Times New Roman" w:hAnsi="Times New Roman"/>
                <w:sz w:val="18"/>
                <w:szCs w:val="18"/>
                <w:color w:val="0000FF"/>
              </w:rPr>
              <w:t>2012</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0"/>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 xml:space="preserve">Condensed Consolidated Statements of Comprehensive Income for the Three Months Ended December 31, 2013 and </w:t>
              </w:r>
            </w:hyperlink>
            <w:r>
              <w:rPr>
                <w:rFonts w:ascii="Times New Roman" w:cs="Times New Roman" w:eastAsia="Times New Roman" w:hAnsi="Times New Roman"/>
                <w:sz w:val="18"/>
                <w:szCs w:val="18"/>
                <w:color w:val="0000FF"/>
              </w:rPr>
              <w:t>2012</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6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 xml:space="preserve">Condensed Consolidated Statements of Cash Flows for the Three Months Ended December 31, 2013 and </w:t>
              </w:r>
            </w:hyperlink>
            <w:r>
              <w:rPr>
                <w:rFonts w:ascii="Times New Roman" w:cs="Times New Roman" w:eastAsia="Times New Roman" w:hAnsi="Times New Roman"/>
                <w:sz w:val="18"/>
                <w:szCs w:val="18"/>
                <w:color w:val="0000FF"/>
                <w:w w:val="99"/>
              </w:rPr>
              <w:t>2012</w:t>
            </w:r>
          </w:p>
        </w:tc>
        <w:tc>
          <w:tcPr>
            <w:tcW w:w="860" w:type="dxa"/>
            <w:vAlign w:val="bottom"/>
            <w:tcBorders>
              <w:top w:val="single" w:sz="8" w:color="0000FF"/>
            </w:tcBorders>
            <w:gridSpan w:val="4"/>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Stockholders’ Equity for the Three Months Ended December 31, 2013 and 201</w:t>
              </w:r>
            </w:hyperlink>
            <w:r>
              <w:rPr>
                <w:rFonts w:ascii="Times New Roman" w:cs="Times New Roman" w:eastAsia="Times New Roman" w:hAnsi="Times New Roman"/>
                <w:sz w:val="18"/>
                <w:szCs w:val="18"/>
                <w:color w:val="0000FF"/>
              </w:rPr>
              <w:t>2</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Interim Condensed Consolidated Financial Statements</w:t>
              </w:r>
            </w:hyperlink>
          </w:p>
        </w:tc>
        <w:tc>
          <w:tcPr>
            <w:tcW w:w="3980" w:type="dxa"/>
            <w:vAlign w:val="bottom"/>
            <w:tcBorders>
              <w:top w:val="single" w:sz="8" w:color="0000EE"/>
            </w:tcBorders>
            <w:gridSpan w:val="6"/>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Times New Roman" w:cs="Times New Roman" w:eastAsia="Times New Roman" w:hAnsi="Times New Roman"/>
                <w:sz w:val="18"/>
                <w:szCs w:val="18"/>
                <w:i w:val="1"/>
                <w:iCs w:val="1"/>
                <w:color w:val="0000EE"/>
                <w:w w:val="99"/>
              </w:rPr>
            </w:pPr>
            <w:hyperlink w:anchor="page33">
              <w:r>
                <w:rPr>
                  <w:rFonts w:ascii="Times New Roman" w:cs="Times New Roman" w:eastAsia="Times New Roman" w:hAnsi="Times New Roman"/>
                  <w:sz w:val="18"/>
                  <w:szCs w:val="18"/>
                  <w:i w:val="1"/>
                  <w:iCs w:val="1"/>
                  <w:color w:val="0000EE"/>
                  <w:w w:val="99"/>
                </w:rPr>
                <w:t>Item 2. Management’s Discussion and Analysis of Financial Condition and Results of Operations</w:t>
              </w:r>
            </w:hyperlink>
          </w:p>
        </w:tc>
        <w:tc>
          <w:tcPr>
            <w:tcW w:w="38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Times New Roman" w:cs="Times New Roman" w:eastAsia="Times New Roman" w:hAnsi="Times New Roman"/>
                <w:sz w:val="18"/>
                <w:szCs w:val="18"/>
                <w:i w:val="1"/>
                <w:iCs w:val="1"/>
                <w:color w:val="0000EE"/>
              </w:rPr>
            </w:pPr>
            <w:hyperlink w:anchor="page49">
              <w:r>
                <w:rPr>
                  <w:rFonts w:ascii="Times New Roman" w:cs="Times New Roman" w:eastAsia="Times New Roman" w:hAnsi="Times New Roman"/>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i w:val="1"/>
                <w:iCs w:val="1"/>
                <w:color w:val="0000EE"/>
                <w:w w:val="98"/>
              </w:rPr>
            </w:pPr>
            <w:hyperlink w:anchor="page49">
              <w:r>
                <w:rPr>
                  <w:rFonts w:ascii="Times New Roman" w:cs="Times New Roman" w:eastAsia="Times New Roman" w:hAnsi="Times New Roman"/>
                  <w:sz w:val="18"/>
                  <w:szCs w:val="18"/>
                  <w:i w:val="1"/>
                  <w:iCs w:val="1"/>
                  <w:color w:val="0000EE"/>
                  <w:w w:val="98"/>
                </w:rPr>
                <w:t>Item 4. Controls and Procedures</w:t>
              </w:r>
            </w:hyperlink>
          </w:p>
        </w:tc>
        <w:tc>
          <w:tcPr>
            <w:tcW w:w="2520" w:type="dxa"/>
            <w:vAlign w:val="bottom"/>
            <w:tcBorders>
              <w:top w:val="single" w:sz="8" w:color="0000EE"/>
            </w:tcBorders>
            <w:gridSpan w:val="2"/>
          </w:tcPr>
          <w:p>
            <w:pPr>
              <w:spacing w:after="0"/>
              <w:rPr>
                <w:sz w:val="24"/>
                <w:szCs w:val="24"/>
                <w:color w:val="auto"/>
              </w:rPr>
            </w:pPr>
          </w:p>
        </w:tc>
        <w:tc>
          <w:tcPr>
            <w:tcW w:w="596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45</w:t>
              </w:r>
            </w:hyperlink>
          </w:p>
        </w:tc>
      </w:tr>
      <w:tr>
        <w:trPr>
          <w:trHeight w:val="372"/>
        </w:trPr>
        <w:tc>
          <w:tcPr>
            <w:tcW w:w="40" w:type="dxa"/>
            <w:vAlign w:val="bottom"/>
          </w:tcPr>
          <w:p>
            <w:pPr>
              <w:spacing w:after="0"/>
              <w:rPr>
                <w:sz w:val="24"/>
                <w:szCs w:val="24"/>
                <w:color w:val="auto"/>
              </w:rPr>
            </w:pPr>
          </w:p>
        </w:tc>
        <w:tc>
          <w:tcPr>
            <w:tcW w:w="11180" w:type="dxa"/>
            <w:vAlign w:val="bottom"/>
            <w:gridSpan w:val="22"/>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PART II.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i w:val="1"/>
                <w:iCs w:val="1"/>
                <w:color w:val="0000EE"/>
                <w:w w:val="98"/>
              </w:rPr>
            </w:pPr>
            <w:hyperlink w:anchor="page50">
              <w:r>
                <w:rPr>
                  <w:rFonts w:ascii="Times New Roman" w:cs="Times New Roman" w:eastAsia="Times New Roman" w:hAnsi="Times New Roman"/>
                  <w:sz w:val="18"/>
                  <w:szCs w:val="18"/>
                  <w:i w:val="1"/>
                  <w:iCs w:val="1"/>
                  <w:color w:val="0000EE"/>
                  <w:w w:val="98"/>
                </w:rPr>
                <w:t>Item 1. Legal Proceedings</w:t>
              </w:r>
            </w:hyperlink>
          </w:p>
        </w:tc>
        <w:tc>
          <w:tcPr>
            <w:tcW w:w="320" w:type="dxa"/>
            <w:vAlign w:val="bottom"/>
            <w:tcBorders>
              <w:top w:val="single" w:sz="8" w:color="0000EE"/>
            </w:tcBorders>
          </w:tcPr>
          <w:p>
            <w:pPr>
              <w:spacing w:after="0"/>
              <w:rPr>
                <w:sz w:val="24"/>
                <w:szCs w:val="24"/>
                <w:color w:val="auto"/>
              </w:rPr>
            </w:pPr>
          </w:p>
        </w:tc>
        <w:tc>
          <w:tcPr>
            <w:tcW w:w="862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Times New Roman" w:cs="Times New Roman" w:eastAsia="Times New Roman" w:hAnsi="Times New Roman"/>
                <w:sz w:val="18"/>
                <w:szCs w:val="18"/>
                <w:i w:val="1"/>
                <w:iCs w:val="1"/>
                <w:color w:val="0000EE"/>
                <w:w w:val="99"/>
              </w:rPr>
            </w:pPr>
            <w:hyperlink w:anchor="page50">
              <w:r>
                <w:rPr>
                  <w:rFonts w:ascii="Times New Roman" w:cs="Times New Roman" w:eastAsia="Times New Roman" w:hAnsi="Times New Roman"/>
                  <w:sz w:val="18"/>
                  <w:szCs w:val="18"/>
                  <w:i w:val="1"/>
                  <w:iCs w:val="1"/>
                  <w:color w:val="0000EE"/>
                  <w:w w:val="99"/>
                </w:rPr>
                <w:t>Item 1A. Risk Factors</w:t>
              </w:r>
            </w:hyperlink>
          </w:p>
        </w:tc>
        <w:tc>
          <w:tcPr>
            <w:tcW w:w="926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Times New Roman" w:cs="Times New Roman" w:eastAsia="Times New Roman" w:hAnsi="Times New Roman"/>
                <w:sz w:val="18"/>
                <w:szCs w:val="18"/>
                <w:i w:val="1"/>
                <w:iCs w:val="1"/>
                <w:color w:val="0000EE"/>
              </w:rPr>
            </w:pPr>
            <w:hyperlink w:anchor="page50">
              <w:r>
                <w:rPr>
                  <w:rFonts w:ascii="Times New Roman" w:cs="Times New Roman" w:eastAsia="Times New Roman" w:hAnsi="Times New Roman"/>
                  <w:sz w:val="18"/>
                  <w:szCs w:val="18"/>
                  <w:i w:val="1"/>
                  <w:iCs w:val="1"/>
                  <w:color w:val="0000EE"/>
                </w:rPr>
                <w:t>Item 6. 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SIGNATURES</w:t>
              </w:r>
            </w:hyperlink>
          </w:p>
        </w:tc>
        <w:tc>
          <w:tcPr>
            <w:tcW w:w="1008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48</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EXHIBIT INDEX</w:t>
              </w:r>
            </w:hyperlink>
          </w:p>
        </w:tc>
        <w:tc>
          <w:tcPr>
            <w:tcW w:w="986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49</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and Supplementary Data (unaudited)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191"/>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46,668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36,317</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3,312</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loans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153,421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162,150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156,637</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loans, net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64,515</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Pawn service charges receivable, net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30,362</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34,073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36,588</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Inventory, net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142,711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120,271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145,200</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13,825</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Income tax receivable</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16,105</w:t>
            </w:r>
          </w:p>
        </w:tc>
        <w:tc>
          <w:tcPr>
            <w:tcW w:w="0" w:type="dxa"/>
            <w:vAlign w:val="bottom"/>
          </w:tcPr>
          <w:p>
            <w:pPr>
              <w:spacing w:after="0"/>
              <w:rPr>
                <w:sz w:val="1"/>
                <w:szCs w:val="1"/>
                <w:color w:val="auto"/>
              </w:rPr>
            </w:pPr>
          </w:p>
        </w:tc>
      </w:tr>
      <w:tr>
        <w:trPr>
          <w:trHeight w:val="265"/>
        </w:trPr>
        <w:tc>
          <w:tcPr>
            <w:tcW w:w="77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42,895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50,394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34,217</w:t>
            </w:r>
          </w:p>
        </w:tc>
        <w:tc>
          <w:tcPr>
            <w:tcW w:w="0" w:type="dxa"/>
            <w:vAlign w:val="bottom"/>
          </w:tcPr>
          <w:p>
            <w:pPr>
              <w:spacing w:after="0"/>
              <w:rPr>
                <w:sz w:val="1"/>
                <w:szCs w:val="1"/>
                <w:color w:val="auto"/>
              </w:rPr>
            </w:pPr>
          </w:p>
        </w:tc>
      </w:tr>
      <w:tr>
        <w:trPr>
          <w:trHeight w:val="255"/>
        </w:trPr>
        <w:tc>
          <w:tcPr>
            <w:tcW w:w="77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556,455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501,952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537,078</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97,424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144,232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97,085</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114,539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114,082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116,281</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434,835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434,671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433,300</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65,178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61,872</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Non-current consumer loans, net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60,750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69,991</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8,214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19,198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24,105</w:t>
            </w:r>
          </w:p>
        </w:tc>
        <w:tc>
          <w:tcPr>
            <w:tcW w:w="0" w:type="dxa"/>
            <w:vAlign w:val="bottom"/>
          </w:tcPr>
          <w:p>
            <w:pPr>
              <w:spacing w:after="0"/>
              <w:rPr>
                <w:sz w:val="1"/>
                <w:szCs w:val="1"/>
                <w:color w:val="auto"/>
              </w:rPr>
            </w:pPr>
          </w:p>
        </w:tc>
      </w:tr>
      <w:tr>
        <w:trPr>
          <w:trHeight w:val="282"/>
        </w:trPr>
        <w:tc>
          <w:tcPr>
            <w:tcW w:w="778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4"/>
                <w:szCs w:val="14"/>
                <w:color w:val="auto"/>
              </w:rPr>
              <w:t>Total assets (1)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1,369,129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1,342,306</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1,350,082</w:t>
            </w:r>
          </w:p>
        </w:tc>
        <w:tc>
          <w:tcPr>
            <w:tcW w:w="0" w:type="dxa"/>
            <w:vAlign w:val="bottom"/>
          </w:tcPr>
          <w:p>
            <w:pPr>
              <w:spacing w:after="0"/>
              <w:rPr>
                <w:sz w:val="1"/>
                <w:szCs w:val="1"/>
                <w:color w:val="auto"/>
              </w:rPr>
            </w:pPr>
          </w:p>
        </w:tc>
      </w:tr>
      <w:tr>
        <w:trPr>
          <w:trHeight w:val="156"/>
        </w:trPr>
        <w:tc>
          <w:tcPr>
            <w:tcW w:w="7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16,737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27,562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30,436</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Current capital lease obligations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77,619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70,829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79,967</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24,396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22,337</w:t>
            </w: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8,628</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7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111,777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130,233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141,901</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207,978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215,939</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capital lease obligations</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22,938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31,019</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21,932</w:t>
            </w:r>
          </w:p>
        </w:tc>
        <w:tc>
          <w:tcPr>
            <w:tcW w:w="0" w:type="dxa"/>
            <w:vAlign w:val="bottom"/>
          </w:tcPr>
          <w:p>
            <w:pPr>
              <w:spacing w:after="0"/>
              <w:rPr>
                <w:sz w:val="1"/>
                <w:szCs w:val="1"/>
                <w:color w:val="auto"/>
              </w:rPr>
            </w:pPr>
          </w:p>
        </w:tc>
      </w:tr>
      <w:tr>
        <w:trPr>
          <w:trHeight w:val="255"/>
        </w:trPr>
        <w:tc>
          <w:tcPr>
            <w:tcW w:w="77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liabilities (2)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370,257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380,816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380,163</w:t>
            </w:r>
          </w:p>
        </w:tc>
        <w:tc>
          <w:tcPr>
            <w:tcW w:w="0" w:type="dxa"/>
            <w:vAlign w:val="bottom"/>
          </w:tcPr>
          <w:p>
            <w:pPr>
              <w:spacing w:after="0"/>
              <w:rPr>
                <w:sz w:val="1"/>
                <w:szCs w:val="1"/>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Temporary equity:</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49,323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55,393</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Class A Non-voting Common Stock, par value $.01 per share; 56 million shares authorized; issued and outstanding:</w:t>
            </w:r>
          </w:p>
        </w:tc>
        <w:tc>
          <w:tcPr>
            <w:tcW w:w="12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3"/>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51,389,307 and 51,196,870 at December 31, 2013 and 2012; and 51,269,434 at September 30, 2013</w:t>
            </w: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780" w:type="dxa"/>
            <w:vAlign w:val="bottom"/>
            <w:shd w:val="clear" w:color="auto" w:fill="CCEEFF"/>
          </w:tcPr>
          <w:p>
            <w:pPr>
              <w:ind w:left="600"/>
              <w:spacing w:after="0" w:line="158" w:lineRule="exact"/>
              <w:rPr>
                <w:sz w:val="20"/>
                <w:szCs w:val="20"/>
                <w:color w:val="auto"/>
              </w:rPr>
            </w:pPr>
            <w:r>
              <w:rPr>
                <w:rFonts w:ascii="Times New Roman" w:cs="Times New Roman" w:eastAsia="Times New Roman" w:hAnsi="Times New Roman"/>
                <w:sz w:val="14"/>
                <w:szCs w:val="14"/>
                <w:color w:val="auto"/>
              </w:rPr>
              <w:t>Class B Voting Common Stock, convertible, par value $.01 per share; 3 million shares authorized; issued and outstanding:</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2,970,171</w:t>
            </w: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321,623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313,126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320,777</w:t>
            </w:r>
          </w:p>
        </w:tc>
        <w:tc>
          <w:tcPr>
            <w:tcW w:w="0" w:type="dxa"/>
            <w:vAlign w:val="bottom"/>
          </w:tcPr>
          <w:p>
            <w:pPr>
              <w:spacing w:after="0"/>
              <w:rPr>
                <w:sz w:val="1"/>
                <w:szCs w:val="1"/>
                <w:color w:val="auto"/>
              </w:rPr>
            </w:pPr>
          </w:p>
        </w:tc>
      </w:tr>
      <w:tr>
        <w:trPr>
          <w:trHeight w:val="275"/>
        </w:trPr>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622,449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596,520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599,880</w:t>
            </w:r>
          </w:p>
        </w:tc>
        <w:tc>
          <w:tcPr>
            <w:tcW w:w="0" w:type="dxa"/>
            <w:vAlign w:val="bottom"/>
          </w:tcPr>
          <w:p>
            <w:pPr>
              <w:spacing w:after="0"/>
              <w:rPr>
                <w:sz w:val="1"/>
                <w:szCs w:val="1"/>
                <w:color w:val="auto"/>
              </w:rPr>
            </w:pPr>
          </w:p>
        </w:tc>
      </w:tr>
      <w:tr>
        <w:trPr>
          <w:trHeight w:val="265"/>
        </w:trPr>
        <w:tc>
          <w:tcPr>
            <w:tcW w:w="77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(6,674)</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EZCORP, Inc. stockholders’ equity</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941,294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912,167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914,526</w:t>
            </w:r>
          </w:p>
        </w:tc>
        <w:tc>
          <w:tcPr>
            <w:tcW w:w="0" w:type="dxa"/>
            <w:vAlign w:val="bottom"/>
          </w:tcPr>
          <w:p>
            <w:pPr>
              <w:spacing w:after="0"/>
              <w:rPr>
                <w:sz w:val="1"/>
                <w:szCs w:val="1"/>
                <w:color w:val="auto"/>
              </w:rPr>
            </w:pPr>
          </w:p>
        </w:tc>
      </w:tr>
      <w:tr>
        <w:trPr>
          <w:trHeight w:val="242"/>
        </w:trPr>
        <w:tc>
          <w:tcPr>
            <w:tcW w:w="77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1,369,129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1,342,306</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1,350,082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Assets and Liabilities of Grupo Finmart Securitization Trust</w:t>
      </w:r>
    </w:p>
    <w:p>
      <w:pPr>
        <w:spacing w:after="0" w:line="17" w:lineRule="exact"/>
        <w:rPr>
          <w:sz w:val="20"/>
          <w:szCs w:val="20"/>
          <w:color w:val="auto"/>
        </w:rPr>
      </w:pPr>
    </w:p>
    <w:p>
      <w:pPr>
        <w:ind w:right="80" w:firstLine="8"/>
        <w:spacing w:after="0" w:line="295" w:lineRule="auto"/>
        <w:tabs>
          <w:tab w:leader="none" w:pos="191"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consolidated assets as of December 31, 2013, December 31, 2012 and September 30, 2013 include the following assets of Grupo Finmart's securitization trust that can only be used to settle its liabilities: Restricted cash, non-current, $2.7 million and $2.0 million as of December 31, 2013 and December 31, 2012, respectively, and $2.2 million as of September 30, 2013; Consumer loans, net, $34.1 million and $35.1 million as of December 31, 2013 and December 31, 2012, respectively, and $33.9 million as of September 30, 2013; Consumer loan fees and interest receivable, net, $7.1 million and $8.5 million as of December 31, 2013 and December 31, 2012, respectively, and $7.3 million as of September 30, 2013; Intangible assets, net, $2.0 million and $3.1 million as of December 31, 2013 and December 31, 2012,</w:t>
      </w:r>
    </w:p>
    <w:p>
      <w:pPr>
        <w:sectPr>
          <w:pgSz w:w="11900" w:h="16838" w:orient="portrait"/>
          <w:cols w:equalWidth="0" w:num="1">
            <w:col w:w="11420"/>
          </w:cols>
          <w:pgMar w:left="240" w:top="118" w:right="239" w:bottom="0" w:gutter="0" w:footer="0" w:header="0"/>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14"/>
          <w:szCs w:val="14"/>
          <w:color w:val="auto"/>
        </w:rPr>
        <w:t>respectively, and $2.1 million as of September 30, 2013; and total assets, $45.9 million and $48.7 million as of December 31, 2013 and December 31, 2012, respectively, and $45.5 million as of September 30, 2013.</w:t>
      </w:r>
    </w:p>
    <w:p>
      <w:pPr>
        <w:spacing w:after="0" w:line="1" w:lineRule="exact"/>
        <w:rPr>
          <w:sz w:val="20"/>
          <w:szCs w:val="20"/>
          <w:color w:val="auto"/>
        </w:rPr>
      </w:pPr>
    </w:p>
    <w:p>
      <w:pPr>
        <w:ind w:right="220" w:firstLine="8"/>
        <w:spacing w:after="0" w:line="220" w:lineRule="auto"/>
        <w:tabs>
          <w:tab w:leader="none" w:pos="19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liabilities as of December 31, 2013, December 31, 2012 and September 30, 2013 include $32.1 million, $32.3 million, and $32.0 million, respectively, of long-term debt for which the creditors of Grupo Finmart's securitization trust do not have recourse to EZCORP,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interim condensed consolidated financial statements.</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127" w:right="4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5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49"/>
        </w:trPr>
        <w:tc>
          <w:tcPr>
            <w:tcW w:w="9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 except per share</w:t>
            </w:r>
          </w:p>
        </w:tc>
      </w:tr>
      <w:tr>
        <w:trPr>
          <w:trHeight w:val="195"/>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720" w:type="dxa"/>
            <w:vAlign w:val="bottom"/>
          </w:tcPr>
          <w:p>
            <w:pPr>
              <w:spacing w:after="0"/>
              <w:rPr>
                <w:sz w:val="16"/>
                <w:szCs w:val="16"/>
                <w:color w:val="auto"/>
              </w:rPr>
            </w:pPr>
          </w:p>
        </w:tc>
      </w:tr>
      <w:tr>
        <w:trPr>
          <w:trHeight w:val="27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9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105,587</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94,604</w:t>
            </w:r>
          </w:p>
        </w:tc>
      </w:tr>
      <w:tr>
        <w:trPr>
          <w:trHeight w:val="275"/>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Jewelry scrapping sales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44,709</w:t>
            </w:r>
          </w:p>
        </w:tc>
      </w:tr>
      <w:tr>
        <w:trPr>
          <w:trHeight w:val="265"/>
        </w:trPr>
        <w:tc>
          <w:tcPr>
            <w:tcW w:w="9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Pawn service charges</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64,133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65,400</w:t>
            </w:r>
          </w:p>
        </w:tc>
      </w:tr>
      <w:tr>
        <w:trPr>
          <w:trHeight w:val="275"/>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loan fees and interest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66,329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63,134</w:t>
            </w:r>
          </w:p>
        </w:tc>
      </w:tr>
      <w:tr>
        <w:trPr>
          <w:trHeight w:val="265"/>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4,814</w:t>
            </w:r>
          </w:p>
        </w:tc>
      </w:tr>
      <w:tr>
        <w:trPr>
          <w:trHeight w:val="255"/>
        </w:trPr>
        <w:tc>
          <w:tcPr>
            <w:tcW w:w="9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269,357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272,661</w:t>
            </w:r>
          </w:p>
        </w:tc>
      </w:tr>
      <w:tr>
        <w:trPr>
          <w:trHeight w:val="26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Merchandise cost of goods sold</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63,588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54,945</w:t>
            </w:r>
          </w:p>
        </w:tc>
      </w:tr>
      <w:tr>
        <w:trPr>
          <w:trHeight w:val="27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Jewelry scrapping cost of goods sold</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31,305</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Consumer loan bad debt</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18,432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13,521</w:t>
            </w:r>
          </w:p>
        </w:tc>
      </w:tr>
      <w:tr>
        <w:trPr>
          <w:trHeight w:val="255"/>
        </w:trPr>
        <w:tc>
          <w:tcPr>
            <w:tcW w:w="9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revenues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167,317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172,890</w:t>
            </w:r>
          </w:p>
        </w:tc>
      </w:tr>
      <w:tr>
        <w:trPr>
          <w:trHeight w:val="26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9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112,769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103,285</w:t>
            </w:r>
          </w:p>
        </w:tc>
      </w:tr>
      <w:tr>
        <w:trPr>
          <w:trHeight w:val="265"/>
        </w:trPr>
        <w:tc>
          <w:tcPr>
            <w:tcW w:w="9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Administrative</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13,671</w:t>
            </w:r>
          </w:p>
        </w:tc>
      </w:tr>
      <w:tr>
        <w:trPr>
          <w:trHeight w:val="275"/>
        </w:trPr>
        <w:tc>
          <w:tcPr>
            <w:tcW w:w="9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6,560</w:t>
            </w:r>
          </w:p>
        </w:tc>
      </w:tr>
      <w:tr>
        <w:trPr>
          <w:trHeight w:val="265"/>
        </w:trPr>
        <w:tc>
          <w:tcPr>
            <w:tcW w:w="9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714</w:t>
            </w:r>
          </w:p>
        </w:tc>
      </w:tr>
      <w:tr>
        <w:trPr>
          <w:trHeight w:val="270"/>
        </w:trPr>
        <w:tc>
          <w:tcPr>
            <w:tcW w:w="9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(Gain) loss on sale or disposal of assets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50"/>
        </w:trPr>
        <w:tc>
          <w:tcPr>
            <w:tcW w:w="926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131,630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124,259</w:t>
            </w:r>
          </w:p>
        </w:tc>
      </w:tr>
      <w:tr>
        <w:trPr>
          <w:trHeight w:val="25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35,687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48,631</w:t>
            </w:r>
          </w:p>
        </w:tc>
      </w:tr>
      <w:tr>
        <w:trPr>
          <w:trHeight w:val="26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3,637</w:t>
            </w:r>
          </w:p>
        </w:tc>
      </w:tr>
      <w:tr>
        <w:trPr>
          <w:trHeight w:val="27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net income of unconsolidated affiliates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5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50,533</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16,672</w:t>
            </w:r>
          </w:p>
        </w:tc>
      </w:tr>
      <w:tr>
        <w:trPr>
          <w:trHeight w:val="25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net of tax</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33,861</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255"/>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32,155</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redeemable noncontrolling interest</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r>
      <w:tr>
        <w:trPr>
          <w:trHeight w:val="242"/>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0"/>
        </w:trPr>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 attributable to EZCORP, Inc.:</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9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r>
      <w:tr>
        <w:trPr>
          <w:trHeight w:val="270"/>
        </w:trPr>
        <w:tc>
          <w:tcPr>
            <w:tcW w:w="9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82"/>
        </w:trPr>
        <w:tc>
          <w:tcPr>
            <w:tcW w:w="9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0.59</w:t>
            </w:r>
          </w:p>
        </w:tc>
      </w:tr>
      <w:tr>
        <w:trPr>
          <w:trHeight w:val="170"/>
        </w:trPr>
        <w:tc>
          <w:tcPr>
            <w:tcW w:w="9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6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 attributable to EZCORP, Inc.:</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9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r>
      <w:tr>
        <w:trPr>
          <w:trHeight w:val="265"/>
        </w:trPr>
        <w:tc>
          <w:tcPr>
            <w:tcW w:w="9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42"/>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0.59</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0"/>
        </w:trPr>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9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52,049</w:t>
            </w:r>
          </w:p>
        </w:tc>
      </w:tr>
      <w:tr>
        <w:trPr>
          <w:trHeight w:val="275"/>
        </w:trPr>
        <w:tc>
          <w:tcPr>
            <w:tcW w:w="9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54,362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52,112</w:t>
            </w:r>
          </w:p>
        </w:tc>
      </w:tr>
      <w:tr>
        <w:trPr>
          <w:trHeight w:val="189"/>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EZCORP,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32,423</w:t>
            </w:r>
          </w:p>
        </w:tc>
      </w:tr>
      <w:tr>
        <w:trPr>
          <w:trHeight w:val="26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attributable to EZCORP, Inc.</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242"/>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ectPr>
          <w:pgSz w:w="11900" w:h="16838" w:orient="portrait"/>
          <w:cols w:equalWidth="0" w:num="1">
            <w:col w:w="11420"/>
          </w:cols>
          <w:pgMar w:left="240" w:top="118" w:right="239" w:bottom="846"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846"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8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17"/>
                <w:szCs w:val="17"/>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24,395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32,155</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3,468</w:t>
            </w:r>
          </w:p>
        </w:tc>
      </w:tr>
      <w:tr>
        <w:trPr>
          <w:trHeight w:val="265"/>
        </w:trPr>
        <w:tc>
          <w:tcPr>
            <w:tcW w:w="8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(loss) on effective portion of cash flow hedge:</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8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comprehensive loss before reclassifications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Unrealized holding loss arising during period</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65"/>
        </w:trPr>
        <w:tc>
          <w:tcPr>
            <w:tcW w:w="8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25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1,445</w:t>
            </w:r>
          </w:p>
        </w:tc>
      </w:tr>
      <w:tr>
        <w:trPr>
          <w:trHeight w:val="282"/>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28,107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33,600</w:t>
            </w:r>
          </w:p>
        </w:tc>
      </w:tr>
      <w:tr>
        <w:trPr>
          <w:trHeight w:val="251"/>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Attributable to redeemable noncontrolling interest: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65"/>
        </w:trPr>
        <w:tc>
          <w:tcPr>
            <w:tcW w:w="8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r>
      <w:tr>
        <w:trPr>
          <w:trHeight w:val="270"/>
        </w:trPr>
        <w:tc>
          <w:tcPr>
            <w:tcW w:w="8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787</w:t>
            </w: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EZCORP,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32,813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line="62"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7"/>
                <w:szCs w:val="17"/>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24,395</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32,155</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9,363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7,652</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Consumer loan loss provision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11,350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7,990</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2,214</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(Gain) loss on sale or disposal of assets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Gain on sale of loan portfolio</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Stock compensation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Income from investments in unconsolidated affiliates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 net of business acquisitions: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Service charges and fees receivable, net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Inventory, net</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(11,908)</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Prepaid expenses, other current assets, and other assets, net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(17,727)</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9,323</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r>
      <w:tr>
        <w:trPr>
          <w:trHeight w:val="27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Tax provision (benefit) from stock compensation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65"/>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Income taxes receivable/payable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8,472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9,830</w:t>
            </w:r>
          </w:p>
        </w:tc>
      </w:tr>
      <w:tr>
        <w:trPr>
          <w:trHeight w:val="27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1,595</w:t>
            </w:r>
          </w:p>
        </w:tc>
      </w:tr>
      <w:tr>
        <w:trPr>
          <w:trHeight w:val="250"/>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30,508</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Loans made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(232,294)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(231,067)</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repaid</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150,206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142,250</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Recovery of pawn loan principal through sale of forfeited collateral</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64,776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73,264</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(11,018)</w:t>
            </w:r>
          </w:p>
        </w:tc>
      </w:tr>
      <w:tr>
        <w:trPr>
          <w:trHeight w:val="265"/>
        </w:trPr>
        <w:tc>
          <w:tcPr>
            <w:tcW w:w="85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28,980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(47,755)</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 provision (benefit) from stock compensation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Payout of deferred and contingent consideration</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2,298</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revolving line of credit</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80,125</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on revolving line of credit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(74,908)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(61,852)</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bank borrowings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1,159</w:t>
            </w:r>
          </w:p>
        </w:tc>
      </w:tr>
      <w:tr>
        <w:trPr>
          <w:trHeight w:val="27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on bank borrowings and capital lease obligations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(17,496)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r>
      <w:tr>
        <w:trPr>
          <w:trHeight w:val="250"/>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15,622</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36,317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48,477</w:t>
            </w:r>
          </w:p>
        </w:tc>
      </w:tr>
      <w:tr>
        <w:trPr>
          <w:trHeight w:val="282"/>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38,486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46,668</w:t>
            </w:r>
          </w:p>
        </w:tc>
      </w:tr>
      <w:tr>
        <w:trPr>
          <w:trHeight w:val="210"/>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Pawn loans forfeited and transferred to inventory</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63,256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69,370</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Issuance of common stock due to acquisitions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38,647</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consideration</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24,000</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4,792</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4,792</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 issued for additional investment in subsidiary</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7,981</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additions to property and equipment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2,100</w:t>
            </w:r>
          </w:p>
        </w:tc>
      </w:tr>
      <w:tr>
        <w:trPr>
          <w:trHeight w:val="264"/>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Note receivable from sale of assets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900" w:orient="portrait"/>
          <w:cols w:equalWidth="0" w:num="1">
            <w:col w:w="11420"/>
          </w:cols>
          <w:pgMar w:left="240" w:top="118" w:right="2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31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137"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EZCORP, Inc.</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3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00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46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September 30, 2012</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268,626</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565,803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834,828</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common stock due to acquisitions</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38,685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38,705</w:t>
            </w:r>
          </w:p>
        </w:tc>
        <w:tc>
          <w:tcPr>
            <w:tcW w:w="0" w:type="dxa"/>
            <w:vAlign w:val="bottom"/>
          </w:tcPr>
          <w:p>
            <w:pPr>
              <w:spacing w:after="0"/>
              <w:rPr>
                <w:sz w:val="1"/>
                <w:szCs w:val="1"/>
                <w:color w:val="auto"/>
              </w:rPr>
            </w:pPr>
          </w:p>
        </w:tc>
      </w:tr>
      <w:tr>
        <w:trPr>
          <w:trHeight w:val="153"/>
        </w:trPr>
        <w:tc>
          <w:tcPr>
            <w:tcW w:w="44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Issuance of common stock due to purchase of subsidiary shares from</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10,398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10,404</w:t>
            </w:r>
          </w:p>
        </w:tc>
        <w:tc>
          <w:tcPr>
            <w:tcW w:w="0" w:type="dxa"/>
            <w:vAlign w:val="bottom"/>
          </w:tcPr>
          <w:p>
            <w:pPr>
              <w:spacing w:after="0"/>
              <w:rPr>
                <w:sz w:val="1"/>
                <w:szCs w:val="1"/>
                <w:color w:val="auto"/>
              </w:rPr>
            </w:pPr>
          </w:p>
        </w:tc>
      </w:tr>
      <w:tr>
        <w:trPr>
          <w:trHeight w:val="193"/>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noncontrolling interest</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subsidiary shares from noncontrolling interest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Excess tax benefit from stock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c>
          <w:tcPr>
            <w:tcW w:w="0" w:type="dxa"/>
            <w:vAlign w:val="bottom"/>
          </w:tcPr>
          <w:p>
            <w:pPr>
              <w:spacing w:after="0"/>
              <w:rPr>
                <w:sz w:val="1"/>
                <w:szCs w:val="1"/>
                <w:color w:val="auto"/>
              </w:rPr>
            </w:pPr>
          </w:p>
        </w:tc>
      </w:tr>
      <w:tr>
        <w:trPr>
          <w:trHeight w:val="282"/>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December 31, 2012</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54,167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313,126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596,520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912,167</w:t>
            </w:r>
          </w:p>
        </w:tc>
        <w:tc>
          <w:tcPr>
            <w:tcW w:w="0" w:type="dxa"/>
            <w:vAlign w:val="bottom"/>
          </w:tcPr>
          <w:p>
            <w:pPr>
              <w:spacing w:after="0"/>
              <w:rPr>
                <w:sz w:val="1"/>
                <w:szCs w:val="1"/>
                <w:color w:val="auto"/>
              </w:rPr>
            </w:pPr>
          </w:p>
        </w:tc>
      </w:tr>
      <w:tr>
        <w:trPr>
          <w:trHeight w:val="170"/>
        </w:trPr>
        <w:tc>
          <w:tcPr>
            <w:tcW w:w="44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September 30, 2013</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320,777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599,880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914,526</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Tax deficiency of stock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Effective portion of cash flow hedge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6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22,569</w:t>
            </w:r>
          </w:p>
        </w:tc>
        <w:tc>
          <w:tcPr>
            <w:tcW w:w="0" w:type="dxa"/>
            <w:vAlign w:val="bottom"/>
          </w:tcPr>
          <w:p>
            <w:pPr>
              <w:spacing w:after="0"/>
              <w:rPr>
                <w:sz w:val="1"/>
                <w:szCs w:val="1"/>
                <w:color w:val="auto"/>
              </w:rPr>
            </w:pPr>
          </w:p>
        </w:tc>
      </w:tr>
      <w:tr>
        <w:trPr>
          <w:trHeight w:val="242"/>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December 31, 2013</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321,623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941,294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3" w:lineRule="exact"/>
        <w:rPr>
          <w:sz w:val="20"/>
          <w:szCs w:val="20"/>
          <w:color w:val="auto"/>
        </w:rPr>
      </w:pPr>
    </w:p>
    <w:p>
      <w:pPr>
        <w:ind w:right="40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SUMMARY OF SIGNIFICANT ACCOUNTING POLICIES </w:t>
      </w:r>
      <w:r>
        <w:rPr>
          <w:rFonts w:ascii="Times New Roman" w:cs="Times New Roman" w:eastAsia="Times New Roman" w:hAnsi="Times New Roman"/>
          <w:sz w:val="18"/>
          <w:szCs w:val="18"/>
          <w:b w:val="1"/>
          <w:bCs w:val="1"/>
          <w:u w:val="single" w:color="auto"/>
          <w:color w:val="auto"/>
        </w:rPr>
        <w:t>Basis of Presentation</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and acquired businesses (described in Note 3).</w:t>
      </w:r>
    </w:p>
    <w:p>
      <w:pPr>
        <w:spacing w:after="0" w:line="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should be read with the Consolidated Financial Statements included in our Annual Report on Form 10-K for the year ended September 30, 2013. The balance sheet at September 30, 2013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months ended December 31, 2013 (the "current quarter") are not necessarily indicative of the results of operations for the full fiscal year.</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EZCORP, Inc. ("EZCORP") and its consolidated subsidiaries. All inter-company accounts and transactions have been eliminated in consolidation. As of December 31, 2013, we own 60% of the outstanding equity interests in Prestaciones Finmart, S.A.P.I. de C.V., SOFOM, E.N.R. ("Grupo Finmart"), doing business under the brands "Crediamigo" and "Adex," and 51% of Renueva Comercial S.A.P.I. de C.V. ("TUYO"), and therefore, include their results in our consolidated financial statements. We account for our investments in Albemarle &amp; Bond Holdings, PLC ("Albemarle &amp; Bond") and Cash Converters International Limited ("Cash Converters International") using the equity method. Certain prior period balances have been reclassified to conform to the current presentation and to reflect adjustments to purchase price allocations that were updated as additional information became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significant accounting policies as described in our Annual Report on Form 10-K for the year ended September 30,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July 2013, the Financial Accounting Standards Board ("FASB") issued Accounting Standards Update ("ASU") 2013-11,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of an Unrecognized Tax Benefit when a Net Operating Loss Carryforward or Tax Credit Carryforward Exists. </w:t>
      </w:r>
      <w:r>
        <w:rPr>
          <w:rFonts w:ascii="Times New Roman" w:cs="Times New Roman" w:eastAsia="Times New Roman" w:hAnsi="Times New Roman"/>
          <w:sz w:val="18"/>
          <w:szCs w:val="18"/>
          <w:color w:val="auto"/>
        </w:rPr>
        <w:t>This update provides that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unrecognized tax benefit, or a portion of its unrecognized tax benefit, 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The adoption of ASU 2013-03 did not have a material effect on our financial position, results of operations or cash flows.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2013, the FASB issued ASU 2013-02, </w:t>
      </w:r>
      <w:r>
        <w:rPr>
          <w:rFonts w:ascii="Times New Roman" w:cs="Times New Roman" w:eastAsia="Times New Roman" w:hAnsi="Times New Roman"/>
          <w:sz w:val="18"/>
          <w:szCs w:val="18"/>
          <w:i w:val="1"/>
          <w:iCs w:val="1"/>
          <w:color w:val="auto"/>
        </w:rPr>
        <w:t>Comprehensive Income (Topic 220) — Reporting of Amounts Reclassified Out of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This update, requires an entity to report the effect of significant reclassifications out of accumulated other comprehensive income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The adoption of ASU 2013-02 did not have a material effect on our financial position, results of operations or cash flows.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February 2013, the FASB issued ASU 2013-04, </w:t>
      </w:r>
      <w:r>
        <w:rPr>
          <w:rFonts w:ascii="Times New Roman" w:cs="Times New Roman" w:eastAsia="Times New Roman" w:hAnsi="Times New Roman"/>
          <w:sz w:val="18"/>
          <w:szCs w:val="18"/>
          <w:i w:val="1"/>
          <w:iCs w:val="1"/>
          <w:color w:val="auto"/>
        </w:rPr>
        <w:t>Liabilities (Topic 405)—Obligations Resulting from Joint and Several Liability Arrangements for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Total Amount of the Obligation Is Fixed at the Reporting Date (a consensus of the FASB Emerging Issues Task Force). </w:t>
      </w:r>
      <w:r>
        <w:rPr>
          <w:rFonts w:ascii="Times New Roman" w:cs="Times New Roman" w:eastAsia="Times New Roman" w:hAnsi="Times New Roman"/>
          <w:sz w:val="18"/>
          <w:szCs w:val="18"/>
          <w:color w:val="auto"/>
        </w:rPr>
        <w:t>This update provides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The adoption of ASU 2013-04 did not have a material effect on our financial position, results of operations or cash flows.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March 2013, the FASB issued ASU 2013-05, </w:t>
      </w:r>
      <w:r>
        <w:rPr>
          <w:rFonts w:ascii="Times New Roman" w:cs="Times New Roman" w:eastAsia="Times New Roman" w:hAnsi="Times New Roman"/>
          <w:sz w:val="18"/>
          <w:szCs w:val="18"/>
          <w:i w:val="1"/>
          <w:iCs w:val="1"/>
          <w:color w:val="auto"/>
        </w:rPr>
        <w:t>Foreign Currency Matters (Topic 830) — Parent's Accounting for the Cumulative Translation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upon Derecognition of Certain Subsidiaries or Groups of Assets within a Foreign Entity or of an Investment in a Foreign Entity (a consensus of the FASB Emerging Issues Task Force). </w:t>
      </w:r>
      <w:r>
        <w:rPr>
          <w:rFonts w:ascii="Times New Roman" w:cs="Times New Roman" w:eastAsia="Times New Roman" w:hAnsi="Times New Roman"/>
          <w:sz w:val="18"/>
          <w:szCs w:val="18"/>
          <w:color w:val="auto"/>
        </w:rPr>
        <w:t>This update applies to the release of the cumulative translation adjustment into net income when a parent either sells a part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The adoption of ASU 2013-05 did not have a material effect on our financial position, results of operations or cash flows.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2013, we implemented a plan to close 107 legacy stores (all of which were in operation at December 31, 2012) in a variety of locations. These stores were generally older, smaller stores that did not fit our future growth profile.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closures as discontinued operations included:</w:t>
      </w:r>
    </w:p>
    <w:p>
      <w:pPr>
        <w:spacing w:after="0" w:line="171" w:lineRule="exact"/>
        <w:rPr>
          <w:sz w:val="20"/>
          <w:szCs w:val="20"/>
          <w:color w:val="auto"/>
        </w:rPr>
      </w:pPr>
    </w:p>
    <w:p>
      <w:pPr>
        <w:ind w:left="660" w:right="4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stores in Mexico, 52 of which were small, jewelry-only asset group formats. We will continue to operate our full-service store-within-a-store ("SWS") locations under the Empeño Fácil brand, and expect to continue our storefront growth in Mexico.</w:t>
      </w:r>
    </w:p>
    <w:p>
      <w:pPr>
        <w:spacing w:after="0" w:line="107"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stores in Canada, where we were in the process of transitioning to an integrated buy/sell and financial services model under the Cash Converters brand. The affected asset group consisted of stores that were not optimal for that model because of location or size. We will continue to operate full-service buy/sell and financial services center stores under the Cash Converters brand in Canada and the United States.</w:t>
      </w:r>
    </w:p>
    <w:p>
      <w:pPr>
        <w:spacing w:after="0" w:line="122"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financial services stores in Dallas, Texas and the State of Florida, where we exited both locations primarily due to onerous regulatory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jewelry-only concept store, which was our only jewelry-only store in the United States.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discontinued operations, we incurred charges in the fiscal year ended September 30, 2013 for lease termination costs, asset and inventory write-downs to net realizable liquidation value, uncollectible receivables, and employee severance costs. During the first quarter ended December 31, 2013, we recorded $2.6 million of pre-tax gains related to these termination costs, primarily lease terminations of $1.8 million, as negotiated amounts were lower than the initial lease buyout estimates recorded in the prior year, and inventory write-downs of $0.6 million. These gains have been recorded as part of income from discontinued operations in our first quarter ended December 31, 2013 condensed consolidated statement of operations.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2013 accrued severance and lease termination costs related to discontinued operations were $3.8 million. This amount is included in accounts payable and accrued liabilities in our condensed consolidated balance sheets. During the first quarter ended December 31, 2013, $1.7 million in cash payments were made with regard to the recorded termination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in the three-month periods ended December 31, 2013 and 2012 include $2.6 million and $4.5 million of total revenues,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table below summarizes the operating losses from discontinued operations by operating segment: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1"/>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w w:val="99"/>
              </w:rPr>
              <w:t>2012</w:t>
            </w: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U.S. &amp; Canada</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7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3,133</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gain related to the reorganization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Latin America</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termination gain related to the reorganization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2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2,462</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4,355</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gain related to the reorganization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All revenue, expense and income reported in these condensed consolidated financial statements have been adjusted to reflect reclassification of all discontinued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November 29, 2013, Grupo Finmart acquired an unsecured long-term consumer loan portfolio for approximately $15.7 million. This transaction was accounted for as an asset purchase. Refer to Note 13 for further detail.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ended December 31, 2013, we had no acquisitions accounted for as a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 Cash</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20, 2012, we entered into a definitive agreement with Go Cash, LLC and certain of its affiliates ("Go Cash" or "EZCORP Online") to acquire substantially all the assets of Go Cash's online lending business. This acquisition of assets was completed on December 20, 2012 and accounted for as a business combination. No liabilities were assumed other than trade payables and accounts payable incurred prior to closing in the ordinary course of business, which were approximately $0.2 million.</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total purchase price is performance-based and will be determined over a period of four years following the closing. The total consideration of $55.6 million includes the performance consideration element, which is based on the net income generated by the "Post-Closing Business Unit" (which includes all of our online consumer lending business). Within a specified period after the end of each of the first four years following the closing, we will make a contingent supplemental payment equal to the difference between (a) the adjusted net income for such year, multiplied by 6.0, and (b) all consideration payments previously paid. Each payment may be made, in our sole discretion, in cash or in the form of shares of EZCORP Class A Non-Voting Common Stock. A minimum of $50.8 million will be paid, of which $27.8 million was paid at closing, $6.0 million was paid on November 12, 2013, $5.0 million was paid on December 19, 2013 and the remaining $12.0 million will be paid in installments over the next two years. The initial payment was made in the form of 1,400,198 shares of EZCORP Class A Non-Voting Common Stock, and the November and December 2013 payments were made in cash.</w:t>
      </w:r>
    </w:p>
    <w:p>
      <w:pPr>
        <w:spacing w:after="0" w:line="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the final purchase price allocation, the contingent consideration was valued at $4.8 million in the current quarter. This amount was calculated using a Monte Carlo simulation, whereby future net income is simulated over the earn-out period. For each simulation path, the earn-out payments were calculated and then discounted to the valuation date. The fair value of the earn-out was then estimated to be the arithmetic average of all paths. The model utilized forecasted net income, and the valuation was performed in a risk-neutral framework. The significant inputs used for the valuation are not observable in the market, and thus this fair value measurement represents a Level 3 measurement within the fair value hierarchy. This contingent consideration element was valued and recorded during first quarter ended December 31, 2013.</w:t>
      </w:r>
    </w:p>
    <w:p>
      <w:pPr>
        <w:spacing w:after="0" w:line="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EZCORP Online recorded $3.0 million of total revenues and $2.8 million of operating losses during the three month period ended December 31, 2013; and $0.1 million of total revenues and $0.4 million of operating losses during the three month period ended December 31, 2012.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TUYO</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November 1, 2012, we acquired a 51% interest in Renueva Comercial S.A.P.I. de C.V., a company headquartered in Mexico City and doing business under the name "TUYO", for approximately $1.1 million. As of December 31, 2013, TUYO owned and operated 19 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combined with other immaterial acquisitions.</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12-month period. Under the guidance in ASC 480-10-S99, securities that are redeemable for cash or other assets are to be classified outside of permanent equity; therefore, we have included the redeemable noncontrolling interest related to TUYO in temporary equity.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18" w:right="27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acquisition date fair value of the TUYO redeemable noncontrolling interest was estimated by applying an income and market approach. This fair value measurement was based on significant inputs that are not observable in the market and thus represents a Level 3 measurement. Key assumptions include discount rates of 10% and 18% representing discounts for lack of control and lack of marketability respectively that market participants would consider when estimating the fair value of the noncontrolling interest. The fair market value of TUYO was determined using a multiple of future earnings. See Note 14 for additional details relating to the fair value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- 2013</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26, 2013, Grupo Finmart, our 60% owned subsidiary, purchased 100% of the outstanding shares of Fondo ACH, S.A. de C.V., a specialty consumer finance company. The total purchase price is performance-based and will be determined over a period of four years. A minimum of $3.5 million will be paid, of which $2.7 million 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$3.5 million, has been preliminarily valued at zero as of December 31, 2013. As this acquisition was individually immaterial, we present its related information combined with other immaterial acquisitions.</w:t>
      </w:r>
    </w:p>
    <w:p>
      <w:pPr>
        <w:spacing w:after="0" w:line="1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fiscal year ended September 30, 2013, includes the December 2012 acquisition of 12 pawn locations in Arizona, which was a new state of operation for EZCORP. As this acquisition was individually immaterial, we present its related information combined with other immaterial acquisitions.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All acquisitions were made as part of our continuing strategy to enhance and diversify our earnings over the long-term.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There were no transaction related expenses for the three-month period ended December 31, 2013 and approximately $0.5 million for the three-month period ended December 31, 2012, which were expensed as incurred and recorded as operations expense.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acquisition of domestic and foreign retail and financial services locations during fiscal 2013:</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5"/>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Fiscal Year Ended September 30,</w:t>
            </w:r>
          </w:p>
        </w:tc>
      </w:tr>
      <w:tr>
        <w:trPr>
          <w:trHeight w:val="212"/>
        </w:trPr>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3"/>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720" w:type="dxa"/>
            <w:vAlign w:val="bottom"/>
          </w:tcPr>
          <w:p>
            <w:pPr>
              <w:spacing w:after="0"/>
              <w:rPr>
                <w:sz w:val="18"/>
                <w:szCs w:val="18"/>
                <w:color w:val="auto"/>
              </w:rPr>
            </w:pPr>
          </w:p>
        </w:tc>
      </w:tr>
      <w:tr>
        <w:trPr>
          <w:trHeight w:val="33"/>
        </w:trPr>
        <w:tc>
          <w:tcPr>
            <w:tcW w:w="8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57"/>
        </w:trPr>
        <w:tc>
          <w:tcPr>
            <w:tcW w:w="8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Go Cash</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 Acquisitions</w:t>
            </w:r>
          </w:p>
        </w:tc>
      </w:tr>
      <w:tr>
        <w:trPr>
          <w:trHeight w:val="252"/>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66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21"/>
                <w:szCs w:val="21"/>
                <w:color w:val="auto"/>
              </w:rPr>
            </w:pPr>
          </w:p>
        </w:tc>
      </w:tr>
      <w:tr>
        <w:trPr>
          <w:trHeight w:val="255"/>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Pawn loans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5,714</w:t>
            </w: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loans, net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charges and fees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37"/>
        </w:trPr>
        <w:tc>
          <w:tcPr>
            <w:tcW w:w="8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10,279</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17,187</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3,011</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37"/>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32,488</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layaway deposits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8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2,836</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55,568</w:t>
            </w:r>
          </w:p>
        </w:tc>
        <w:tc>
          <w:tcPr>
            <w:tcW w:w="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28,989</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deductible for tax purposes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Domain name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Definite-lived intangible assets acquired </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Non-compete 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Contractual relationship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weighted average useful life of definite-lived intangible assets acquired is five years.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FASB ASC 805-10-25, adjustments to provisional purchase price allocation amounts made during the measurement period shall be recorded as if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for the business combination had been completed at the acquisition date. Thus, the acquirer shall revise comparative information for prior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financial statements. The amounts above and our condensed consolidated balance sheet as of December 31, 2012 reflect all measurement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recorded since the acquisition date. As of December 31, 2012 these adjustments include $0.6 million decrease in 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decrease in the value of intangibles assets; $4.8 million increase to deferred gains and other long-term liability; and $0.2 million increase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other assets and liabilities for a net increase in goodwill of $6.7 million. As of September 30, 2013 these adjustments include a $4.8 million increase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gains and other long-term liability with an offset to goodwill.</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basic and diluted earnings per share and excluded anti-dilutive potential common shares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5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EZCORP, Inc.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32,423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(B)</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EZCORP (C)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30,717</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outstanding shares of common stock (D)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52,049</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stock and common stock equivalents (E)</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54,362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52,112</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earnings per share attributable to EZCORP, Inc.: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Continuing operations attributable to EZCORP, Inc. (A / 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(B / 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earnings per share (C / 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0.59</w:t>
            </w:r>
          </w:p>
        </w:tc>
      </w:tr>
      <w:tr>
        <w:trPr>
          <w:trHeight w:val="311"/>
        </w:trPr>
        <w:tc>
          <w:tcPr>
            <w:tcW w:w="8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EZCORP, Inc.:</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 attributable to EZCORP, Inc. (A / 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 (B / E)</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earnings per share (C / 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Potential common shares excluded from the calculation of diluted earnings per share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Converters International Limited</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December 31, 2013, we owned 136,848,000 shares, or approximately 33%, of Cash Converters International, a publicly traded company headquartered in Perth, Australia. Cash Converters International franchises and operates a worldwide network of over 700 specialty financial services and retail stores that provide pawn loans, short-term unsecured loans and other consumer finance products, and buy and sell second-hand goods, with significant store concentrations in Australia and the United Kingdom. Those shares include 12,430,000 shares that we acquired in November 2012 for approximately $11.0 million in cash as part of a share placement. Our total investment in Cash Converters International was acquired between November 2009 and November 2012 for approximately $68.8 million.</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December 31 and June 30. Due to the three-month lag, income reported for our three-month periods ended December 31, 2013 and 2012 represents our percentage interest in the results of Cash Converters International’s operations from July 1, 2013 to September 30, 2013 and July 1, 2012 to September 30, 2012, respectively.</w:t>
      </w:r>
    </w:p>
    <w:p>
      <w:pPr>
        <w:spacing w:after="0" w:line="13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Conversion of Cash Converters International’s financial statements into U.S. GAAP resulted in no material differences from those reported by Cash Converters following IFRS.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its functional currency of Australian dollars, Cash Converters International’s total assets increased 32% from June 30, 2012 to June 30, 2013 and its net income improved 12% for the year ended June 30, 2013. The following table presents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assets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18"/>
          <w:szCs w:val="18"/>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Gross revenues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Profit for the year (net income)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Albemarle &amp; Bond Holdings,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320" w:type="dxa"/>
            <w:vAlign w:val="bottom"/>
          </w:tcPr>
          <w:p>
            <w:pPr>
              <w:spacing w:after="0"/>
              <w:rPr>
                <w:sz w:val="16"/>
                <w:szCs w:val="16"/>
                <w:color w:val="auto"/>
              </w:rPr>
            </w:pPr>
          </w:p>
        </w:tc>
        <w:tc>
          <w:tcPr>
            <w:tcW w:w="16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16"/>
                <w:szCs w:val="16"/>
                <w:color w:val="auto"/>
              </w:rPr>
            </w:pPr>
          </w:p>
        </w:tc>
      </w:tr>
      <w:tr>
        <w:trPr>
          <w:trHeight w:val="2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163,606</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137,646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153,279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129,274</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316,885</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266,920</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95,757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45,392</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31,928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220,677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189,600</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316,885</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266,920</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02"/>
        </w:trPr>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264"/>
        </w:trPr>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320" w:type="dxa"/>
            <w:vAlign w:val="bottom"/>
          </w:tcPr>
          <w:p>
            <w:pPr>
              <w:spacing w:after="0"/>
              <w:rPr>
                <w:sz w:val="16"/>
                <w:szCs w:val="16"/>
                <w:color w:val="auto"/>
              </w:rPr>
            </w:pPr>
          </w:p>
        </w:tc>
        <w:tc>
          <w:tcPr>
            <w:tcW w:w="16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16"/>
                <w:szCs w:val="16"/>
                <w:color w:val="auto"/>
              </w:rPr>
            </w:pPr>
          </w:p>
        </w:tc>
      </w:tr>
      <w:tr>
        <w:trPr>
          <w:trHeight w:val="2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280,059</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241,924</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183,368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162,598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30,366</w:t>
            </w:r>
          </w:p>
        </w:tc>
      </w:tr>
    </w:tbl>
    <w:p>
      <w:pPr>
        <w:spacing w:after="0" w:line="602" w:lineRule="exact"/>
        <w:rPr>
          <w:sz w:val="20"/>
          <w:szCs w:val="20"/>
          <w:color w:val="auto"/>
        </w:rPr>
      </w:pPr>
    </w:p>
    <w:p>
      <w:pPr>
        <w:sectPr>
          <w:pgSz w:w="11900" w:h="16838" w:orient="portrait"/>
          <w:cols w:equalWidth="0" w:num="2">
            <w:col w:w="7860" w:space="720"/>
            <w:col w:w="2840"/>
          </w:cols>
          <w:pgMar w:left="240" w:top="118" w:right="239" w:bottom="1440" w:gutter="0" w:footer="0" w:header="0"/>
        </w:sect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December 31, 2013, we owned 16,644,640 ordinary shares of Albemarle &amp; Bond,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Albemarle &amp; Bond’s fiscal year ends three months prior to ours, we report the income from this investment on a three-month lag. Albemarle &amp; Bond files semi-annual financial reports for its fiscal periods ending December 31 and June 30. Due to the three-month lag, income reported for our three-month periods ended December 31, 2013 and 2012 represents our percentage interest in the results of Albemarle &amp; Bond’s operations from July 1, 2013 to September 30, 2013 and July 1, 2012 to September 30, 2012, respectively.</w:t>
      </w:r>
    </w:p>
    <w:p>
      <w:pPr>
        <w:spacing w:after="0" w:line="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In early October 2013, Albemarle &amp; Bond announced that discussions to underwrite an equity funding had failed and they were in ongoing discussions with their banks to negotiate covenants. The market price of Albemarle &amp; Bond’s stock declined as a result of this information. Due to these events, we evaluated the economic and strategic benefits of continuing to hold this investment. Based on the review as of October 18, 2013, we determined that the fair value of this investment was less than its carrying value as of September 30, 2013 and that this impairment was other than temporary. As a result, we recognized an other than temporary impairment of $42.5 million ($28.7 million, net of taxes).</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5, 2013, Albemarle &amp; Bond announced the commencement of a formal sales process and subsequently participated in preliminary discussions with various interested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2013, the fair value of our investment in Albemarle &amp; Bond Holdings was less than our recorded value.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January 27, 2014, Albemarle &amp; Bond announced the termination of their formal sales process, and stated that there may be limited value attributable to the ordinary shares. We continue to assess the impact of this announcement on the value of our investment. Refer to Note 17 for further detail.</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Conversion of Albemarle &amp; Bond’s financial statements into U.S. GAAP resulted in no material differences from those reported by Albemarle &amp; Bond following IFRS.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recorded value and fair value of each of these strategic investments at the dates indicated. The fair values of Albemarle &amp; Bond as of December 31, 2013 and 2012 and Cash Converters International as of December 31, 2013 and 2012 as well as September 30, 2013 are considered Level 1 estimates within the fair value hierarchy of FASB ASC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820-10-50, and were calculated as (a) the quoted stock price on each company’s principal market multiplied by (b) the number of shares we owned multiplied by (c) the applicable foreign currency exchange rate at the dates indicated. We included no control premium by owning a large percentage of outstanding shares.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for Albemarle &amp; Bond at September 30, 2013 is considered a Level 2 estimate within the fair value hierarchy of FASB ASC 820-10-50. We calculated the fair value based on (a) the quoted average stock price of Albemarle &amp; Bond over the 18 days after September 30, 2013 multiplied by (b) the number of shares we owned multiplied by (c) the applicable foreign currency exchange rate as of the dates indicated during the post September 30, 2013 measurement date. We believe this 18 day measurement date allowed the market to react and adjust to the information released by the company the first week of October 2013, as previously mentioned, and therefore resulted in a reasonable fair value as of September 30, 2013.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Pr>
          <w:p>
            <w:pPr>
              <w:spacing w:after="0"/>
              <w:rPr>
                <w:sz w:val="17"/>
                <w:szCs w:val="17"/>
                <w:color w:val="auto"/>
              </w:rPr>
            </w:pPr>
          </w:p>
        </w:tc>
      </w:tr>
      <w:tr>
        <w:trPr>
          <w:trHeight w:val="208"/>
        </w:trPr>
        <w:tc>
          <w:tcPr>
            <w:tcW w:w="70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Albemarle &amp; Bond:</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Recorded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54,559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9,439</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9,439</w:t>
            </w:r>
          </w:p>
        </w:tc>
      </w:tr>
      <w:tr>
        <w:trPr>
          <w:trHeight w:val="203"/>
        </w:trPr>
        <w:tc>
          <w:tcPr>
            <w:tcW w:w="70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Cash Converters International:</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Recorded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89,522</w:t>
            </w:r>
          </w:p>
        </w:tc>
        <w:tc>
          <w:tcPr>
            <w:tcW w:w="64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87,645</w:t>
            </w:r>
          </w:p>
        </w:tc>
      </w:tr>
      <w:tr>
        <w:trPr>
          <w:trHeight w:val="243"/>
        </w:trPr>
        <w:tc>
          <w:tcPr>
            <w:tcW w:w="40" w:type="dxa"/>
            <w:vAlign w:val="bottom"/>
          </w:tcPr>
          <w:p>
            <w:pPr>
              <w:spacing w:after="0"/>
              <w:rPr>
                <w:sz w:val="21"/>
                <w:szCs w:val="21"/>
                <w:color w:val="auto"/>
              </w:rPr>
            </w:pPr>
          </w:p>
        </w:tc>
        <w:tc>
          <w:tcPr>
            <w:tcW w:w="7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117,778</w:t>
            </w:r>
          </w:p>
        </w:tc>
        <w:tc>
          <w:tcPr>
            <w:tcW w:w="6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165,663</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goodwill and each major class of intangible assets at the specified dates: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433,300</w:t>
            </w:r>
          </w:p>
        </w:tc>
      </w:tr>
      <w:tr>
        <w:trPr>
          <w:trHeight w:val="32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Pawn licenses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9,791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Domain name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18,842</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finders’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673</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Favorable lease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rights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relationship</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12,106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22,088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46,262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40,689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43,030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61,872</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the carrying value of goodwill over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&amp;</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40,754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434,835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&amp;</w:t>
            </w:r>
          </w:p>
        </w:tc>
        <w:tc>
          <w:tcPr>
            <w:tcW w:w="2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4"/>
                <w:szCs w:val="24"/>
                <w:color w:val="auto"/>
              </w:rPr>
            </w:pPr>
          </w:p>
        </w:tc>
        <w:tc>
          <w:tcPr>
            <w:tcW w:w="11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September 30, 2012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224,306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374,663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58,924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61,146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at December 31, 2012</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283,230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111,485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39,956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434,671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 The following table presents the amount and classification of amortization recognized as expense (income) in each of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 in continuing operations</w:t>
            </w:r>
          </w:p>
        </w:tc>
        <w:tc>
          <w:tcPr>
            <w:tcW w:w="6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Operations expense</w:t>
            </w:r>
          </w:p>
        </w:tc>
        <w:tc>
          <w:tcPr>
            <w:tcW w:w="2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expense from the amortization of definite-lived intangible assets</w:t>
            </w:r>
          </w:p>
        </w:tc>
        <w:tc>
          <w:tcPr>
            <w:tcW w:w="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80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our estimate of future amortization expense for definite-lived intangible assets:</w:t>
            </w: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600" w:type="dxa"/>
            <w:vAlign w:val="bottom"/>
          </w:tcPr>
          <w:p>
            <w:pPr>
              <w:spacing w:after="0"/>
              <w:rPr>
                <w:sz w:val="24"/>
                <w:szCs w:val="24"/>
                <w:color w:val="auto"/>
              </w:rPr>
            </w:pPr>
          </w:p>
        </w:tc>
        <w:tc>
          <w:tcPr>
            <w:tcW w:w="226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Operations expense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tcPr>
          <w:p>
            <w:pPr>
              <w:jc w:val="center"/>
              <w:ind w:left="58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9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2260" w:type="dxa"/>
            <w:vAlign w:val="bottom"/>
            <w:tcBorders>
              <w:bottom w:val="single" w:sz="8" w:color="CCEEFF"/>
            </w:tcBorders>
            <w:shd w:val="clear" w:color="auto" w:fill="CCEEFF"/>
          </w:tcPr>
          <w:p>
            <w:pPr>
              <w:jc w:val="right"/>
              <w:ind w:right="19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68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43"/>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7,427</w:t>
            </w:r>
          </w:p>
        </w:tc>
        <w:tc>
          <w:tcPr>
            <w:tcW w:w="2260" w:type="dxa"/>
            <w:vAlign w:val="bottom"/>
          </w:tcPr>
          <w:p>
            <w:pPr>
              <w:spacing w:after="0"/>
              <w:rPr>
                <w:sz w:val="21"/>
                <w:szCs w:val="21"/>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6,979</w:t>
            </w:r>
          </w:p>
        </w:tc>
        <w:tc>
          <w:tcPr>
            <w:tcW w:w="2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43"/>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6,757</w:t>
            </w:r>
          </w:p>
        </w:tc>
        <w:tc>
          <w:tcPr>
            <w:tcW w:w="2260" w:type="dxa"/>
            <w:vAlign w:val="bottom"/>
          </w:tcPr>
          <w:p>
            <w:pPr>
              <w:spacing w:after="0"/>
              <w:rPr>
                <w:sz w:val="21"/>
                <w:szCs w:val="21"/>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4,330</w:t>
            </w:r>
          </w:p>
        </w:tc>
        <w:tc>
          <w:tcPr>
            <w:tcW w:w="2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 AND CAPITAL LEASE OBLIGATIONS</w:t>
      </w:r>
    </w:p>
    <w:p>
      <w:pPr>
        <w:spacing w:after="0" w:line="9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long-term debt instruments and balances under capital lease obligations outstanding at December 31, 2013 and 2012 and September 30, 2013. The recourse line of credit is due in May 2015, the non-recourse debt matures at various months in the years so indicated in the table below: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76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r>
      <w:tr>
        <w:trPr>
          <w:trHeight w:val="195"/>
        </w:trPr>
        <w:tc>
          <w:tcPr>
            <w:tcW w:w="5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Premium</w:t>
            </w:r>
          </w:p>
        </w:tc>
      </w:tr>
      <w:tr>
        <w:trPr>
          <w:trHeight w:val="255"/>
        </w:trPr>
        <w:tc>
          <w:tcPr>
            <w:tcW w:w="5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Recourse to EZCORP: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Domestic line of credit up to $200 million due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Non-recourse to EZCORP:</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variable interest foreign currency line of credit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Secured foreign currency line of credit up to $4 million due 2014</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Secured foreign currency line of credit up to $19 million due 2015</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Secured foreign currency line of credit up to $5 million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Secured foreign currency line of credit up to $23 million due 2017</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 loans facility due 2017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 unsecured notes due 2013</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15% unsecured notes due 2013</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 unsecured notes due 2014</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11% unsecured notes due 2014</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 unsecured notes due 2015</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16,068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15% secured notes due 2015</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381</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 secured notes due 2017</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 unsecured notes due 2019</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long-term obligations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252,812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236,844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247,299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724</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543</w:t>
            </w:r>
          </w:p>
        </w:tc>
      </w:tr>
      <w:tr>
        <w:trPr>
          <w:trHeight w:val="244"/>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long-term and capital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235,542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208,749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216,330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10, 2011, we entered into a new senior secured credit agreement with a syndicate of five banks, replacing our previous credit agreement. Among other things, the new credit agreement provides for a four-year $175 million revolving credit facility that we may, under the terms of the agreement, request to be increased to a total of $225 million. Upon entering the new credit agreement, we repaid and retired our $17.5 million outstanding debt. On May 31, 2013, we amended the senior secured credit agreement to increase our revolving credit facility from $175 million to $200 million. The new credit facility increases our available credit and provides greater flexibility to make investments and acquisitions both domestically and internationally. No other terms of our senior secured credit agreement were modified.</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50.0 basis points depending on our leverage ratio calculated at the end of each quarter. Terms of the credit agreement require, among other things, that we meet certain financial covenants, restrict dividend payments and limit other and non-recourse debt. At December 31, 2013, we were in compliance with all covenants.</w:t>
      </w:r>
    </w:p>
    <w:p>
      <w:pPr>
        <w:spacing w:after="0" w:line="13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December 31, 2013, $146.5 million was outstanding under our revolving credit agreement. This facility is collateralized with EZCORP’s domestic assets. We have also issued $3.1 million in letters of credit, leaving $50.4 million available on our revolving credit facility. The outstanding bank letters of credit were required under our workers' compensation insurance program and for our international office in Miami, Florida.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Deferred financing costs related to our credit agreement are included in intangible assets, net on the condensed consolidated balance sheet and are being amortized to interest expense over the term of the agreement.</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30, 2012, we acquired a 60% ownership interest in Grupo Finmart. Non-recourse debt amounts in the table above represent Grupo Finmart’s third-party debt. All unsecured notes are collateralized with Grupo Finmart’s assets. All lines of credit are guaranteed by Grupo Finmart's loan portfolio. Interest on lines of credit due 2014, 2015 and 2016 is charged at the Mexican Interbank Equilibrium ("TIIE") plus a margin varying from 5% to 10%. The line of credit due 2014 requires monthly payments of $0.1 million with remaining principal due at maturity. The line of credit due 2015 requires monthly payments of $0.4 million with the remaining principal due at maturity. The line of credit due 2016 requires monthly payments of $0.5 million with the remaining principal due at maturity. The 15% secured notes require monthly payments of $0.1 million with remaining principal due at maturity.</w:t>
      </w:r>
    </w:p>
    <w:p>
      <w:pPr>
        <w:spacing w:after="0" w:line="13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calls for a two-year revolving period in which the trust will use principal collections of the consumer loan portfolio to acquire additional collection rights up to $114.8 million in eligible loans from Grupo Finmart. Upon the termination of the revolving period, the collection received by the trust will be used to repay the debt. Grupo Finmart will continue to service the underlying loans in the trust.</w:t>
      </w:r>
    </w:p>
    <w:p>
      <w:pPr>
        <w:spacing w:after="0" w:line="13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2013, borrowings under the securitization borrowing facility amounted to $32.1 million. Interest is charged at TIIE plus a 2.5% margin, or a total of 6.3% as of December 31, 2013. The debt issued by the trust will be paid solely from the collections of the consumer loans transferred to the trust, and therefore there is no recourse to Grupo Finmart or EZCORP.</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15, 2013, Grupo Finmart issued and sold $30.0 million of 9% Global Registered Notes due November 16, 2015. Notes with an aggregate principal amount of $14.0 million were purchased by EZCORP and therefore eliminated in consolidation. Grupo Finmart used a portion of the net proceeds of the offering to repay existing indebtedness, and used the remaining portion for general operating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 OPTIONS AND STOCK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income includes the following compensation costs related to our stock compensation arrangements: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w:t>
            </w:r>
          </w:p>
        </w:tc>
      </w:tr>
      <w:tr>
        <w:trPr>
          <w:trHeight w:val="195"/>
        </w:trPr>
        <w:tc>
          <w:tcPr>
            <w:tcW w:w="9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6"/>
                <w:szCs w:val="16"/>
                <w:color w:val="auto"/>
              </w:rPr>
            </w:pPr>
          </w:p>
        </w:tc>
      </w:tr>
      <w:tr>
        <w:trPr>
          <w:trHeight w:val="264"/>
        </w:trPr>
        <w:tc>
          <w:tcPr>
            <w:tcW w:w="9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9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compensation costs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1,236</w:t>
            </w:r>
          </w:p>
        </w:tc>
        <w:tc>
          <w:tcPr>
            <w:tcW w:w="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811</w:t>
            </w:r>
          </w:p>
        </w:tc>
        <w:tc>
          <w:tcPr>
            <w:tcW w:w="3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the current three-month period ended December 31, 2013 and the prior year three-month period ended December 31, 2012, no stock options were exercised.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REDEEMABLE NONCONTROLLING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activities in our redeemable noncontrolling interests as of December 31, 2013 and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Redeemable Noncontrolling</w:t>
            </w:r>
          </w:p>
        </w:tc>
      </w:tr>
      <w:tr>
        <w:trPr>
          <w:trHeight w:val="195"/>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Interests</w:t>
            </w: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53,681</w:t>
            </w:r>
          </w:p>
        </w:tc>
      </w:tr>
      <w:tr>
        <w:trPr>
          <w:trHeight w:val="243"/>
        </w:trPr>
        <w:tc>
          <w:tcPr>
            <w:tcW w:w="9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of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2,836</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43"/>
        </w:trPr>
        <w:tc>
          <w:tcPr>
            <w:tcW w:w="9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1,438</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49,323</w:t>
            </w:r>
          </w:p>
        </w:tc>
      </w:tr>
      <w:tr>
        <w:trPr>
          <w:trHeight w:val="311"/>
        </w:trPr>
        <w:tc>
          <w:tcPr>
            <w:tcW w:w="9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55,393</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1,826</w:t>
            </w:r>
          </w:p>
        </w:tc>
      </w:tr>
      <w:tr>
        <w:trPr>
          <w:trHeight w:val="243"/>
        </w:trPr>
        <w:tc>
          <w:tcPr>
            <w:tcW w:w="9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9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57,578</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 2012, we acquired a 51% interest in TUYO (see Note 3 for details).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14, 2012, we acquired an additional 23% of the ordinary shares outstanding of Cash Genie, our U.K. online lending business, for $10.4 million, increasing our ownership percentage from 72% to 95%, with the remaining 5% held by local management. The consideration paid to the selling shareholder was paid in the form of 592,461 shares of EZCORP Class A Non-voting Common Stock. This transaction was treated as an equity transaction and not an adjustment to the purchase price of the initial controlling interest acquisition of Cash Genie. On August 1, 2013, we acquired the remaining ordinary shares that were held by local management for $0.6 million. As of August 1, 2013, we own 100% of Cash Genie's ordinary shares.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current quarter’s effective tax rate from continuing operations is 30.1% of pretax income compared to 33.0% for the prior year quarter. The effective tax rate for the three-month period ended December 31, 2013 was lower primarily due to the continued diversification of our operations worldwide.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current quarter's effective tax rate for the tax expense from discontinued operations is 14.3% compared to the tax benefit of 9.9% for the prior year quarter. The effective tax rate for discontinued operations is lower than the effective tax rate from continuing operations due to the inclusion of discontinued operations in Canada for which a valuation allowance has previously been recognized, resulting in no current benefit.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CONTINGENCIES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OPERATING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is prepared on the same basis that our management reviews financial information for operational decision-making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report our segments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 All business activities in the United States and Canada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 All business activities in Mexico and other parts of Latin America</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 All business activities in the rest of the world (currently consisting of Cash Genie online lending business in the United Kingdom and our equity interests in the results of operations of Albemarle &amp; Bond and Cash Converters International)</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are no inter-segment revenues, and the amounts below were determined in accordance with the same accounting principles used in our consolidated financial statements. The following tables present operating segment information for the three months ending December 31, 2013 and 2012, including reclassifications discussed in Note 1 "Organization and Summary of Significant Accounting Policies."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U.S. &amp;</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Merchandise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88,890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27,703</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66,329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269,357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loan bad debt</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18,432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167,317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expenses (income):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112,769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loss on sale or disposal of assets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Equity in net income of unconsolidated affiliates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contribution (loss)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44,610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51,915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expenses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Administrative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EZCORP, Inc.</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22,569</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2012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U.S. &amp;</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Merchandise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79,704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94,604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44,709</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63,134</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272,661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54,945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31,305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loan bad debt expense (benefit)</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172,890</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expenses (income):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103,285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Equity in net income of unconsolidated affiliates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contribution</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52,232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Administrative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50,533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33,861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32,155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 attributable to redeemable noncontrolling interest</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EZCORP, Inc.</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30,717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geographic information required by ASC 280-10-50-41: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r>
      <w:tr>
        <w:trPr>
          <w:trHeight w:val="255"/>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217,486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224,035</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38,342</w:t>
            </w:r>
          </w:p>
        </w:tc>
      </w:tr>
      <w:tr>
        <w:trPr>
          <w:trHeight w:val="243"/>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2,973</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U.K</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7,311</w:t>
            </w:r>
          </w:p>
        </w:tc>
      </w:tr>
      <w:tr>
        <w:trPr>
          <w:trHeight w:val="257"/>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269,357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272,661</w:t>
            </w: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ALLOWANCE FOR LOSSES AND CREDIT QUALITY OF FINANCING RECEIVABLES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consider consumer loans made at our storefronts and online in the U.K. to be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Consumer loans made by EZCORP Online are considered delinquent if they are not repaid or renewed by the maturity date. We do not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Grupo Finmart's consumer loans are considered in current status as long as the customer is employed and Grupo Finmart receives payments via payroll withholdings. Loans outstanding from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allowance for credit losses, as well as the recorded investment in our financing receivables by portfolio segment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3"/>
                <w:szCs w:val="13"/>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49"/>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9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40" w:type="dxa"/>
            <w:vAlign w:val="bottom"/>
          </w:tcPr>
          <w:p>
            <w:pPr>
              <w:spacing w:after="0"/>
              <w:rPr>
                <w:sz w:val="12"/>
                <w:szCs w:val="12"/>
                <w:color w:val="auto"/>
              </w:rPr>
            </w:pP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Unsecured short-term consumer loans:</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2,928</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4,195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7,915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22,870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2,390</w:t>
            </w:r>
          </w:p>
        </w:tc>
        <w:tc>
          <w:tcPr>
            <w:tcW w:w="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2,593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23,029</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Secured short-term consumer loans: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1,804</w:t>
            </w:r>
          </w:p>
        </w:tc>
        <w:tc>
          <w:tcPr>
            <w:tcW w:w="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11,386</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942</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8,142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1,609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1,473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7,264</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Unsecured long-term consumer loans:</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2013</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972</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1,956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116,437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Three Months Ended December 31, 2012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623</w:t>
            </w:r>
          </w:p>
        </w:tc>
        <w:tc>
          <w:tcPr>
            <w:tcW w:w="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81,482</w:t>
            </w:r>
          </w:p>
        </w:tc>
        <w:tc>
          <w:tcPr>
            <w:tcW w:w="0" w:type="dxa"/>
            <w:vAlign w:val="bottom"/>
          </w:tcPr>
          <w:p>
            <w:pPr>
              <w:spacing w:after="0"/>
              <w:rPr>
                <w:sz w:val="1"/>
                <w:szCs w:val="1"/>
                <w:color w:val="auto"/>
              </w:rPr>
            </w:pPr>
          </w:p>
        </w:tc>
      </w:tr>
      <w:tr>
        <w:trPr>
          <w:trHeight w:val="33"/>
        </w:trPr>
        <w:tc>
          <w:tcPr>
            <w:tcW w:w="35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Benefit in unsecured long-term consumer loan provision is due to the sale of past due loans and recoveries of loans previously written-off.</w:t>
      </w:r>
    </w:p>
    <w:p>
      <w:pPr>
        <w:spacing w:after="0" w:line="20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2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100% of loans once they are more than 60 days past due. No fees are accrued on delinquent short-term consumer loans.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October 21, 2013, Grupo Finmart sold an unsecured long-term consumer loan portfolio, consisting of approximately 14,500 payroll withholding loans with a book value equal to $14.7 million, for $19.3 million. We realized a $4.6 million gain on this sale, which is included under other revenues in the condensed consolidated statements of operations.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29, 2013, Grupo Finmart acquired an unsecured long-term consumer loan portfolio, consisting of approximately 10,500 payroll withholding loans, for a total purchase price of approximately $15.7 million. Of the total purchase price, a minimum of $11.5 million will be paid, of which approximately $10.4 million was paid at closing and $1.1 million will be paid over the next year. The total price includes deferred consideration of approximately $4.2 million, subject to the performance of the portfolio and payable over the next 12 months as stipulated in the purchase agreement. The fair value of the loan portfolio was $13.4 million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aging analysis of past due financing receivables by portfolio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Recorded</w:t>
            </w:r>
          </w:p>
        </w:tc>
      </w:tr>
      <w:tr>
        <w:trPr>
          <w:trHeight w:val="135"/>
        </w:trPr>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r>
      <w:tr>
        <w:trPr>
          <w:trHeight w:val="177"/>
        </w:trPr>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Days Past Due</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5"/>
                <w:szCs w:val="15"/>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Pr>
          <w:p>
            <w:pPr>
              <w:spacing w:after="0"/>
              <w:rPr>
                <w:sz w:val="15"/>
                <w:szCs w:val="15"/>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5"/>
                <w:szCs w:val="15"/>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220" w:type="dxa"/>
            <w:vAlign w:val="bottom"/>
          </w:tcPr>
          <w:p>
            <w:pPr>
              <w:spacing w:after="0"/>
              <w:rPr>
                <w:sz w:val="15"/>
                <w:szCs w:val="15"/>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20" w:type="dxa"/>
            <w:vAlign w:val="bottom"/>
          </w:tcPr>
          <w:p>
            <w:pPr>
              <w:spacing w:after="0"/>
              <w:rPr>
                <w:sz w:val="15"/>
                <w:szCs w:val="15"/>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&gt; 90 Days</w:t>
            </w:r>
          </w:p>
        </w:tc>
      </w:tr>
      <w:tr>
        <w:trPr>
          <w:trHeight w:val="264"/>
        </w:trPr>
        <w:tc>
          <w:tcPr>
            <w:tcW w:w="1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1-30</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31-60</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61-90</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&gt;90</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6"/>
              </w:rPr>
              <w:t>Receivable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7"/>
              </w:rPr>
              <w:t>Accruing</w:t>
            </w:r>
          </w:p>
        </w:tc>
      </w:tr>
      <w:tr>
        <w:trPr>
          <w:trHeight w:val="198"/>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5"/>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Unsecured short-term consumer loans:*</w:t>
            </w:r>
          </w:p>
        </w:tc>
        <w:tc>
          <w:tcPr>
            <w:tcW w:w="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289</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436</w:t>
            </w:r>
          </w:p>
        </w:tc>
        <w:tc>
          <w:tcPr>
            <w:tcW w:w="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555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257</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655</w:t>
            </w:r>
          </w:p>
        </w:tc>
        <w:tc>
          <w:tcPr>
            <w:tcW w:w="2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Secured short-term consumer loans: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2,629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1,123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6,516</w:t>
            </w:r>
          </w:p>
        </w:tc>
        <w:tc>
          <w:tcPr>
            <w:tcW w:w="2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11,386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1,316</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471</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860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3,342</w:t>
            </w:r>
          </w:p>
        </w:tc>
        <w:tc>
          <w:tcPr>
            <w:tcW w:w="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3,922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7,264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2,096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1,313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905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5,224</w:t>
            </w:r>
          </w:p>
        </w:tc>
        <w:tc>
          <w:tcPr>
            <w:tcW w:w="2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9,789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Unsecured long-term consumer loans: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3,659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3,716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1,551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31,966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40,892</w:t>
            </w:r>
          </w:p>
        </w:tc>
        <w:tc>
          <w:tcPr>
            <w:tcW w:w="2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73,386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2,159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116,437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31,966</w:t>
            </w:r>
          </w:p>
        </w:tc>
      </w:tr>
      <w:tr>
        <w:trPr>
          <w:trHeight w:val="237"/>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5,485</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18,852</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13,214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39,751</w:t>
            </w:r>
          </w:p>
        </w:tc>
        <w:tc>
          <w:tcPr>
            <w:tcW w:w="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43,664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(1,933)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81,482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13,214</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8,909</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5,354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1,584</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29,492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45,339</w:t>
            </w:r>
          </w:p>
        </w:tc>
        <w:tc>
          <w:tcPr>
            <w:tcW w:w="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63,467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108,132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29,492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Unsecured short-term consumer loans amounts are included for periods after the acquisition of Go Cash.</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FASB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our assets and liabilities, which are carried at fair value, are classified in one of the following three categories: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Other observable inputs other than quoted market prices.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our financial assets that are measured at fair value on a recurring basis as of December 31, 2013, December 31, 2012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 (liabilities or temporary equity):</w:t>
            </w:r>
          </w:p>
        </w:tc>
        <w:tc>
          <w:tcPr>
            <w:tcW w:w="140" w:type="dxa"/>
            <w:vAlign w:val="bottom"/>
          </w:tcPr>
          <w:p>
            <w:pPr>
              <w:spacing w:after="0"/>
              <w:rPr>
                <w:sz w:val="23"/>
                <w:szCs w:val="2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23"/>
                <w:szCs w:val="23"/>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3"/>
                <w:szCs w:val="23"/>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5"/>
        </w:trPr>
        <w:tc>
          <w:tcPr>
            <w:tcW w:w="5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financial assets (liabilities or temporary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 (liabilities or temporary equity):</w:t>
            </w:r>
          </w:p>
        </w:tc>
        <w:tc>
          <w:tcPr>
            <w:tcW w:w="140" w:type="dxa"/>
            <w:vAlign w:val="bottom"/>
          </w:tcPr>
          <w:p>
            <w:pPr>
              <w:spacing w:after="0"/>
              <w:rPr>
                <w:sz w:val="23"/>
                <w:szCs w:val="2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23"/>
                <w:szCs w:val="23"/>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3"/>
                <w:szCs w:val="23"/>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5"/>
        </w:trPr>
        <w:tc>
          <w:tcPr>
            <w:tcW w:w="5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financial assets (liabilities or temporary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(28,386)</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7"/>
                <w:szCs w:val="17"/>
                <w:color w:val="auto"/>
              </w:rPr>
            </w:pPr>
          </w:p>
        </w:tc>
      </w:tr>
      <w:tr>
        <w:trPr>
          <w:trHeight w:val="26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 (liabilities or temporary equity):</w:t>
            </w:r>
          </w:p>
        </w:tc>
        <w:tc>
          <w:tcPr>
            <w:tcW w:w="140" w:type="dxa"/>
            <w:vAlign w:val="bottom"/>
          </w:tcPr>
          <w:p>
            <w:pPr>
              <w:spacing w:after="0"/>
              <w:rPr>
                <w:sz w:val="23"/>
                <w:szCs w:val="2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23"/>
                <w:szCs w:val="23"/>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3"/>
                <w:szCs w:val="23"/>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Forward contracts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financial assets (liabilities or temporary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measure the value of our marketable equity securities under a Level 1 input. These assets are publicly traded equity securities for which market prices are readily available. There were no transfers of assets in or out of Level 1 or Level 2 fair value measurements in the periods presented. At December 31, 2013 our marketable equity securities were in an unrealized loss position. The aggregate amount of unrealized losses at December 31, 2013 was nominal and we currently believe that the fair value decline is temporary.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used an income approach to measure the fair value of the contingent consideration using a probability-weighted discounted cash flow approach, in which all outcomes were successful. The significant inputs used for the valuation are not observable in the market, and thus this fair value measurement represents a Level 3 measurement within the fair value hierarchy. During the three month period ended December 31, 2013, we recorded nominal accretion expense, bringing the total contingent consideration liability to $16.1 million. During the three month period ended December 31, 2012, we recorded accretion expense of $0.2 million and $4.8 million of additional contingent consideration, attributable to the Go Cash acquisition, bringing the contingent liability to $28.4 million at December 31, 2012. These amounts are included in administrative expenses in our condensed consolidated statement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financial assets and liabilities as of December 31, 2013, December 31, 2012 and September 30, 2013, that are not measured at fair value in the condensed consolidated balance sheets, are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920"/>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2"/>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38,486</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38,486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153,421</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loans,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90,377</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30,842</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 fees receivable,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40,181</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69,309</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413,248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429,377</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45,247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384,130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57,578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55,557</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55,557</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line of credit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146,500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lines of credit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Securitization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Notes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252,026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253,200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204,452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76"/>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2"/>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46,668</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46,668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162,150</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loans,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43,374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31,077</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 fees receivable,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34,073</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80,199</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384,180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400,668</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49,795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350,873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49,323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49,323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49,323</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line of credit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142,600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lines of credit</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Securitization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Notes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235,540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234,998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32,430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202,568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920"/>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2"/>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36,317</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loans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156,637</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loans, net</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64,515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74,979</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30,362</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loan fees receivable, net</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36,588</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89,693</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399,878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430,044</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41,785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388,259</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55,393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55,557</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55,557</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line of credit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140,900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lines of credit</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Securitization borrowing facility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39,029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Notes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246,375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247,519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47,713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199,806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bear interest at market rates and have maturities of less than 90 days.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U.S. pawn loan term ranges between 60 and 120 days, consisting of the primary term and grace period. The total Mexico pawn loan term is 40 days, consisting of the primary term and grace period.</w:t>
      </w:r>
    </w:p>
    <w:p>
      <w:pPr>
        <w:spacing w:after="0" w:line="162"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w:t>
      </w:r>
    </w:p>
    <w:p>
      <w:pPr>
        <w:spacing w:after="0" w:line="1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Consumer loan fees and interest receivable are carried in the consolidated balance sheet net of the allowance for uncollectible consumer loan fees and interest receivable, which is based on recent loan default experience adjusted for seasonal variations and collection percentages.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short-term nature of the assets discussed above we estimate that their carrying value approximates fair value.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Consumer loans, including long-term unsecured consumer loans made by Grupo Finmart, are carried in the consolidated balance sheet net of the allowance for estimated loan losses, which is based on recent loan default experience adjusted for seasonal variations. Consumer loans, other than those made by Grupo Finmart, have relatively short maturity periods that are generally 12 months;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measure the fair value of our financial liabilities using an income approach. Fair value measurements for our domestic line of credit were calculated using discount rates based on an estimated senior secured spread plus term matched risk free rates as of the valuation dates. We utilize credit quality-related zero rate curves for Mexican Pesos built by a price vendor authorized by the Comisión Nacional Bancaria y de Valores to determine the fair value measurements of the remaining financial liabilities that are classified as Level 2. For fair value measurements that are classified as Level 1, we utilize quoted price and yield inputs from Bloomberg and a price vendor authorized by the Comisión Nacional Bancaria y de Valores.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INSTRUMENTS AND HEDGING ACTIVITIES</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third quarter ended June 30, 2013, Grupo Finmart completed a $30 million cross-border debt offering for which it has to pay interest on a semiannual basis at a fixed rate. Grupo Finmart uses derivative instruments (cross currency forwards) to manage its exposure related to changes in foreign currency exchange rate on this instrument through its maturity on November16, 2015. Grupo Finmart does not enter into derivative instruments for any purpose other than cash flow hedging.</w:t>
      </w:r>
    </w:p>
    <w:p>
      <w:pPr>
        <w:spacing w:after="0" w:line="4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both testings. Based on the results of our testing, we have no ineffectiveness as of December 31, 2013 and December 31, 2012.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certain information regarding our derivative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tc>
        <w:tc>
          <w:tcPr>
            <w:tcW w:w="800" w:type="dxa"/>
            <w:vAlign w:val="bottom"/>
            <w:tcBorders>
              <w:bottom w:val="single" w:sz="8" w:color="auto"/>
            </w:tcBorders>
          </w:tcPr>
          <w:p>
            <w:pPr>
              <w:spacing w:after="0"/>
              <w:rPr>
                <w:sz w:val="16"/>
                <w:szCs w:val="16"/>
                <w:color w:val="auto"/>
              </w:rPr>
            </w:pPr>
          </w:p>
        </w:tc>
      </w:tr>
      <w:tr>
        <w:trPr>
          <w:trHeight w:val="264"/>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28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64"/>
        </w:trPr>
        <w:tc>
          <w:tcPr>
            <w:tcW w:w="4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1,813</w:t>
            </w:r>
          </w:p>
        </w:tc>
      </w:tr>
      <w:tr>
        <w:trPr>
          <w:trHeight w:val="39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3"/>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 of Loss Recognized in Other</w:t>
            </w: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3"/>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on Derivatives</w:t>
            </w:r>
          </w:p>
        </w:tc>
      </w:t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286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22"/>
                <w:szCs w:val="22"/>
                <w:color w:val="auto"/>
              </w:rPr>
            </w:pPr>
          </w:p>
        </w:tc>
        <w:tc>
          <w:tcPr>
            <w:tcW w:w="8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4"/>
        </w:trPr>
        <w:tc>
          <w:tcPr>
            <w:tcW w:w="4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jc w:val="center"/>
              <w:ind w:left="62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Borders>
              <w:top w:val="single" w:sz="8" w:color="auto"/>
            </w:tcBorders>
          </w:tcPr>
          <w:p>
            <w:pPr>
              <w:spacing w:after="0"/>
              <w:rPr>
                <w:sz w:val="22"/>
                <w:szCs w:val="22"/>
                <w:color w:val="auto"/>
              </w:rPr>
            </w:pPr>
          </w:p>
        </w:tc>
      </w:tr>
      <w:tr>
        <w:trPr>
          <w:trHeight w:val="25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portion of cash flow hedge</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31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Loss on Derivatives</w:t>
            </w: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3"/>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into Income from</w:t>
            </w: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3"/>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286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22"/>
                <w:szCs w:val="22"/>
                <w:color w:val="auto"/>
              </w:rPr>
            </w:pPr>
          </w:p>
        </w:tc>
        <w:tc>
          <w:tcPr>
            <w:tcW w:w="8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4"/>
        </w:trPr>
        <w:tc>
          <w:tcPr>
            <w:tcW w:w="4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jc w:val="center"/>
              <w:ind w:left="62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Borders>
              <w:top w:val="single" w:sz="8" w:color="auto"/>
            </w:tcBorders>
          </w:tcPr>
          <w:p>
            <w:pPr>
              <w:spacing w:after="0"/>
              <w:rPr>
                <w:sz w:val="22"/>
                <w:szCs w:val="22"/>
                <w:color w:val="auto"/>
              </w:rPr>
            </w:pPr>
          </w:p>
        </w:tc>
      </w:tr>
      <w:tr>
        <w:trPr>
          <w:trHeight w:val="25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 other income</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245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9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right="518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 16: SUPPLEMENTAL CONSOLIDATED FINANCIAL INFORMATION </w:t>
      </w:r>
      <w:r>
        <w:rPr>
          <w:rFonts w:ascii="Times New Roman" w:cs="Times New Roman" w:eastAsia="Times New Roman" w:hAnsi="Times New Roman"/>
          <w:sz w:val="17"/>
          <w:szCs w:val="17"/>
          <w:u w:val="single" w:color="auto"/>
          <w:color w:val="auto"/>
        </w:rPr>
        <w:t>Supplemental Consolidated Statements of Financial Position Information:</w:t>
      </w: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net amounts included in pawn service charges receivable, consumer loan fees, inventories and property and equipment: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Pawn service charges receivable: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pawn service charges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38,571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40,220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40,336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uncollectible pawn service charges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30,842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31,077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30,362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fees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consumer loan fees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38,355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uncollectible consumer loan fees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Consumer loan fees receivable,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34,073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36,588</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gross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147,975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126,458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149,446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142,711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120,271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145,200</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225,634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273,271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291,245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(174,964)</w:t>
            </w:r>
          </w:p>
        </w:tc>
      </w:tr>
      <w:tr>
        <w:trPr>
          <w:trHeight w:val="257"/>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114,539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114,082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116,281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Property and equipment at December 31, 2013, December 31, 2012 and September 30, 2013 includes $1.6 million, $1.4 million and $1.6 million, respectively, of equipment leased under a capital lease. Amortization of equipment under capital leases is included with depreciation expense and was $0.1 million for the three-month period ended December 31, 2013 and $0.2 million for the three-month period ended December 31, 2012. Future minimum lease payments related to capital leases are $0.6 million and $0.2 million due within one and two years respectively for a total of $0.8 million; of this amount, $0.1 million represents interest. The present value of net minimum lease payments as of December 31, 2013 was $0.8 million.</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first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As a result of this transaction, we realized a gain of $6.3 million, which is included under the (gain) loss on sale or disposal of assets in the condensed consolidated statements of operations. In addition, we recorded a deferred gain of $0.7 million, which is included under deferred gains and other long-term liabilities in the condensed consolidated balance sheet. This gain will be recognized upon repayment of the promissory note.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Supplemental Information:</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issue letters of credit (LOC) to enhance the creditworthiness of our customers seeking unsecured loans from unaffiliated lenders. The letters of credit assure the lenders that if borrower default on the loans, we will pay the lenders, upon demand, the principal and accrued interest owed to the lenders by the borrowers plus any insufficient funds fees. Our current carrying value of expected losses and maximum exposure for losses on letters of credit, if all brokered loans defaulted and none was collected, is summarized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1"/>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LOC losses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3,041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2,623</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Maximum exposure for LOC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35,592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33,380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Exposure secured by titles to customers’ automobiles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9,947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9,893</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27, 2014, Albemarle &amp; Bond announced the termination of their formal sales process, and stated that there may be limited value attributable to the ordinary shares. We continue to assess the impact of this announcement on the value of our investment. However, we may be required to impair the remaining $7.9 million of our investment in the second quarter of fiscal year 2014.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September 30, 2013.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Operations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leader in delivering easy cash solutions to our customers across channels, products, services and markets. With approximately 7,600 teammates and approximately 1,400 locations and branches, we give our customers multiple ways to access instant cash, including pawn loans and consumer loans in the United States, Mexico, Canada and the United Kingdom. We offer these products through our four primary channels: in-store, online, at the worksite and through our mobile platforms. At our pawn and buy/sell stores and online, we also sell merchandise, primarily collateral forfeited from pawn lending operations and used merchandise purchased from customers.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some U.S. locations (primarily in Texas), we do not offer loan products, but rather offer credit services to help customers obtain loans from independent third-party lenders.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60% interest in Prestaciones Finmart, S.A.P.I. de C.V., SOFOM, E.N.R. ("Grupo Finmart"), a leading payroll withholding lender headquartered in Mexico City; and a 51% interest in Renueva Commercial S.A.P.I. de C.V. ("TUYO"), a company headquartered in Mexico City that owns and operates buy/sell stores in Mexico City and the surrounding metropolitan area.</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2013, we operated a total of 1,344 locations, consisting of:</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 U.S. pawn stores (operating primarily as EZPAWN or Value Pawn);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U.S. buy/sell stores (operating as Cash Converters);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Mexico pawn stores (operating as Empeño Fácil);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Mexico buy/sell stores (operating as TUYO);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 U.S. financial services stores (operating primarily as EZMONEY);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financial services stores in Canada (operating as CASHMAX);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buy/sell and financial services stores in Canada (operating as Cash Converters);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Grupo Finmart locations in Mexico.</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we are the franchisor for 6 franchised Cash Converters stores in Canada. We also own approximately 33% of Cash Converters International Limited, which is based in Australia and franchises and operates a worldwide network of over 700 locations that provide financial services and buy and sell second-hand goods, and almost 30% of Albemarle &amp; Bond Holdings, PLC, a U.K. pawnbroking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 All business activities in the United States and Canada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 All business activities in Mexico and other parts of Latin America</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 All business activities in the rest of the world (currently consisting of Cash Genie online lending business in the United Kingdom and our equity interests in the results of operations of Albemarle &amp; Bond and Cash Converters International)</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stores by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Acquired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December 31, 2012</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Acquired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Stores in continuing operations: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2013, we implemented a plan to close 107 legacy stores (all of which were in operation at December 31, 2012) in a variety of locations. These stores were generally older, smaller stores that did not fit our future growth profile.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store closings included:</w:t>
      </w:r>
    </w:p>
    <w:p>
      <w:pPr>
        <w:spacing w:after="0" w:line="171" w:lineRule="exact"/>
        <w:rPr>
          <w:sz w:val="20"/>
          <w:szCs w:val="20"/>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stores in Mexico, 52 of which were small, jewelry-only asset group formats. We will continue to operate our full-service SWS locations under the Empeño Fácil brand, and expect to continue our storefront growth in Mexico.</w:t>
      </w:r>
    </w:p>
    <w:p>
      <w:pPr>
        <w:spacing w:after="0" w:line="10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stores in Canada, where we were in the process of transitioning to an integrated buy/sell and financial services model under the Cash Converters brand. The affected asset group consists of stores that were not optimal for that model because of location or size. We will continue to operate full-service buy/sell and financial services center stores under the Cash Converters brand in Canada and the United States.</w:t>
      </w:r>
    </w:p>
    <w:p>
      <w:pPr>
        <w:spacing w:after="0" w:line="122"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financial services stores in Dallas, Texas and the State of Florida, where we exited both locations primarily due to onerous regulatory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jewelry-only concept store, which was our only jewelry-only store in the United States.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discontinued operations, we incurred charges in the fiscal year ended September 30, 2013 for lease termination costs, asset and inventory write-downs to net realizable liquidation value, uncollectible receivables, and employee severance costs. During the first quarter ended December 31, 2013, we recorded $2.6 million of pre-tax gains related to these termination costs, primarily lease terminations of $1.8 million, as negotiated amounts were lower than the initial lease buyout estimates recorded in the prior year, and inventory write-downs of $0.6 million. These gains have been recorded as part of income from discontinued operations in our first quarter ended December 31, 2013 condensed consolidated statement of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2013 accrued severance and lease termination costs related to discontinued operations were $3.8 million. This amount is included in accounts payable and accrued liabilities in our condensed consolidated balance sheets. During the first quarter ended December 31, 2013, $1.7 million in cash payments were made with regard to the recorded termination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in the three-month periods ended December 31, 2013 and 2012 include $2.6 million and $4.5 million of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pre-tax operating losses by operating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9"/>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5"/>
        </w:trPr>
        <w:tc>
          <w:tcPr>
            <w:tcW w:w="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spacing w:after="0"/>
              <w:rPr>
                <w:sz w:val="21"/>
                <w:szCs w:val="21"/>
                <w:color w:val="auto"/>
              </w:rPr>
            </w:pPr>
          </w:p>
        </w:tc>
      </w:tr>
      <w:tr>
        <w:trPr>
          <w:trHeight w:val="201"/>
        </w:trPr>
        <w:tc>
          <w:tcPr>
            <w:tcW w:w="8580" w:type="dxa"/>
            <w:vAlign w:val="bottom"/>
            <w:gridSpan w:val="5"/>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U.S. &amp; Canada</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7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3,133</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gains related to the reorganization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Latin America</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termination gain related to the reorganization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2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2,462</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4,355</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Operating loss from discontinued operations before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termination gains related to the reorganization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 and Retail Activities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earn pawn service charge revenue on our pawn lending. At December 31, 2013, we had an aggregate pawn loan principal balance of $153.4 million, and pawn service charges accounted for approximately 24% of our total revenues and 38% of our net revenues. While allowable service charges vary by state and loan size, a majority of our U.S. pawn loans earn 20% per month. Our average U.S. pawn loan amount typically ranges between $132 to $138,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 Mexico, individual loans are made in Mexican pesos and vary depending on the valuation of each item pawned, but typically average $66 U.S. dollars.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our pawn stores, buy/sell stores in Pennsylvania and Virginia and certain financial services stores in Canada, we acquire inventory for retail sales through pawn loan forfeitures, purchases of customers’ second-hand merchandise or purchases of new or refurbished merchandise from third-party vendors. The gross profit on sales of inventory depends primarily on our assessment of the loan or purchase value at the time the property is either accepted as loan collateral or purchased. Margins achieved on sale of inventory are a function of the assessment of value at the time the pawn loan was originated or, in the case of purchased merchandise, the purchase price.</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December 31, 2013, our total allowance was 3.6% of gross inventory compared to 4.9% at December 31, 2012 and 2.8% at September 30, 2013. Changes in the valuation allowance are charged to merchandise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 Activities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loan fee revenue on our consumer loans. In two U.S. pawn stores, 108 U.S. financial services stores and 39 Canadian financial services stores, we offer single-payment unsecured consumer loans. The average single-payment loan amount is approximately $430 and the term is generally less than 30 days, averaging about 18 days. We typically charge a fee of 15% to 40% of the loan amount. In 123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150% of the original principal amount of the loan. Multiple-payment loan principal amounts range from $100 to $3,500, but average approximately $550.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cities in Texas we offer credit services to customers seeking consumer loans from unaffiliated lenders. In these locations, we act as a credit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("CSO") on behalf of customers in accordance with applicable state and local laws. We do not participate in any of the loans made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but earn a fee for helping customers obtain credit and for enhancing customers’ creditworthiness by providing letters of credit to the unaffiliated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Customers may obtain different types of consumer loans from the unaffiliated lenders. For credit services in connection with arranging a 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loan (average loan amount of about $512), our fee is approximately 22% - 48% of the loan amount. For credit services in connection with arranging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unsecured multiple-payment loan (average loan amount of about $920), our fee is 150% of the initial loan amount. For credit services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arranging single-payment auto title loans (average loan amount of about $1,125), the fee is up to 30% of the loan amount with average rate of 20%. We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customers in obtaining longer-term multiple-payment auto title loans from unaffiliated lenders. Multiple-payment auto title loans typically carry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up to five months with up to ten equal installments. Multiple-payment auto title loan principal amounts range from $150 to $10,000, but average about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$1,180; and we earn a fee of 50% to 150% of the initial loan amount. At December 31, 2013, signature loans comprised 70% of all loans brokered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Single-payment loans comprised 76% of the balance of signature loans brokered through our credit services, and multiple-payment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the remaining 24%.</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December 31, 2013, 429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$1,060. We earn a fee of 9% to 30% of auto title loan amounts.</w:t>
      </w:r>
    </w:p>
    <w:p>
      <w:pPr>
        <w:spacing w:after="0" w:line="12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At December 31, 2013, our U.S. online lending business operated in six states. In Louisiana, Missouri, South Dakota and Hawaii, we offer single-payment loans with an average principal amount of $365 and terms generally less than 30 days. Total interest and fees vary in accordance with state law and loan terms, but over the entire loan term, total approximately 15% to 45% of the original principal amount of the loan. Our online lending business in Texas and Ohio operates under a CSO model similar to that described above. The average principal amount for online loans in Texas and Ohio is about $460. We also offer single- and multiple-payment loans online in the U.K.</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Mexico, Grupo Finmart offers multiple-payment consumer loans with projected annual yields of approximately 43% and collects interest and principal through payroll deductions. The average loan is about $1,580 with a term of approximately 30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payroll withholding lending business is less impacted by seasonality, with the exception of the summer months when new loan originations tend to moderate.</w:t>
      </w:r>
    </w:p>
    <w:p>
      <w:pPr>
        <w:spacing w:after="0" w:line="108" w:lineRule="exact"/>
        <w:rPr>
          <w:sz w:val="20"/>
          <w:szCs w:val="20"/>
          <w:color w:val="auto"/>
        </w:rPr>
      </w:pPr>
    </w:p>
    <w:p>
      <w:pPr>
        <w:ind w:right="320"/>
        <w:spacing w:after="0" w:line="469" w:lineRule="auto"/>
        <w:rPr>
          <w:sz w:val="20"/>
          <w:szCs w:val="20"/>
          <w:color w:val="auto"/>
        </w:rPr>
      </w:pPr>
      <w:r>
        <w:rPr>
          <w:rFonts w:ascii="Times New Roman" w:cs="Times New Roman" w:eastAsia="Times New Roman" w:hAnsi="Times New Roman"/>
          <w:sz w:val="18"/>
          <w:szCs w:val="18"/>
          <w:color w:val="auto"/>
        </w:rPr>
        <w:t xml:space="preserve">The net effect of these factors is that net revenues and net income typically are strongest in the fourth fiscal quarter and weakest in the third fiscal quarter. </w:t>
      </w:r>
      <w:r>
        <w:rPr>
          <w:rFonts w:ascii="Times New Roman" w:cs="Times New Roman" w:eastAsia="Times New Roman" w:hAnsi="Times New Roman"/>
          <w:sz w:val="18"/>
          <w:szCs w:val="18"/>
          <w:b w:val="1"/>
          <w:bCs w:val="1"/>
          <w:i w:val="1"/>
          <w:iCs w:val="1"/>
          <w:color w:val="auto"/>
        </w:rPr>
        <w:t>Recent Regulatory Developments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18, 2013, the City of Houston passed an ordinance to regulate business offering payday loans and auto title loans by limiting certain loan terms, including the size of the loan, number of renewals and amount of principal payments. Similar ordinances have been adopted in other Texas cities such as Dallas, Austin, San Antonio and El Paso in the last few years. The Houston ordinance takes effect in July 2014. El Paso ordinance took effect in January 2014. We expect these ordinances to have a negative impact on our financial services business in those cities.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critical accounting policies as described in our Annual Report on Form 10-K for the year ended September 30,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See Note 1 to our interim condensed financial statements included in "Part I - Item 1 - Financial Statements and Supplementary Data" for a discussion of recently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December 31, 2013 vs. Three Months Ended December 31, 2012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consolidated financial data for our three-month periods ended December 31, 2013 and 2012 (the "current quarter" and "prior year quarter," respectively). This table, as well as the discussion that follows, should be read with the accompanying unaudited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133,290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139,313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Pawn service charges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66,329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63,134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269,357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272,661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83,608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 bad debt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167,317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172,890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EZCORP, Inc.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21,087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32,423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attributable to EZCORP, Inc.</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EZCORP, Inc.</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22,569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30,717</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Pawn loans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153,421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162,150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82,807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40,470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142,711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120,271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consumer loans,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60,750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66,615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Consumer loans outstanding with unaffiliated lenders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30,913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27,972</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earnings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470,602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417,478</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17145</wp:posOffset>
            </wp:positionV>
            <wp:extent cx="3027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Consumer loans outstanding with unaffiliated lenders are not recorded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-95885</wp:posOffset>
            </wp:positionV>
            <wp:extent cx="3027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current quarter, net income attributable to EZCORP, Inc. was $22.6 million compared to $30.7 million during the same period last year. This decrease is primarily attributable to a decrease in jewelry scrapping, an increase in operating expenses, and a decrease in equity in net income of unconsolidated affiliates, offset by a decrease in income tax expense and a recorded gain from the discontinued operations as compared to a loss in the prior quarter.</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revenues were $269.4 million compared to $272.7 million in the same period last year. Excluding jewelry scrapping sales, total revenues increased $13.7 million, or 6%, driven by strong retail sales and consumer loan fee growth in the United States and Latin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increased by $7.4 million, or 6%. This increase is mainly attributable to:</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increase in operations expense primarily as a result of new and acquired stores and increased labor, benefits, and costs associated with various business growth initiatives, such as EZCORP Online;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administrative expenses mainly due to one-time bonuses awarded in the quarter;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depreciation and amortization expenses due to assets placed in service as we continue to invest in the infrastructure to support our growth; offset 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gain on sale or disposal of assets.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Equity in net income of unconsolidated affiliates decreased by $3.8 million, driven primarily by an estimated net operating loss from Albemarle &amp; Bond in the current quarter as compared to net operating income in the prior year quarter. On January 27, 2014, Albemarle &amp; Bond announced the termination of their formal sales process, and stated that there may be limited value attributable to the ordinary shares. As a result, we may be required to write off the remaining $7.9 million of our investment in the second quarter. Income tax expense decreased by $6.8 million primarily as a result of a decrease in net income and lower effective tax rate as compared to the prior quarter. During the current quarter we recorded a gain from discontinued operations of $1.5 million, net of tax, mainly due to favorable lease buyouts.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Earning assets were $470.6 million at quarter-end, an increase of 13%. This was a result of increases in payroll withholding, installment, and auto title loans assets, as well as inventory in the U.S. and Mexico. Net inventory was $142.7 million, a 19% increase compared to the same period in 2013, but 2% less than the fourth quarter of fiscal year 2013. The increase in inventory as compared to the prior year quarter is attributed to the strategy implemented to drive jewelry retail sales rather than scrapping.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Disclosure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generally accepted accounting principles in the United States of America ("GAAP"), the Company provides certain other non-GAAP financial information such as earnings from continuing operations attributable to EZCORP, Inc. before interest, taxes, depreciation and amortization ("EBITDA")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believes that presentation of non-GAAP financial information is meaningful and useful in understanding the activities and business metrics of the Company’s operations. Management believes that these non-GAAP financial measures reflect an additional way of viewing aspects of the Company’s business that, when viewed with its GAAP results, provide a more complete understanding of factors and trends affecting its business.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provides non-GAAP financial information for informational purposes and to enhance understanding of the Company’s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from Continuing Operations Attributable to EZCORP, Inc. Before Interest, Taxes, Depreciation and Amortization</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EBITDA from continuing operations is commonly used by investors to assess a company’s leverage capacity, liquidity and financial performance. The following table provides a reconciliation of net income to EBITDA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9"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1903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5"/>
        </w:trPr>
        <w:tc>
          <w:tcPr>
            <w:tcW w:w="53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60" w:type="dxa"/>
            <w:vAlign w:val="bottom"/>
            <w:gridSpan w:val="4"/>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EZCORP, Inc.</w:t>
            </w:r>
          </w:p>
        </w:tc>
        <w:tc>
          <w:tcPr>
            <w:tcW w:w="3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21,087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32,423</w:t>
            </w:r>
          </w:p>
        </w:tc>
      </w:tr>
      <w:tr>
        <w:trPr>
          <w:trHeight w:val="27"/>
        </w:trPr>
        <w:tc>
          <w:tcPr>
            <w:tcW w:w="5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3,637</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16,672</w:t>
            </w:r>
          </w:p>
        </w:tc>
      </w:tr>
      <w:tr>
        <w:trPr>
          <w:trHeight w:val="27"/>
        </w:trPr>
        <w:tc>
          <w:tcPr>
            <w:tcW w:w="5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7,274</w:t>
            </w:r>
          </w:p>
        </w:tc>
      </w:tr>
      <w:tr>
        <w:trPr>
          <w:trHeight w:val="297"/>
        </w:trPr>
        <w:tc>
          <w:tcPr>
            <w:tcW w:w="5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3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44,706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60,006</w:t>
            </w:r>
          </w:p>
        </w:tc>
      </w:tr>
      <w:tr>
        <w:trPr>
          <w:trHeight w:val="163"/>
        </w:trPr>
        <w:tc>
          <w:tcPr>
            <w:tcW w:w="532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269,357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272,661</w:t>
            </w:r>
          </w:p>
        </w:tc>
      </w:tr>
      <w:tr>
        <w:trPr>
          <w:trHeight w:val="27"/>
        </w:trPr>
        <w:tc>
          <w:tcPr>
            <w:tcW w:w="5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6"/>
        </w:trPr>
        <w:tc>
          <w:tcPr>
            <w:tcW w:w="53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EBITDA Margin (EBITDA / Total Revenues)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486"/>
        </w:trPr>
        <w:tc>
          <w:tcPr>
            <w:tcW w:w="5320" w:type="dxa"/>
            <w:vAlign w:val="bottom"/>
          </w:tcPr>
          <w:p>
            <w:pPr>
              <w:spacing w:after="0"/>
              <w:rPr>
                <w:sz w:val="24"/>
                <w:szCs w:val="24"/>
                <w:color w:val="auto"/>
              </w:rPr>
            </w:pPr>
          </w:p>
        </w:tc>
        <w:tc>
          <w:tcPr>
            <w:tcW w:w="31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3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data for the U.S. &amp; Canada segment: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01"/>
        </w:trPr>
        <w:tc>
          <w:tcPr>
            <w:tcW w:w="8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79,704</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Jewelry scrapping sales</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41,988</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Pawn service charges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58,197</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48,702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44,328</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2,791</w:t>
            </w:r>
          </w:p>
        </w:tc>
      </w:tr>
      <w:tr>
        <w:trPr>
          <w:trHeight w:val="237"/>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221,071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227,008</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53,047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46,322</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29,074</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10,928</w:t>
            </w:r>
          </w:p>
        </w:tc>
      </w:tr>
      <w:tr>
        <w:trPr>
          <w:trHeight w:val="237"/>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133,898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140,684</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90,682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84,572</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3,691</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44,610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52,232</w:t>
            </w:r>
          </w:p>
        </w:tc>
      </w:tr>
      <w:tr>
        <w:trPr>
          <w:trHeight w:val="67"/>
        </w:trPr>
        <w:tc>
          <w:tcPr>
            <w:tcW w:w="8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margin on total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319,803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299,577</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pawn loan balance per pawn store at period end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yield on pawn loan portfolio (a)</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Pawn loan redemption rate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Consumer loan bad debt as a percentage of consumer loan fees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8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Average yield on pawn loan portfolio is calculated as pawn service charge revenues for the period divided by the average pawn loan balance during the period.</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U.S. &amp; Canada segment total revenues decreased $5.9 million from the prior year quarter to $221.1 million. Same-store total revenues decreased $17.2 million, or 8%, and new and acquired stores net of closed stores contributed $11.3 million. The overall decrease in total revenues was mostly due to a $16.1 million decrease in jewelry scrapping sales. Excluding jewelry scrapping sales, total revenues increased $10.1 million, or 5%. The increase mainly consisted of a $9.2 million increase in merchandise sales, and a $4.4 million increase in consumer loan fees, offset by a $1.1 million decrease in pawn service charges and a $2.3 million decrease in other revenues. In the current quarter we opened five de novo locations bringing our total number of stores in the U.S. &amp; Canada segment to 1,028, a 3% increase over the prior year quarter.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U.S. &amp; Canada segment earning assets increased by $20.2 million mainly due to higher inventory levels as a result of our implemented strategy to drive jewelry retail sales rather than scrapping. Jewelry sales increased 33% in total and 29% on a same-store basis, with gross margin of 45% compared to 46% last year, due to improved presentation, pricing and promotions at our 489 storefronts. This strong performance compares very favorably to traditional retail jewelers in the U.S. who generally reported mid-single digit same-store growth this past quarter.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current quarter merchandise sales gross profit increased $2.5 million, or 7%, from the prior year quarter to $35.8 million. Same-store merchandise sales increased $5.9 million and new and acquired stores net of closed stores contributed $3.2 million. This increase is driven by strong performance in storefronts and eCommerce sales. Gross margin on merchandise sales remained strong at 40%, with only a 160 basis point decrease from the same quarter last year as we aggressively pursued market share.</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Gross profit on jewelry scrapping sales decreased $5.6 million, or 43%, from the prior year quarter to $7.4 million. In mid-April 2013, gold prices declined abruptly on a global basis. Jewelry scrapping revenues decreased $16.1 million, or 38%, due to a 19% decrease in proceeds realized per gram of gold jewelry scrapped, coupled with a 28% decrease in gold volume. The decrease in volume is due to a change in strategy to retail our jewelry rather than scrap it. Same-store jewelry scrapping sales decreased $18.8 million, or 45%, and new and acquired stores contributed $2.7 million. Jewelry scrapping sales include the sale of approximately $3.3 million of loose diamonds removed from scrap jewelry in the current and the prior year quarters. As a result of the decrease in volume, scrap cost of goods decreased $10.5 million.</w:t>
      </w:r>
    </w:p>
    <w:p>
      <w:pPr>
        <w:spacing w:after="0" w:line="1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current quarter pawn service charge revenues decreased by $1.1 million, or 2%, from the prior year quarter to $57.1 million. Same-store pawn service charge revenues decreased $2.7 million, or 5%, with new and acquired stores net of closed stores contributing $1.6 million. The total decrease is primarily due to a decrease in the pawn loan balance outstanding as a result of a shift in mix from higher value jewelry to lower value general merchandise loans. The general merchandise loan balance grew 9% while the jewelry loan balance declined 8%. Transactions were up 3% and average loan size decreased approximately 8% compared to the same quarter last year.</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segment expenses increased to $89.3 million (40% of revenues) during the current quarter from $88.5 million (39% of revenues) in the prior year quarter. Operations expense increased 7%, or $6.1 million, in the current quarter due to higher operating costs at new and acquired stores and increased labor, benefits and costs associated with various business growth initiatives, such as EZCORP Online. Depreciation and amortization increased $1.1 million, or 28%, from the prior year quarter to $4.9 million, mainly due to assets placed in service at new and acquired stores. (Gain) loss on sale or disposal of other assets increased to a gain $6.3 million as a result of a gain realized on a sale of seven U.S. pawn stores (three in Louisiana, two in Mississippi, one in Alabama and one in Florida).</w:t>
      </w:r>
    </w:p>
    <w:p>
      <w:pPr>
        <w:spacing w:after="0" w:line="13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In the current quarter, U.S. &amp; Canada delivered a segment contribution of $44.6 million, a $7.6 million decrease compared to the prior year quarter. In the current quarter, the U.S. &amp; Canada segment's contribution represented 86% of consolidated segment contribution compared to 78% in the prior year. The U.S.</w:t>
      </w:r>
    </w:p>
    <w:p>
      <w:pPr>
        <w:spacing w:after="0" w:line="1" w:lineRule="exact"/>
        <w:rPr>
          <w:sz w:val="20"/>
          <w:szCs w:val="20"/>
          <w:color w:val="auto"/>
        </w:rPr>
      </w:pPr>
    </w:p>
    <w:p>
      <w:pPr>
        <w:ind w:right="600" w:firstLine="8"/>
        <w:spacing w:after="0" w:line="261"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segment has experienced significant challenges related to gold scrap sales; however, other elements of the business have continued to show strength.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Latin America segment after translation to U.S. dollars from its functional currency of the Mexican peso:</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Merchandise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Pawn service charges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38,342</w:t>
            </w: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loan bad debt expense (benefit)</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31,572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28,536</w:t>
            </w:r>
          </w:p>
        </w:tc>
        <w:tc>
          <w:tcPr>
            <w:tcW w:w="0" w:type="dxa"/>
            <w:vAlign w:val="bottom"/>
          </w:tcPr>
          <w:p>
            <w:pPr>
              <w:spacing w:after="0"/>
              <w:rPr>
                <w:sz w:val="1"/>
                <w:szCs w:val="1"/>
                <w:color w:val="auto"/>
              </w:rPr>
            </w:pPr>
          </w:p>
        </w:tc>
      </w:tr>
      <w:tr>
        <w:trPr>
          <w:trHeight w:val="224"/>
        </w:trPr>
        <w:tc>
          <w:tcPr>
            <w:tcW w:w="8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expenses (income):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18,382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14,635</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9,728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Other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Gross margin on merchandise sales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Gross margin on jewelry scrapping sales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Gross margin on total sales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Earning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148,513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113,092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Average yield on pawn loan portfolio (a)</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loan bad debt as a percentage of consumer loan fees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average exchange rate used to translate Latin America’s current quarter results from Mexican pesos to U.S. dollars was 13.0 to 1, 1% weaker than the prior year quarter’s rate of 12.9 to 1. In the current quarter, we opened four de novo stores, bringing the total number of stores in the Latin America segment to 316, operating under the brands of Empeño Fácil, Crediamigo, Adex, and TUYO.</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Latin America segment's total revenues increased $6.6 million, or 17%, in the current quarter to $45.0 million. Same-store total revenues increased $3.6 million, or 9%, to $41.9 million, and new and acquired stores contributed $3.0 million. The overall increase in total revenues was due to the $2.4 million increase in Grupo Finmart consumer loan fees, $1.8 million increase in merchandise sales, and a $3.5 million increase in other revenues, partially offset by a $0.9 million decrease in jewelry scrapping sales and a $0.1 million decrease in pawn service charges. The Latin America segment's earning assets increased $35.4 million, or 31%, mainly due to an increase in consumer loans outstanding.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Latin America's pawn service charge revenues decreased slightly by $0.1 million, or 2%, in the current quarter to $7.1 million. Same-store pawn service charges decreased $1.0 million, or 13%, to $6.3 million and new and acquired stores contributed $0.8 million. The decrease was primarily due as management's focus on better quality lending. Yield on the loan balance improved 1,200 basis points from 193% to 205%.</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Latin America's other revenues increased $3.5 million primarily as a result of a sale of a payroll withholding loan portfolio by Grupo Finmart at a gain of $4.6 million.</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Merchandise gross profit decreased slightly by $0.1 million, or 2%, from the prior year quarter to $6.2 million. The decrease was due to a 5,200 basis points decrease in gross margin to 37%, offset by $1.9 million contributed by new and acquired stores. The decrease in margin was due to aggressive pricing in an increasingly competitive marketplace. The company expects margins to continue to be pressured for the remainder of the year.</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profit on jewelry scrapping sales decreased $0.2 million, or 33%, from the prior year quarter to $0.3 million. Jewelry scrapping revenues decreased $0.9 million, or 35%, from the prior year quarter to $1.8 million. The decrease was due to an 18% decrease in proceeds realized per gram of gold jewelry scrapped coupled with a 14% decrease in gold volume processed. Same-store jewelry scrapping sales decreased $1.2 million, or 45%, and new and acquired stores contributed $0.3 million. Scrap cost of goods decreased $0.8 million, or 35%, due to the decrease in volume.</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Consumer loan fees and interest increased $2.4 million, or 20%, from the prior year quarter to $14.3 million. The increase is primarily due to a significant growth in loan originations in existing contracts. The company also added or renewed 18 contracts in the quarter and now has 52 active contracts providing access to over 4 million customers in Mexico.</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Total segment expenses increased to $23.6 million (52% of revenues) during the current quarter from $18.8 million (49% of revenues) in the prior year quarter. The increase was due to a $3.7 million, or 26%, increase in operations expenses as a result of higher commissions driven by an increase in consumer loans at Grupo Finmart and the addition of 44 new stores at Empeño Fácil since the prior year quarter. Depreciation and amortization increased $0.5 million from the prior year quarter to $2.1 million, mainly due to depreciation of assets placed in service at new stores and amortization of acquisition related intangible assets. The $0.5 million increase in interest expense was due a higher weighted average debt outstanding as compared to the prior quarter. The weighted average rate on Grupo Finmart's third-party debt remained flat at 11% on outstanding debt of $105.5 million at December 31, 2013.</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current quarter, the $3.0 million increase in net revenues were offset by the $4.8 million increase in segment expenses, resulting in a $1.7 million decrease in contribution for the Latin America segment. In the current quarter, Latin America segment contribution remained at 15% of consolidated segment contribution.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data for the Other International segment: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 loan fees and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loan bad debt</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24"/>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expenses (income):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income, net</w:t>
            </w:r>
          </w:p>
        </w:tc>
        <w:tc>
          <w:tcPr>
            <w:tcW w:w="32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in net income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(loss)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Other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Consumer loan bad debt as a percent of consumer loan fees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20"/>
        <w:spacing w:after="0" w:line="266" w:lineRule="auto"/>
        <w:rPr>
          <w:sz w:val="20"/>
          <w:szCs w:val="20"/>
          <w:color w:val="auto"/>
        </w:rPr>
      </w:pPr>
      <w:r>
        <w:rPr>
          <w:rFonts w:ascii="Times New Roman" w:cs="Times New Roman" w:eastAsia="Times New Roman" w:hAnsi="Times New Roman"/>
          <w:sz w:val="18"/>
          <w:szCs w:val="18"/>
          <w:color w:val="auto"/>
        </w:rPr>
        <w:t>Currently our Other International segment primarily consists of the Cash Genie online lending business in the United Kingdom and our equity interests in the net income of Albemarle &amp; Bond and Cash Converters International. The average exchange rate used to translate Cash Genie's current quarter results from British pound to U.S. dollars was 0.6178 to 1, 1% stronger than the prior year quarter’s rate of 0.6227 to 1.</w:t>
      </w: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segment's net revenues decreased $1.8 million, or 50%, compared to the first quarter of last year primarily as a result of a decrease in the consumer loans balance. Cash Genie showed improved performance in the current quarter compared to the fourth quarter of last year. In the quarter the company narrowed its operating loss to under $2 million, a 51% improvement from the fourth quarter of fiscal 2013. New loans made during the quarter increased 28% and the number of loans increased 25% over the immediately preceding quarter.</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segments' operations expense decreased by 9% compared to the first quarter last year and 8% compared to fourth quarter of last year as a result of expense reduction initiatives in the U.K, offset by a slight increase in administrative costs.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equity in the net income of unconsolidated affiliates decreased by $3.8 million, or 75%, to $1.3 million. This decrease is driven by an estimated net operating loss from Albemarle &amp; Bond in the current quarter as compared to net operating income in the prior year quarter. On January 27, 2014, Albemarle</w:t>
      </w:r>
    </w:p>
    <w:p>
      <w:pPr>
        <w:ind w:right="80" w:firstLine="8"/>
        <w:spacing w:after="0" w:line="261"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 announced the termination of their formal sales process, and stated that there may be limited value attributable to the ordinary shares. As a result, we may be required to write off the remaining $7.9 million of our investment in the second quarter.</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current quarter, the $1.8 million decrease in net revenues, a $0.4 million decrease in operations expense and a $3.8 million decrease in our equity in the net income of unconsolidated affiliates and other segment expenses resulted in a $5.3 million decrease in the segment contribution from Other International segment to a loss of $0.7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Items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consolidated segment contribution discussed above to net income, including items that affect our consolidated financial results but are not allocated among segments: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contribution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51,915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66,562</w:t>
            </w: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expenses (income):</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15,745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Consolidated income from continuing operations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32,794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50,533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22,913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33,861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24,395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32,155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from continuing operations attributable to redeemable noncontrolling interest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income attributable to EZCORP, Inc.</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22,569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Total corporate expenses increased $3.1 million to $19.1 million primarily as a result of a $2.1 million increase in administrative expenses, a $0.5 million increase in amortization expense and a $0.2 million increase in interest expense and nominal changes in other expenses. The increase in administrative expenses was primarily due to one-time bonuses awarded in the quarter. During the current quarter, interest expense increased 17% due to greater utilization of our revolver and increased weighted average debt outstanding as compared to the prior quarter. Amortization expense increased to $0.6 million due to assets placed in service as we continue to invest in the infrastructure to support our growth.</w:t>
      </w:r>
    </w:p>
    <w:p>
      <w:pPr>
        <w:spacing w:after="0" w:line="13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Consolidated income from continuing operations before income taxes decreased $17.7 million, or 35%, to $32.8 million due to the $7.6 million, $1.7 million and $5.3 million decreases in contribution from the U.S. &amp; Canada, Latin America and Other International segments, respectively, and a $3.1 million increase in corporate expenses.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current quarter, income tax expense decreased $6.8 million, or 41%, to $9.9 million. The current quarter’s effective tax rate from continuing operations is 30% of pretax income compared to 33% for the prior year quarter. The current quarter's effective tax rate for discontinued operations is 14% compared to the tax benefit of 10% for the prior year quarter.</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current quarter, we recorded income of $1.5 million from the discontinued operations as compared to a loss of $1.7 million mainly due to favorable lease buyouts. Net income attributable to the noncontrolling interests increased $0.4 million, whereas net income attributable to EZCORP, Inc. decreased $8.1 million, or 27%, to $22.6 million for the quarter ended December 31, 2013.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first quarter of fiscal year 2014, our net cash provided by operating activities decreased $13.1 million and 43% from the prior year quarter to $17.5 million. Our cash flows from operations consisted of:</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plus several non-cash items, aggregating to $35.1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 dividends from Cash Converters International, net of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 million of normal, recurring changes in operating assets and liabilities.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prior year three-month period, our $30.5 million cash flows from operations consisted of:</w:t>
      </w:r>
    </w:p>
    <w:p>
      <w:pPr>
        <w:spacing w:after="0" w:line="9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plus several non-cash items, aggregating to $45.9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 dividends from Cash Converters International; net of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million of normal, recurring changes in operating assets and liabilities.</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decrease in cash flows from operations is primarily driven by a decrease in our consolidated net income and lower net working capital primarily driven a decrease in accounts payable and accrued expenses offset by higher inventory levels as a result of the new strategy to drive jewelry retail sales rather than scrapping.</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first quarter of fiscal year 2014, our net cash used in investing activities decreased by $43.4 million to $4.3 million. This decrease is driven by a non-recurring investment in Cash Converters International in the prior quarter, cash received from sales of seven U.S. stores and unsecured consumer loan portfolio, $8.0 million or, 6%, increase in loan repayments, offset by $8.5 million, or 12%, decrease in the recovery of principal through the sale of forfeited pawn loan collateral.</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first quarter of fiscal year 2014, we remitted payments of $11.0 million on the deferred consideration relating to the acquisition of Go Cash's online lending business and $0.5 million payment relating to other immaterial acquisitions.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debt outstanding increased by $16.0 million, or 7%, to $252.8 million as compared to the prior year quarter. Of this amount, $105.5 million was non-recourse to EZCORP, Inc and attributable to our payroll withholding lending business, Grupo Finmart. As a result of higher average debt outstanding and greater utilization of our revolver, we have experienced an increase in payments on bank borrowings and revolving line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effect of these and other smaller cash flows was a $2.2 million increase in cash on hand, providing a $38.5 million ending cash balance.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54% of our cash in foreign jurisdictions that is subject to U.S. income tax upon repatriation.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cash needs to meet future aggregate contractual obligations: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2"/>
                <w:szCs w:val="12"/>
                <w:color w:val="auto"/>
              </w:rPr>
            </w:pPr>
          </w:p>
        </w:tc>
        <w:tc>
          <w:tcPr>
            <w:tcW w:w="10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1 year</w:t>
            </w: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251,617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55,665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consideration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569,946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101,813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284,738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67,148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Excludes debt premium related to Grupo Finmart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08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 Future interest on long-term obligations calculated on interest rates effective at the balance sheet date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In addition to the contractual obligations in the table above, we are obligated under letters of credit issued to unaffiliated lenders as part of our credit service operations. At December 31, 2013, our maximum exposure for losses on letters of credit, if all brokered loans defaulted and none were collected, was $35.6 million. Of that total, $9.9 million was secured by titles to customers’ automobiles. These amounts include principal, interest and insufficient funds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operating lease obligations in the table above, we are responsible for the maintenance, property taxes and insurance at most of our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 ended September 30, 2013, these collectively amounted to $22.5 million.</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operating lease obligations in the table above include expected rent for all our store locations through the end of their current lease terms. Of the 494 U.S. financial services stores, 209 adjoin a pawn store and are covered by the same lease agreement. The lease agreements at approximately 94% of the remaining 285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10, 2011, we entered into a new senior secured credit agreement with a syndicate of five banks, replacing our previous credit agreement. Among other things, the new credit agreement provides for a four-year $175 million revolving credit facility that we may, under the terms of the agreement, request to be increased to a total of $225 million. Upon entering the new credit agreement, we repaid and retired all other outstanding debt. On May 31, 2013, we amended the senior secured credit agreement to increase our revolving credit facility from $175 million to $200 million. The new credit facility increases our available credit and provides greater flexibility to make investments and acquisitions both domestically and internationally. No other terms of our senior secured credit agreement were modified. Terms of the credit agreement require, among other things, that we meet certain financial covenants. We were in compliance with all covenants at December 31, 2013 and expect to remain in compliance based on our expected future performance. At December 31, 2013, we had $146.5 million outstanding on our revolving credit facility. We have also issued $3.1 million in letters of credit, leaving $50.4 million available on our revolving credit facility.</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December 31, 2013, Grupo Finmart's third-party debt (non-recourse to EZCORP) was $105.5 million, with a weighted average interest rate of 11%. Since the acquisition of Grupo Finmart in January 2012, Grupo Finmart's debt has decreased $4.2 million, and its weighted average interest rate has decreased 8.0 percentage points, due to debt refinancing. This refinancing effort was a key assumption in our investment analysis and will result in significantly reduced interest expenses going forward. In July 2012 Grupo Finmart transferred certain consumer loans to a bankruptcy remote trust in a securitization transaction. The securitization borrowing facility has a maximum capacity of approximately $114.8 million. At December 31, 2013, $32.1 million was outstanding under the securitization borrowing facility. We expect Grupo Finmart to continue its use of the borrowing facility and utilize proceeds to fund loan originations, operations and contractual obligations.</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anticipate that cash flow from operations, cash on hand, and availability under our revolving credit facility will be adequate to fund our contractual obligations, planned store growth, capital expenditures and working capital requirements during the remainder of the fiscal year.</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beginning of the fiscal year ended September 30, 2013,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fiscal year 2013, we issued all the remaining shares in connection with the acquisition of 12 pawn stores in Arizona, and as of the end of September 30, 2013, have no remaining shares covered by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include an allowance for expected LOC losses in accounts payable and other accrued expenses on our balance sheet. At December 31, 2013, the allowance for expected LOC losses was $3.0 million. At that date, our maximum exposure for losses on letters of credit, if all brokered loans defaulted and none were collected, was $35.6 million. This amount includes principal, interest and insufficient funds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other off-balance sheet arrangements.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RISKS AND UNCERTAINTIES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2013.</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Market risks relating to our operations result primarily from changes in interest rates, gold values and foreign currency exchange rates, and are described in detail in "Part II, Item 7A— Quantitative and Qualitative Disclosures about Market Risk" of our Annual Report on Form 10-K for the year ended September 30, 2013. There have been no material changes to our exposure to market risks since September 30,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9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2013. Based on that evaluation, our Chief Executive Officer and Chief Financial Officer concluded that our disclosure controls and procedures were effective as of December 31, 2013.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quarter of fiscal 2014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Internal Controls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22" w:lineRule="exact"/>
        <w:rPr>
          <w:sz w:val="20"/>
          <w:szCs w:val="20"/>
          <w:color w:val="auto"/>
        </w:rPr>
      </w:pPr>
    </w:p>
    <w:p>
      <w:pPr>
        <w:ind w:left="360" w:hanging="325"/>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171"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others, or by management override.</w:t>
      </w:r>
    </w:p>
    <w:p>
      <w:pPr>
        <w:spacing w:after="0" w:line="171" w:lineRule="exact"/>
        <w:rPr>
          <w:rFonts w:ascii="Times New Roman" w:cs="Times New Roman" w:eastAsia="Times New Roman" w:hAnsi="Times New Roman"/>
          <w:sz w:val="18"/>
          <w:szCs w:val="18"/>
          <w:color w:val="auto"/>
        </w:rPr>
      </w:pPr>
    </w:p>
    <w:p>
      <w:pPr>
        <w:ind w:left="360" w:hanging="325"/>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7" w:lineRule="exact"/>
        <w:rPr>
          <w:rFonts w:ascii="Times New Roman" w:cs="Times New Roman" w:eastAsia="Times New Roman" w:hAnsi="Times New Roman"/>
          <w:sz w:val="18"/>
          <w:szCs w:val="18"/>
          <w:color w:val="auto"/>
        </w:rPr>
      </w:pPr>
    </w:p>
    <w:p>
      <w:pPr>
        <w:ind w:left="360" w:right="260" w:hanging="325"/>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07"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60"/>
          </w:cols>
          <w:pgMar w:left="240" w:top="118" w:right="29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Important risk factors that could affect our operations and financial performance, or that could cause results or events to differ from current expectations, are described in Part I, Item 1A, "Risk Factors" of our Annual Report on Form 10-K for the year ended September 30, 2013. These factors are supplemented by those discussed under “Quantitative and Qualitative Disclosures about Market Risk” in Part I, Item 3 of this report and in Part II, Item 7A of our Annual Report on Form 10-K for the year ended September 30, 2013, as well as by the following:</w:t>
      </w:r>
    </w:p>
    <w:p>
      <w:pPr>
        <w:spacing w:after="0" w:line="4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Texas Municipal Regulations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December 2013, the City of Houston, Texas enacted an ordinance imposing restrictions on certain financial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we can offer as a credit services organization or a credit access business in that city. Specifically, the ordinance requires municipal registration, limits the amount borrowers can borrow and requires principal paydowns on refinancing or with each installment payment. These restrictions are similar to those contained in ordinances adopted by other Texas cities, principally Dallas, Austin, San Antonio and El Paso. These limitations and restrictions make the products less attractive to our customers, thus lessening demand, and severely impair the financial viability of our financial services business in those cities.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40"/>
        </w:trPr>
        <w:tc>
          <w:tcPr>
            <w:tcW w:w="23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p>
        </w:tc>
      </w:tr>
      <w:tr>
        <w:trPr>
          <w:trHeight w:val="21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to the Company’s</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dated October 1, 2013, Commission File No. 0-19424)</w:t>
            </w:r>
          </w:p>
        </w:tc>
      </w:tr>
      <w:tr>
        <w:trPr>
          <w:trHeight w:val="46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Bylaws (incorporated by reference to Exhibit 3.2 to the Company’s Current Report on Form 8-K dated October 1,</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Commission File No. 0-19424)</w:t>
            </w:r>
          </w:p>
        </w:tc>
      </w:tr>
      <w:tr>
        <w:trPr>
          <w:trHeight w:val="481"/>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8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EZCORP, Inc. Class A Non-Voting Common Stock (incorporated by reference to Exhibit 4.1 to the</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dated October 1, 2013, Commission File No. 0-19424)</w:t>
            </w:r>
          </w:p>
        </w:tc>
      </w:tr>
      <w:tr>
        <w:trPr>
          <w:trHeight w:val="481"/>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Paul E. Rothamel, Chief Executive Officer, pursuant to Rule 13a-14(a) under the Securities Exchange</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1934, as adopted pursuant to Section 302 of the Sarbanes-Oxley Act of 2002</w:t>
            </w:r>
          </w:p>
        </w:tc>
      </w:tr>
      <w:tr>
        <w:trPr>
          <w:trHeight w:val="481"/>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Mark Kuchenrither, Chief Financial Officer, pursuant to Rule 13a-14(a) under the Securities</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 Sarbanes-Oxley Act of 2002</w:t>
            </w:r>
          </w:p>
        </w:tc>
      </w:tr>
      <w:tr>
        <w:trPr>
          <w:trHeight w:val="481"/>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Paul E. Rothamel, Chief Executive Officer, and Mark Kuchenrither, Chief Financial Officer ,</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w:t>
            </w:r>
          </w:p>
        </w:tc>
      </w:tr>
      <w:tr>
        <w:trPr>
          <w:trHeight w:val="500"/>
        </w:trPr>
        <w:tc>
          <w:tcPr>
            <w:tcW w:w="2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00"/>
        </w:trPr>
        <w:tc>
          <w:tcPr>
            <w:tcW w:w="2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101.SCH*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00"/>
        </w:trPr>
        <w:tc>
          <w:tcPr>
            <w:tcW w:w="2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101.CAL*</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2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101.LAB*</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500"/>
        </w:trPr>
        <w:tc>
          <w:tcPr>
            <w:tcW w:w="2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101.DEF*</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71" w:lineRule="exact"/>
        <w:rPr>
          <w:sz w:val="20"/>
          <w:szCs w:val="20"/>
          <w:color w:val="auto"/>
        </w:rPr>
      </w:pPr>
    </w:p>
    <w:p>
      <w:pPr>
        <w:jc w:val="both"/>
        <w:ind w:left="500" w:right="180" w:hanging="465"/>
        <w:spacing w:after="0" w:line="258"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Balance Sheets at December 31, 2013, December 31, 2012 and September 30, 2013; (ii) Condensed Consolidated Statements of Income for the three months ended December 31, 2013 and December 31, 2012; (iii) Condensed Consolidated Statements of Comprehensive Income for the three months ended December 31, 2013 and December 31, 2012 (iv) Condensed Consolidated Statements of Cash Flows for the three months ended December 31, 2013 and December 31, 2012; and (v) Notes to Interim Condensed Consolidated Financial Statements.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EZCORP, Inc.</w:t>
      </w:r>
    </w:p>
    <w:p>
      <w:pPr>
        <w:spacing w:after="0" w:line="387" w:lineRule="exact"/>
        <w:rPr>
          <w:sz w:val="20"/>
          <w:szCs w:val="20"/>
          <w:color w:val="auto"/>
        </w:rPr>
      </w:pPr>
    </w:p>
    <w:p>
      <w:pPr>
        <w:ind w:left="260"/>
        <w:spacing w:after="0"/>
        <w:tabs>
          <w:tab w:leader="none" w:pos="8220" w:val="left"/>
        </w:tabs>
        <w:rPr>
          <w:sz w:val="20"/>
          <w:szCs w:val="20"/>
          <w:color w:val="auto"/>
        </w:rPr>
      </w:pPr>
      <w:r>
        <w:rPr>
          <w:rFonts w:ascii="Times New Roman" w:cs="Times New Roman" w:eastAsia="Times New Roman" w:hAnsi="Times New Roman"/>
          <w:sz w:val="18"/>
          <w:szCs w:val="18"/>
          <w:color w:val="auto"/>
        </w:rPr>
        <w:t>Date: February 7, 2014</w:t>
      </w:r>
      <w:r>
        <w:rPr>
          <w:sz w:val="20"/>
          <w:szCs w:val="20"/>
          <w:color w:val="auto"/>
        </w:rPr>
        <w:tab/>
      </w:r>
      <w:r>
        <w:rPr>
          <w:rFonts w:ascii="Times New Roman" w:cs="Times New Roman" w:eastAsia="Times New Roman" w:hAnsi="Times New Roman"/>
          <w:sz w:val="17"/>
          <w:szCs w:val="17"/>
          <w:color w:val="auto"/>
        </w:rPr>
        <w:t>/s/ Jeffrey S. Byal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34290</wp:posOffset>
            </wp:positionV>
            <wp:extent cx="1920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Jeffrey S. Byal Senior Vice President</w:t>
      </w:r>
    </w:p>
    <w:p>
      <w:pPr>
        <w:spacing w:after="0" w:line="2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240" w:top="118" w:right="4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17"/>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6"/>
        </w:trPr>
        <w:tc>
          <w:tcPr>
            <w:tcW w:w="23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540" w:type="dxa"/>
            <w:vAlign w:val="bottom"/>
            <w:tcBorders>
              <w:bottom w:val="single" w:sz="8" w:color="auto"/>
            </w:tcBorders>
          </w:tcPr>
          <w:p>
            <w:pPr>
              <w:spacing w:after="0"/>
              <w:rPr>
                <w:sz w:val="16"/>
                <w:szCs w:val="16"/>
                <w:color w:val="auto"/>
              </w:rPr>
            </w:pPr>
          </w:p>
        </w:tc>
      </w:tr>
      <w:tr>
        <w:trPr>
          <w:trHeight w:val="21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to the Company’s</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dated October 1, 2013, Commission File No. 0-19424)</w:t>
            </w:r>
          </w:p>
        </w:tc>
      </w:tr>
      <w:tr>
        <w:trPr>
          <w:trHeight w:val="42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Bylaws (incorporated by reference to Exhibit 3.2 to the Company’s Current Report on Form 8-K dated October 1,</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Commission File No. 0-19424)</w:t>
            </w:r>
          </w:p>
        </w:tc>
      </w:tr>
      <w:tr>
        <w:trPr>
          <w:trHeight w:val="42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EZCORP, Inc. Class A Non-Voting Common Stock (incorporated by reference to Exhibit 4.1 to the</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dated October 1, 2013, Commission File No. 0-19424)</w:t>
            </w:r>
          </w:p>
        </w:tc>
      </w:tr>
      <w:tr>
        <w:trPr>
          <w:trHeight w:val="414"/>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Paul E. Rothamel, Chief Executive Officer, pursuant to Rule 13a-14(a) under the Securities Exchange</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1934, as adopted pursuant to Section 302 of the Sarbanes-Oxley Act of 2002</w:t>
            </w:r>
          </w:p>
        </w:tc>
      </w:tr>
      <w:tr>
        <w:trPr>
          <w:trHeight w:val="42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Mark Kuchenrither, Chief Financial Officer, pursuant to Rule 13a-14(a) under the Securities</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 Sarbanes-Oxley Act of 2002</w:t>
            </w:r>
          </w:p>
        </w:tc>
      </w:tr>
      <w:tr>
        <w:trPr>
          <w:trHeight w:val="42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Paul E. Rothamel, Chief Executive Officer, and Mark Kuchenrither, Chief Financial Officer ,</w:t>
            </w:r>
          </w:p>
        </w:tc>
      </w:t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101.SCH*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101.CAL*</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101.LAB*</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101.DEF*</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60" w:lineRule="exact"/>
        <w:rPr>
          <w:sz w:val="20"/>
          <w:szCs w:val="20"/>
          <w:color w:val="auto"/>
        </w:rPr>
      </w:pPr>
    </w:p>
    <w:p>
      <w:pPr>
        <w:jc w:val="both"/>
        <w:ind w:left="500" w:right="160" w:hanging="465"/>
        <w:spacing w:after="0" w:line="258"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Balance Sheets at December 31, 2013, December 31, 2012 and September 30, 2013; (ii) Condensed Consolidated Statements of Income for the three months ended December 31, 2013 and December 31, 2012; (iii) Condensed Consolidated Statements of Comprehensive Income for the three months ended December 31, 2013 and December 31, 2012 (iv) Condensed Consolidated Statements of Cash Flows for the three months ended December 31, 2013 and December 31, 2012; and (v) Notes to Interim Condensed Consolidated Financial Statements.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8" w:right="2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Paul E. Rothamel, Chief Executive Officer,</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Rothamel, certify that:</w:t>
      </w:r>
    </w:p>
    <w:p>
      <w:pPr>
        <w:spacing w:after="0" w:line="171"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2014</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Paul E. Rothamel</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Mark E. Kuchenrither, Chief Financial Officer,</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E. Kuchenrither, certify that:</w:t>
      </w:r>
    </w:p>
    <w:p>
      <w:pPr>
        <w:spacing w:after="0" w:line="17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7, 2014</w:t>
      </w:r>
    </w:p>
    <w:p>
      <w:pPr>
        <w:spacing w:after="0" w:line="200" w:lineRule="exact"/>
        <w:rPr>
          <w:sz w:val="20"/>
          <w:szCs w:val="20"/>
          <w:color w:val="auto"/>
        </w:rPr>
      </w:pPr>
    </w:p>
    <w:p>
      <w:pPr>
        <w:spacing w:after="0" w:line="21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Mark E. Kuchenrither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Paul E. Rothamel, Chief Executive Officer, and Mark E. Kuchenrither,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15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undersigned officers of EZCORP, Inc. hereby certify that (a) EZCORP's Quarterly Report on Form 10-Q for the quarter ended December 31, 2013,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90"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February 7, 2014</w:t>
      </w:r>
      <w:r>
        <w:rPr>
          <w:sz w:val="20"/>
          <w:szCs w:val="20"/>
          <w:color w:val="auto"/>
        </w:rPr>
        <w:tab/>
      </w:r>
      <w:r>
        <w:rPr>
          <w:rFonts w:ascii="Times New Roman" w:cs="Times New Roman" w:eastAsia="Times New Roman" w:hAnsi="Times New Roman"/>
          <w:sz w:val="17"/>
          <w:szCs w:val="17"/>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Paul E. Rothamel</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33"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February 7, 2014</w:t>
      </w:r>
      <w:r>
        <w:rPr>
          <w:sz w:val="20"/>
          <w:szCs w:val="20"/>
          <w:color w:val="auto"/>
        </w:rPr>
        <w:tab/>
      </w:r>
      <w:r>
        <w:rPr>
          <w:rFonts w:ascii="Times New Roman" w:cs="Times New Roman" w:eastAsia="Times New Roman" w:hAnsi="Times New Roman"/>
          <w:sz w:val="17"/>
          <w:szCs w:val="17"/>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Mark E. Kuchenrither</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amp;"/>
      <w:numFmt w:val="bullet"/>
      <w:start w:val="1"/>
    </w:lvl>
  </w:abstractNum>
  <w:abstractNum w:abstractNumId="11">
    <w:nsid w:val="41A7C4C9"/>
    <w:multiLevelType w:val="hybridMultilevel"/>
    <w:lvl w:ilvl="0">
      <w:lvlJc w:val="left"/>
      <w:lvlText w:val="&amp;"/>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2020-01-25T22:09:40Z</dcterms:created>
  <dcterms:modified xsi:type="dcterms:W3CDTF">2020-01-25T22:09:40Z</dcterms:modified>
</cp:coreProperties>
</file>