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Stephen Morrison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9.92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6,123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5"/>
              </w:rPr>
              <w:t>4,600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10/01/2014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10/01/2016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January 2,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unit granted on February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Non-Derivative Securities Beneficially Owned includes 1,000 unvested Restricted Stock Awards and 4,600 unvested Restricted Stock Units.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574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2020-01-28T18:35:41Z</dcterms:created>
  <dcterms:modified xsi:type="dcterms:W3CDTF">2020-01-28T18:35:41Z</dcterms:modified>
</cp:coreProperties>
</file>