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706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Swies Nicole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11/15/2024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23,639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118,781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will vest in whole or in part on September 30, 2027, with 80% being subject to the attainment of specified performance goals in addition to continued employment, and the remaining 20% being subject to continued employment only.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2024. However, no consideration was paid for the award other than services rendered and to be rendered by the Reporting Person.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Carrie Putnam,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1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13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24292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2024-11-19T09:45:54Z</dcterms:created>
  <dcterms:modified xsi:type="dcterms:W3CDTF">2024-11-19T09:45:54Z</dcterms:modified>
</cp:coreProperties>
</file>