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5, 2019 (December 2, 2019)</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Symbol(s)</w:t>
            </w: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373"/>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90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7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8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right="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0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 December 5, 2019, EZCORP, Inc. issued a press release announcing its results of operations and financial condition for the quarter and year ended September 30, 2019. A copy of that press release is attached as Exhibit 99.1.</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Additionally, we provide free cash flow which represents net cash provided by operating activities less net funding of loan originations and maintenance capital expenditures which is commonly used by investors as an additional measure of cash generated by business operations that may be used to repay scheduled debt maturities and debt service or, following payment of such debt obligations and other non-discretionary items, may be available to invest in future growth through new business development activities or acquisitions, among other things. These metrics can also be used to evaluate our ability to generate cash flow from business operations and the impact that this cash flow has on our liquidity. However, free cash flow has limitations as an analytical tool and should not be considered in isolation or as a substitute for cash flow from operating activities or other income statement data prepared in accordance with GAAP.</w:t>
      </w:r>
    </w:p>
    <w:p>
      <w:pPr>
        <w:spacing w:after="0" w:line="13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fiscal 2019 earnings conference call (to be held on December 5, 2019) will be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 Other Events</w:t>
      </w:r>
    </w:p>
    <w:p>
      <w:pPr>
        <w:spacing w:after="0" w:line="17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 December 2, 2019, the Company’s Board of Directors authorized a share repurchase program for up to $60 million of the Company’s publicly traded Class A Non-Voting Common Stock over the next three years. Under the stock repurchase program, the Company is authorized to repurchase shares from time to time at management’s discretion through open market purchases, privately-negotiated transactions, block purchases or otherwise in accordance with applicable federal securities laws, including Rule 10b-18 of the Securities Exchange Act of 1934 (the “Exchange Act”).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also authorized the Company to enter into written trading plans under Rule 10b5-1 of the Exchange Act. Adopting a trading plan that satisfies the conditions of Rule 10b5-1 allows a company to repurchase its shares at times when it might otherwise be prevented from doing so due to self-imposed trading blackout periods or pursuant to insider trading laws. Under any Rule 10b5-1 trading plan, the Company’s third-party broker, subject to Securities and Exchange Commission regulations regarding certain price, market, volume and timing constraints, would have authority to purchase the Company’s common stock in accordance with the terms of the plan. The Company may from time to time enter into Rule 10b5-1 trading plans to facilitate the repurchase of its common stock pursuant to its share repurchase program.</w:t>
      </w:r>
    </w:p>
    <w:p>
      <w:pPr>
        <w:spacing w:after="0" w:line="13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cannot predict when or if it will repurchase any shares of common stock as such stock repurchase program will depend on a number of factors, including stock price, trading volume, general market conditions, legal and regulatory</w:t>
      </w:r>
    </w:p>
    <w:p>
      <w:pPr>
        <w:sectPr>
          <w:pgSz w:w="11900" w:h="16838" w:orient="portrait"/>
          <w:cols w:equalWidth="0" w:num="1">
            <w:col w:w="11400"/>
          </w:cols>
          <w:pgMar w:left="240" w:top="715" w:right="259" w:bottom="1440" w:gutter="0" w:footer="0" w:header="0"/>
        </w:sectPr>
      </w:pPr>
    </w:p>
    <w:bookmarkStart w:id="2" w:name="page3"/>
    <w:bookmarkEnd w:id="2"/>
    <w:p>
      <w:pPr>
        <w:ind w:right="40"/>
        <w:spacing w:after="0" w:line="259" w:lineRule="auto"/>
        <w:rPr>
          <w:sz w:val="20"/>
          <w:szCs w:val="20"/>
          <w:color w:val="auto"/>
        </w:rPr>
      </w:pPr>
      <w:r>
        <w:rPr>
          <w:rFonts w:ascii="Arial" w:cs="Arial" w:eastAsia="Arial" w:hAnsi="Arial"/>
          <w:sz w:val="18"/>
          <w:szCs w:val="18"/>
          <w:color w:val="auto"/>
        </w:rPr>
        <w:t>requirements, general business conditions, the level of cash flows, and corporate considerations determined by management and the Board, such as liquidity and capital needs and the availability of attractive alternative investment opportunities. Information regarding share repurchases will be available in the Company’s periodic reports on Forms 10-Q and 10-K filed with the Securities and Exchange Commission as required by the applicable rules of the Exchange Act.</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contains forward-looking information, as that term is defined under the Exchange Act, including information regarding purchases by the Company of its outstanding shares of Class A Non-Voting Common Stock. By their nature, forward-looking information and statements are subject to risks, uncertainties and contingencies, including changes in price and volume and the volatility of the Company’s common stock; adverse developments affecting either or both of prices and trading of exchange-traded securities, including securities listed on the Nasdaq Stock Market; and unexpected or otherwise unplanned or alternative requirements with respect to the capital investments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1120" w:right="760" w:hanging="562"/>
        <w:spacing w:after="0" w:line="277" w:lineRule="auto"/>
        <w:tabs>
          <w:tab w:leader="none" w:pos="1100" w:val="left"/>
        </w:tabs>
        <w:rPr>
          <w:sz w:val="20"/>
          <w:szCs w:val="20"/>
          <w:color w:val="auto"/>
        </w:rPr>
      </w:pPr>
      <w:r>
        <w:rPr>
          <w:rFonts w:ascii="Arial" w:cs="Arial" w:eastAsia="Arial" w:hAnsi="Arial"/>
          <w:sz w:val="18"/>
          <w:szCs w:val="18"/>
          <w:u w:val="single" w:color="auto"/>
          <w:color w:val="0000FF"/>
        </w:rPr>
        <w:t>99.1</w:t>
        <w:tab/>
        <w:t>Press Release, dated December 5, 2019, announcing EZCORP, Inc.’s results of operations and financial condition for the quarter and year ended September 30, 2019, and announcing share repurchase authorization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December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Daniel M. Chism</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19"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2781935</wp:posOffset>
            </wp:positionH>
            <wp:positionV relativeFrom="page">
              <wp:posOffset>363220</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t>EZCORP Reports Fourth Quarter Fiscal Year 2019 Results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--Announces Three-Year, $60 Million Share Repurchase Authorization--</w:t>
      </w:r>
    </w:p>
    <w:p>
      <w:pPr>
        <w:spacing w:after="0" w:line="200" w:lineRule="exact"/>
        <w:rPr>
          <w:sz w:val="20"/>
          <w:szCs w:val="20"/>
          <w:color w:val="auto"/>
        </w:rPr>
      </w:pPr>
    </w:p>
    <w:p>
      <w:pPr>
        <w:spacing w:after="0" w:line="33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Austin, Texas (December 5, 2019) — </w:t>
      </w:r>
      <w:r>
        <w:rPr>
          <w:rFonts w:ascii="Arial" w:cs="Arial" w:eastAsia="Arial" w:hAnsi="Arial"/>
          <w:sz w:val="18"/>
          <w:szCs w:val="18"/>
          <w:color w:val="auto"/>
        </w:rPr>
        <w:t>EZCORP, Inc. (NASDAQ: EZPW) today announced results for its fourth quarter and fiscal year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2019 and the authorization of a share repurchase program.</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 amounts in this release are from EZCORP continuing operations and in conformity with U.S. generally accepted accounting principles ("GAAP") unless otherwise noted.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Comparisons shown in this release are to the same period in the prior year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75" w:lineRule="exact"/>
        <w:rPr>
          <w:sz w:val="20"/>
          <w:szCs w:val="20"/>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December 2019, the Board of Directors authorized a stock repurchase program for up to $60 million of our Class A Non-Voting common shares over the next three years.</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revenues for the quarter were up 4% to $214.3 million. The improvement was driven by continued growth in key pawn operating metrics including pawn loans outstanding (PLO), pawn service charges (PSC) and merchandise sales.</w:t>
      </w:r>
    </w:p>
    <w:p>
      <w:pPr>
        <w:spacing w:after="0" w:line="116" w:lineRule="exact"/>
        <w:rPr>
          <w:rFonts w:ascii="Arial" w:cs="Arial" w:eastAsia="Arial" w:hAnsi="Arial"/>
          <w:sz w:val="18"/>
          <w:szCs w:val="18"/>
          <w:color w:val="auto"/>
        </w:rPr>
      </w:pPr>
    </w:p>
    <w:p>
      <w:pPr>
        <w:ind w:left="660" w:right="4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quarter, income from continuing operations before tax was $0.4 million and diluted loss per share was $0.01, representing a $0.01 per share improvement over the prior-year quarter. These results include costs related to certain growth investments, acquisition due diligence and other discrete items. Excluding those items and adjusting for constant currency</w:t>
      </w:r>
      <w:r>
        <w:rPr>
          <w:rFonts w:ascii="Arial" w:cs="Arial" w:eastAsia="Arial" w:hAnsi="Arial"/>
          <w:sz w:val="25"/>
          <w:szCs w:val="25"/>
          <w:color w:val="auto"/>
          <w:vertAlign w:val="superscript"/>
        </w:rPr>
        <w:t>1</w:t>
      </w:r>
      <w:r>
        <w:rPr>
          <w:rFonts w:ascii="Arial" w:cs="Arial" w:eastAsia="Arial" w:hAnsi="Arial"/>
          <w:sz w:val="18"/>
          <w:szCs w:val="18"/>
          <w:color w:val="auto"/>
        </w:rPr>
        <w:t>, adjusted</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income from continuing operations before tax was $13.0 million and adjusted diluted earnings per share was $0.19 versus $18.5 million and $0.22, respectively, in the year-ago quarter. Full year diluted earnings per share were $0.05 compared to $0.66 in the prior year; adjusted diluted earnings per share improved to $0.90 from $0.86 in the prior year. As previously discussed, PSC and related profits were negatively impacted by point-of-sale system performance issues in the third quarter and a 24-hour system outage in July.</w:t>
      </w:r>
    </w:p>
    <w:p>
      <w:pPr>
        <w:spacing w:after="0" w:line="151"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Enhanced inventory management efforts yielded a significant reduction in aged general merchandise, from 8% of total general merchandise at September 30, 2018 to 6% at September 30, 2019.</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from operating activities nearly doubled to $38.5 million in the quarter from $19.7 million in the prior-year quarter. For the year, net cash from operating activities increased 16% to $103.5 million from $89.0 million in fiscal 2018.</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ended the current quarter at $157.6 million ($162.4 million including restricted cash). During the quarter, the company collected $12.2 million under the Alpha Credit / Grupo Finmart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Chief Executive Officer Stuart Grimshaw commented, "We saw a continued expansion of our store count, grew total revenues, grew PLO to a record fiscal year-end balance of $199 million ($201 million on a constant currency basis) and increased free cash flow in both the fourth quarter and the full fiscal year. We achieved these results despite fourth quarter headwinds, including newly introduced social welfare programs in Mexico reducing customers’ current need for pawn loans, technology system issues resolved by mid-July, and other investments and non-recurring costs. There have been several key developments since the June quarter.</w:t>
      </w:r>
    </w:p>
    <w:p>
      <w:pPr>
        <w:spacing w:after="0" w:line="13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“First, the Board of Directors approved a three-year share repurchase authorization for up to $60 million that enables us to return capital to shareholders and buy back publicly traded Class A shares at what we believe to be attractive valuations. Second, we completed the rollout of our new point-of-sale system to all stores in the U.S. and Mexico in October, which will further optimize lending decisions, with related improvements over time in yields, pawn service charges, merchandise sales gross profits and margins. Third, we recently implemented several initiatives, including re-aligning field management to increase senior management’s interaction at store level, consolidation of certain administrative functions and other expense control measures to increasingly leverage our scale, driving an increase in the return on earning assets through improved productivity and operating efficiencies. Some of these initiatives will involve incremental expense in the short-term to drive greater sustainable efficiencies. Fourth, our differentiated digital engagement strategy designed to broaden customer acquisition and service levels, enhance retention and drive revenue enhancements remains on track for initial introduction during the first</w:t>
      </w:r>
    </w:p>
    <w:p>
      <w:pPr>
        <w:sectPr>
          <w:pgSz w:w="11900" w:h="16838" w:orient="portrait"/>
          <w:cols w:equalWidth="0" w:num="1">
            <w:col w:w="11340"/>
          </w:cols>
          <w:pgMar w:left="240" w:top="1373" w:right="31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color w:val="auto"/>
        </w:rPr>
        <w:t>quarter of fiscal 2020 under the name Lana. The introduction will be in Texas and Florida, our two largest markets in the U.S., with incremental expansion planned throughout fiscal 2020. Finally, strong free cash flow and the strength of our balance sheet, with $162 million cash and no substantial debt due until 2024, provides us with the financial flexibility to continue to fund new store openings, capitalize on M&amp;A opportunities as they arise, and invest in the business to drive sustainable growth. As part of that investment, we plan to accelerate new store openings in Latin America in fiscal 2020 to approximately 40 new stores, up from 22 new stores in fiscal 2019. While this will create some short-term earnings drag, new stores in Latin America represent one of our best opportunities for long-term returns on invested capital.”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Board of Directors has authorized a stock repurchase program that will allow the Company to repurchase up to $60 million of our Class A Non-Voting common shares over the next three years. This decision reflects the strength of our balance sheet, the Board’s confidence in our continued ability to generate significant cash flows and our commitment to driving long-term shareholder value through efficient capital deployment. Execution of the program will be responsive to fluctuating market conditions and valuations, liquidity needs and the expected return on investment compared to other opportunities.</w:t>
      </w:r>
    </w:p>
    <w:p>
      <w:pPr>
        <w:spacing w:after="0" w:line="1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stock repurchase program, the Company may purchase Class A Non-voting common stock from time to time at management’s discretion in accordance with applicable securities laws, including through open market transactions, block or privately negotiated transactions, or any combination thereof. In addition, the Company may purchase shares pursuant to a trading plan meeting the requirements of Rule 10b5-1 under the Securities Exchange Act of 1934.</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8"/>
        </w:trPr>
        <w:tc>
          <w:tcPr>
            <w:tcW w:w="6180" w:type="dxa"/>
            <w:vAlign w:val="bottom"/>
          </w:tcPr>
          <w:p>
            <w:pPr>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05"/>
        </w:trPr>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25"/>
                <w:szCs w:val="25"/>
                <w:b w:val="1"/>
                <w:bCs w:val="1"/>
                <w:color w:val="auto"/>
                <w:vertAlign w:val="superscript"/>
              </w:rPr>
              <w:t>1</w:t>
            </w:r>
          </w:p>
        </w:tc>
        <w:tc>
          <w:tcPr>
            <w:tcW w:w="780" w:type="dxa"/>
            <w:vAlign w:val="bottom"/>
          </w:tcPr>
          <w:p>
            <w:pPr>
              <w:spacing w:after="0"/>
              <w:rPr>
                <w:sz w:val="24"/>
                <w:szCs w:val="24"/>
                <w:color w:val="auto"/>
              </w:rPr>
            </w:pPr>
          </w:p>
        </w:tc>
      </w:tr>
      <w:tr>
        <w:trPr>
          <w:trHeight w:val="237"/>
        </w:trPr>
        <w:tc>
          <w:tcPr>
            <w:tcW w:w="6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6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58"/>
        </w:trPr>
        <w:tc>
          <w:tcPr>
            <w:tcW w:w="61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214,339</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205,976</w:t>
            </w:r>
          </w:p>
        </w:tc>
        <w:tc>
          <w:tcPr>
            <w:tcW w:w="4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215,391</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205,976</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120,856</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124,463</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121,677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124,463</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2,872</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13,012</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18,469</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(807)</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10,437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12,899</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(0.02)</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0.22</w:t>
            </w:r>
          </w:p>
        </w:tc>
      </w:tr>
      <w:tr>
        <w:trPr>
          <w:trHeight w:val="368"/>
        </w:trPr>
        <w:tc>
          <w:tcPr>
            <w:tcW w:w="6180" w:type="dxa"/>
            <w:vAlign w:val="bottom"/>
          </w:tcPr>
          <w:p>
            <w:pPr>
              <w:ind w:left="40"/>
              <w:spacing w:after="0"/>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12,096</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14,677</w:t>
            </w:r>
          </w:p>
        </w:tc>
        <w:tc>
          <w:tcPr>
            <w:tcW w:w="4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22,293</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26,734</w:t>
            </w:r>
          </w:p>
        </w:tc>
      </w:tr>
    </w:tbl>
    <w:p>
      <w:pPr>
        <w:spacing w:after="0" w:line="76" w:lineRule="exact"/>
        <w:rPr>
          <w:sz w:val="20"/>
          <w:szCs w:val="20"/>
          <w:color w:val="auto"/>
        </w:rPr>
      </w:pPr>
    </w:p>
    <w:p>
      <w:pPr>
        <w:ind w:left="660" w:right="80" w:hanging="328"/>
        <w:spacing w:after="0" w:line="257"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Total revenues grew 4% on a GAAP basis and 5% on a constant currency basis, contributing to the increase in cash generation. PSC was up 1% to $83.1 million reflecting a 2% increase in the average monthly PLO balance for the fourth quarter combined with a slight improvement in yields. Consolidated merchandise sales gross profit declined 10% to $34.9 million, with a 2% increase in merchandise sales more than offset by higher cost of goods sold. Adjusted merchandise sales gross profit declined 9% to $35.3 million and sales margins decreased 411 basis points to 33%, reflecting the effective liquidation of aged general merchandise. The net impact of these factors was a 3% reduction in net revenues to $120.9 million on a GAAP basis and a 2% reduction to $121.7 million on an adjusted basis. Although the aged inventory liquidation impacted margins, it contributed to the overall increase in cash generation. For the full year, free cash flow</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increased 32% to $77.9 million. Cash receipts on the AlphaCredit notes receivable provided an additional $34.1 million for the year.</w:t>
      </w:r>
    </w:p>
    <w:p>
      <w:pPr>
        <w:spacing w:after="0" w:line="129" w:lineRule="exact"/>
        <w:rPr>
          <w:rFonts w:ascii="Arial" w:cs="Arial" w:eastAsia="Arial" w:hAnsi="Arial"/>
          <w:sz w:val="17"/>
          <w:szCs w:val="17"/>
          <w:color w:val="auto"/>
        </w:rPr>
      </w:pPr>
    </w:p>
    <w:p>
      <w:pPr>
        <w:ind w:left="660" w:right="80" w:hanging="247"/>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Consolidated operations expenses rose 3% in the quarter to $88.8 million. Total pawn store count increased 3%, consisting of a net 31 stores acquired or opened since the end of the prior-year quarter (27 new and acquired stores in Latin America and seven acquired stores in the U.S., net of three store closures in the U.S.).</w:t>
      </w:r>
    </w:p>
    <w:p>
      <w:pPr>
        <w:spacing w:after="0" w:line="127" w:lineRule="exact"/>
        <w:rPr>
          <w:rFonts w:ascii="Arial" w:cs="Arial" w:eastAsia="Arial" w:hAnsi="Arial"/>
          <w:sz w:val="18"/>
          <w:szCs w:val="18"/>
          <w:color w:val="auto"/>
        </w:rPr>
      </w:pPr>
    </w:p>
    <w:p>
      <w:pPr>
        <w:ind w:left="660" w:right="440" w:hanging="247"/>
        <w:spacing w:after="0" w:line="308"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Administrative expense increased $2.9 million to $16.9 million in the quarter principally as a result of a $2.7 million strategic investment in the development of the Lana (previously "Evergreen") customer-centric digital platform and $1.7 million in acquisition due diligence costs.</w:t>
      </w:r>
    </w:p>
    <w:p>
      <w:pPr>
        <w:sectPr>
          <w:pgSz w:w="11900" w:h="16838" w:orient="portrait"/>
          <w:cols w:equalWidth="0" w:num="1">
            <w:col w:w="11420"/>
          </w:cols>
          <w:pgMar w:left="240" w:top="719" w:right="239" w:bottom="1440" w:gutter="0" w:footer="0" w:header="0"/>
        </w:sectPr>
      </w:pPr>
    </w:p>
    <w:bookmarkStart w:id="5" w:name="page6"/>
    <w:bookmarkEnd w:id="5"/>
    <w:p>
      <w:pPr>
        <w:ind w:left="660" w:right="80" w:hanging="260"/>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interest expense decreased $0.6 million, driven by the June 2019 repayment of our $195.0 million cash convertible senior notes, offset by lower interest income on the declining balance of notes receivable from AlphaCredit as principal collections are received monthly. The first $6 million installment of the $14 million deferred compensation fee on the notes receivable was received in September 2019 with the remaining $8 million due in fiscal 2020. Interest income in the period does not reflect the majority of that cash receipt, as it has been recognized under GAAP over the life of the loans.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right="340" w:hanging="328"/>
        <w:spacing w:after="0" w:line="308" w:lineRule="auto"/>
        <w:tabs>
          <w:tab w:leader="none" w:pos="66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color w:val="auto"/>
        </w:rPr>
        <w:t>Same store PSC rose slightly, with ending PLO per store of $307,000, up 1% on a year-over-year basis. The growth reflected disciplined lending practices and a focus on meeting customers' need for cash. The ending per store average is the highest since 2011.</w:t>
      </w:r>
    </w:p>
    <w:p>
      <w:pPr>
        <w:spacing w:after="0" w:line="92" w:lineRule="exact"/>
        <w:rPr>
          <w:rFonts w:ascii="Arial" w:cs="Arial" w:eastAsia="Arial" w:hAnsi="Arial"/>
          <w:sz w:val="17"/>
          <w:szCs w:val="17"/>
          <w:b w:val="1"/>
          <w:bCs w:val="1"/>
          <w:i w:val="1"/>
          <w:iCs w:val="1"/>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Merchandise margins remained within our target range but declined 359 basis points year-over-year to 35%, largely reflecting the effective liquidation of aged general merchandise inventory. Scrap sales increased by 32% to $17.5 million on a step up in volumes and higher gold prices, though lower diamond prices pressured related margins.</w:t>
      </w:r>
    </w:p>
    <w:p>
      <w:pPr>
        <w:spacing w:after="0" w:line="127"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Pawn's net revenues decreased 2% to $93.8 million, with a $1.9 million increase in expenses and depreciation. Same store operations expense increased 2%, primarily due to higher labor and benefit costs, including a $1.3 million increase in workers’ compensation costs. The current period included a single large claim and the prior year period reflected a $0.8 million credit. Although the segment’s cash generation increased significantly, the segment contribution decreased 13% to $22.2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increased slightly to $26.6 million ($27.1 million on a constant currency basis).</w:t>
      </w:r>
    </w:p>
    <w:p>
      <w:pPr>
        <w:spacing w:after="0" w:line="171"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PSC rose 1% to $19.4 million ($19.7 million on a constant currency basis). Ending PLO decreased 4% to $41.6 million (down 1% to $43.1 million on a constant currency basis), with ending PLO per store of $87,000, down 8%. As previously discussed, recent social programs in Mexico involving transfers to low-income individuals have impacted demand for pawn loans.</w:t>
      </w:r>
    </w:p>
    <w:p>
      <w:pPr>
        <w:spacing w:after="0" w:line="127"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Merchandise sales increased 9%, to $26.8 million (9% to $27.4 million constant currency), while merchandise margins declined to 25% reflecting an ongoing focus on optimizing inventory and sales gross profits along with reducing aged inventory and increasing free cash flow.</w:t>
      </w:r>
    </w:p>
    <w:p>
      <w:pPr>
        <w:spacing w:after="0" w:line="92" w:lineRule="exact"/>
        <w:rPr>
          <w:rFonts w:ascii="Arial" w:cs="Arial" w:eastAsia="Arial" w:hAnsi="Arial"/>
          <w:sz w:val="17"/>
          <w:szCs w:val="17"/>
          <w:color w:val="auto"/>
        </w:rPr>
      </w:pPr>
    </w:p>
    <w:p>
      <w:pPr>
        <w:ind w:left="660" w:hanging="328"/>
        <w:spacing w:after="0" w:line="31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Operations expense totaled $19.5 million compared to $16.7 million in the prior year period reflecting higher store licensing requirements, rent costs, labor-related expenses, and robbery and related security costs. In addition, year-over-year trends were impacted by stores acquired or opened since the prior-year quarter and stores expanded or relocated, for which the revenue improvement is expected to lag the incremental costs.</w:t>
      </w:r>
    </w:p>
    <w:p>
      <w:pPr>
        <w:spacing w:after="0" w:line="92" w:lineRule="exact"/>
        <w:rPr>
          <w:rFonts w:ascii="Arial" w:cs="Arial" w:eastAsia="Arial" w:hAnsi="Arial"/>
          <w:sz w:val="16"/>
          <w:szCs w:val="16"/>
          <w:color w:val="auto"/>
        </w:rPr>
      </w:pPr>
    </w:p>
    <w:p>
      <w:pPr>
        <w:ind w:left="660" w:right="10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added 22 de novo stores and acquired five stores in the year. Ten of the new stores were opened in the fourth quarter. New stores drive attractive long-term profit enhancement and represent one of our highest returns on invested capital but create a short-term drag on earnings as they ramp. Acquired stores are generally less efficient than our existing stores until fully integrated, but typically are accretive in their first full quarter of ownership.</w:t>
      </w:r>
    </w:p>
    <w:p>
      <w:pPr>
        <w:spacing w:after="0" w:line="132" w:lineRule="exact"/>
        <w:rPr>
          <w:rFonts w:ascii="Arial" w:cs="Arial" w:eastAsia="Arial" w:hAnsi="Arial"/>
          <w:sz w:val="18"/>
          <w:szCs w:val="18"/>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contribution totaled $5.8 million compared to $9.1 million in the prior-year quarter. Adjusted segment contribution totaled $6.5 million versus $9.1 million as a result of new and acquired stores, recently expanded and relocated stores, and the operations expense increase previously described combined with administrative costs to support the growth.</w:t>
      </w:r>
    </w:p>
    <w:p>
      <w:pPr>
        <w:sectPr>
          <w:pgSz w:w="11900" w:h="16838" w:orient="portrait"/>
          <w:cols w:equalWidth="0" w:num="1">
            <w:col w:w="11420"/>
          </w:cols>
          <w:pgMar w:left="240" w:top="71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FORM 10-K</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EZCORP’s Annual Report on Form 10-K for fiscal 2019 has been filed with the Securities and Exchange Commission. The report is available in the Investor Relations section of the company’s website at </w:t>
      </w:r>
      <w:r>
        <w:rPr>
          <w:rFonts w:ascii="Arial" w:cs="Arial" w:eastAsia="Arial" w:hAnsi="Arial"/>
          <w:sz w:val="18"/>
          <w:szCs w:val="18"/>
          <w:u w:val="single" w:color="auto"/>
          <w:color w:val="0563C1"/>
        </w:rPr>
        <w:t>http://investors.ezcorp.com</w:t>
      </w:r>
      <w:r>
        <w:rPr>
          <w:rFonts w:ascii="Arial" w:cs="Arial" w:eastAsia="Arial" w:hAnsi="Arial"/>
          <w:sz w:val="18"/>
          <w:szCs w:val="18"/>
          <w:color w:val="auto"/>
        </w:rPr>
        <w:t>. EZCORP shareholders may obtain a paper copy of the report, free of charge, by sending a request to the investor relations contact below.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EZCORP will host a conference call on Thursday, December 5, 2019, at 4:00pm Central Time to discuss fourth quarter and fiscal year-end results. Analysts and institutional investors may participate on the conference call by dialing (877) 201-0168, Conference ID: 3248107, or internationally by dialing (647) 788-4901. The conference call will be webcast simultaneously to the public through this link: </w:t>
      </w:r>
      <w:r>
        <w:rPr>
          <w:rFonts w:ascii="Arial" w:cs="Arial" w:eastAsia="Arial" w:hAnsi="Arial"/>
          <w:sz w:val="17"/>
          <w:szCs w:val="17"/>
          <w:u w:val="single" w:color="auto"/>
          <w:color w:val="0000FF"/>
        </w:rPr>
        <w:t>http://investors.ezcorp.com/</w:t>
      </w:r>
      <w:r>
        <w:rPr>
          <w:rFonts w:ascii="Arial" w:cs="Arial" w:eastAsia="Arial" w:hAnsi="Arial"/>
          <w:sz w:val="17"/>
          <w:szCs w:val="17"/>
          <w:color w:val="auto"/>
        </w:rPr>
        <w:t xml:space="preserve">. A replay of the conference call will be available online at </w:t>
      </w:r>
      <w:r>
        <w:rPr>
          <w:rFonts w:ascii="Arial" w:cs="Arial" w:eastAsia="Arial" w:hAnsi="Arial"/>
          <w:sz w:val="17"/>
          <w:szCs w:val="17"/>
          <w:u w:val="single" w:color="auto"/>
          <w:color w:val="0000FF"/>
        </w:rPr>
        <w:t>http://investors.ezcorp.com/</w:t>
      </w:r>
      <w:r>
        <w:rPr>
          <w:rFonts w:ascii="Arial" w:cs="Arial" w:eastAsia="Arial" w:hAnsi="Arial"/>
          <w:sz w:val="17"/>
          <w:szCs w:val="17"/>
          <w:color w:val="auto"/>
        </w:rPr>
        <w:t xml:space="preserve"> shortly after the end of the call.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Formed in 1989, EZCORP has grown into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SmallCap 600 Index, S&amp;P 1000 Index and Nasdaq Composite Index.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06" w:lineRule="exact"/>
        <w:rPr>
          <w:sz w:val="20"/>
          <w:szCs w:val="20"/>
          <w:color w:val="auto"/>
        </w:rPr>
      </w:pPr>
    </w:p>
    <w:p>
      <w:pPr>
        <w:ind w:right="500"/>
        <w:spacing w:after="0" w:line="273" w:lineRule="auto"/>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”Adjusted” basis, which is a non-GAAP measure, excludes certain items. “Constant currency” basis, which is a non-GAAP measure, excludes the impact of foreign currency exchange rate</w:t>
      </w:r>
      <w:r>
        <w:rPr>
          <w:rFonts w:ascii="Arial" w:cs="Arial" w:eastAsia="Arial" w:hAnsi="Arial"/>
          <w:sz w:val="9"/>
          <w:szCs w:val="9"/>
          <w:i w:val="1"/>
          <w:iCs w:val="1"/>
          <w:color w:val="auto"/>
        </w:rPr>
        <w:t xml:space="preserve"> </w:t>
      </w:r>
      <w:r>
        <w:rPr>
          <w:rFonts w:ascii="Arial" w:cs="Arial" w:eastAsia="Arial" w:hAnsi="Arial"/>
          <w:sz w:val="14"/>
          <w:szCs w:val="14"/>
          <w:i w:val="1"/>
          <w:iCs w:val="1"/>
          <w:color w:val="auto"/>
        </w:rPr>
        <w:t>fluctuations. “Free cash flow,” which is a non-GAAP measure, includes certain adjustments to cash flow from operating activities.</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 additional information about these calculations, as well as a reconciliation to the most comparable GAAP financial measures, see “Non-GAAP Financial Information” at the end of this release.</w:t>
      </w:r>
    </w:p>
    <w:p>
      <w:pPr>
        <w:sectPr>
          <w:pgSz w:w="11900" w:h="16838" w:orient="portrait"/>
          <w:cols w:equalWidth="0" w:num="1">
            <w:col w:w="11400"/>
          </w:cols>
          <w:pgMar w:left="240" w:top="715" w:right="25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Pr>
          <w:p>
            <w:pPr>
              <w:spacing w:after="0"/>
              <w:rPr>
                <w:sz w:val="16"/>
                <w:szCs w:val="16"/>
                <w:color w:val="auto"/>
              </w:rPr>
            </w:pPr>
          </w:p>
        </w:tc>
        <w:tc>
          <w:tcPr>
            <w:tcW w:w="240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6"/>
              </w:rPr>
              <w:t>Fiscal Year Ended September 30,</w:t>
            </w:r>
          </w:p>
        </w:tc>
      </w:tr>
      <w:tr>
        <w:trPr>
          <w:trHeight w:val="264"/>
        </w:trPr>
        <w:tc>
          <w:tcPr>
            <w:tcW w:w="55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r>
      <w:tr>
        <w:trPr>
          <w:trHeight w:val="379"/>
        </w:trPr>
        <w:tc>
          <w:tcPr>
            <w:tcW w:w="5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5"/>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9"/>
        </w:trPr>
        <w:tc>
          <w:tcPr>
            <w:tcW w:w="558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107,191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105,102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453,375</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438,372</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22,572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16,586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60,445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60,752</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83,066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81,980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327,366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304,577</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Other revenues</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1,510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2,308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6,043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8,455</w:t>
            </w: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214,339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205,976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847,229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812,156</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Merchandise cost of goods sold</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72,325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66,335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297,508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276,618</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Jewelry scrapping cost of goods sold</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20,287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14,754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52,935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52,290</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Other cost of revenues</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2,338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1,697</w:t>
            </w: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ind w:left="460"/>
              <w:spacing w:after="0"/>
              <w:rPr>
                <w:sz w:val="20"/>
                <w:szCs w:val="20"/>
                <w:color w:val="auto"/>
              </w:rPr>
            </w:pPr>
            <w:r>
              <w:rPr>
                <w:rFonts w:ascii="Arial" w:cs="Arial" w:eastAsia="Arial" w:hAnsi="Arial"/>
                <w:sz w:val="16"/>
                <w:szCs w:val="16"/>
                <w:color w:val="auto"/>
              </w:rPr>
              <w:t>Net revenues</w:t>
            </w:r>
          </w:p>
        </w:tc>
        <w:tc>
          <w:tcPr>
            <w:tcW w:w="28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120,856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124,463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494,448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481,551</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88,822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86,083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350,578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334,841</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Administrative</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16,870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13,951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63,665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53,639</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7,683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7,186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28,797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25,484</w:t>
            </w:r>
          </w:p>
        </w:tc>
      </w:tr>
      <w:tr>
        <w:trPr>
          <w:trHeight w:val="270"/>
        </w:trPr>
        <w:tc>
          <w:tcPr>
            <w:tcW w:w="5580" w:type="dxa"/>
            <w:vAlign w:val="bottom"/>
          </w:tcPr>
          <w:p>
            <w:pPr>
              <w:ind w:left="240"/>
              <w:spacing w:after="0"/>
              <w:rPr>
                <w:sz w:val="20"/>
                <w:szCs w:val="20"/>
                <w:color w:val="auto"/>
              </w:rPr>
            </w:pPr>
            <w:r>
              <w:rPr>
                <w:rFonts w:ascii="Arial" w:cs="Arial" w:eastAsia="Arial" w:hAnsi="Arial"/>
                <w:sz w:val="16"/>
                <w:szCs w:val="16"/>
                <w:color w:val="auto"/>
              </w:rPr>
              <w:t>Loss on sale or disposal of assets and other</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4,399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463</w:t>
            </w: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28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114,131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107,230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447,439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414,427</w:t>
            </w: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ind w:left="68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6,725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17,233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47,009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67,124</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5,425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8,764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32,637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27,834</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(1,449)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(11,086)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(17,041)</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Equity in net loss (income) of unconsolidated affiliates</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(5,529)</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Impairment of investment in unconsolidated affiliates</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11,712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19,725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11,712</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Other expense (income)</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1,545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(5,391)</w:t>
            </w: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2,872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4,174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55,539</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Income tax expense</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3,679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2,406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18,389</w:t>
            </w: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6"/>
                <w:szCs w:val="16"/>
                <w:color w:val="auto"/>
              </w:rPr>
              <w:t>(Loss) income from continuing operations, net of tax</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37,150</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Loss from discontinued operations, net of tax</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(856)</w:t>
            </w: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6"/>
                <w:szCs w:val="16"/>
                <w:color w:val="auto"/>
              </w:rPr>
              <w:t>Net (loss) income</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36,294</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Net (loss) income attributable to noncontrolling interest</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(988)</w:t>
            </w: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580" w:type="dxa"/>
            <w:vAlign w:val="bottom"/>
          </w:tcPr>
          <w:p>
            <w:pPr>
              <w:spacing w:after="0"/>
              <w:rPr>
                <w:sz w:val="20"/>
                <w:szCs w:val="20"/>
                <w:color w:val="auto"/>
              </w:rPr>
            </w:pPr>
            <w:r>
              <w:rPr>
                <w:rFonts w:ascii="Arial" w:cs="Arial" w:eastAsia="Arial" w:hAnsi="Arial"/>
                <w:sz w:val="16"/>
                <w:szCs w:val="16"/>
                <w:color w:val="auto"/>
              </w:rPr>
              <w:t>Net (loss) income attributable to EZCORP, Inc.</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2,541</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37,282</w:t>
            </w: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94"/>
        </w:trPr>
        <w:tc>
          <w:tcPr>
            <w:tcW w:w="5580" w:type="dxa"/>
            <w:vAlign w:val="bottom"/>
          </w:tcPr>
          <w:p>
            <w:pPr>
              <w:spacing w:after="0"/>
              <w:rPr>
                <w:sz w:val="20"/>
                <w:szCs w:val="20"/>
                <w:color w:val="auto"/>
              </w:rPr>
            </w:pPr>
            <w:r>
              <w:rPr>
                <w:rFonts w:ascii="Arial" w:cs="Arial" w:eastAsia="Arial" w:hAnsi="Arial"/>
                <w:sz w:val="16"/>
                <w:szCs w:val="16"/>
                <w:color w:val="auto"/>
                <w:w w:val="99"/>
              </w:rPr>
              <w:t>Basic earnings per share attributable to EZCORP, Inc. — continuing operations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0.70</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w w:val="97"/>
              </w:rPr>
              <w:t>Diluted earnings per share attributable to EZCORP, Inc. — continuing operations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0.66</w:t>
            </w:r>
          </w:p>
        </w:tc>
      </w:tr>
      <w:tr>
        <w:trPr>
          <w:trHeight w:val="540"/>
        </w:trPr>
        <w:tc>
          <w:tcPr>
            <w:tcW w:w="5580" w:type="dxa"/>
            <w:vAlign w:val="bottom"/>
          </w:tcPr>
          <w:p>
            <w:pPr>
              <w:spacing w:after="0"/>
              <w:rPr>
                <w:sz w:val="20"/>
                <w:szCs w:val="20"/>
                <w:color w:val="auto"/>
              </w:rPr>
            </w:pPr>
            <w:r>
              <w:rPr>
                <w:rFonts w:ascii="Arial" w:cs="Arial" w:eastAsia="Arial" w:hAnsi="Arial"/>
                <w:sz w:val="16"/>
                <w:szCs w:val="16"/>
                <w:color w:val="auto"/>
              </w:rPr>
              <w:t>Weighted-average basic shares outstanding</w:t>
            </w:r>
          </w:p>
        </w:tc>
        <w:tc>
          <w:tcPr>
            <w:tcW w:w="280" w:type="dxa"/>
            <w:vAlign w:val="bottom"/>
          </w:tcPr>
          <w:p>
            <w:pPr>
              <w:spacing w:after="0"/>
              <w:rPr>
                <w:sz w:val="24"/>
                <w:szCs w:val="24"/>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55,446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54,466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55,341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54,456</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Weighted-average diluted shares outstanding</w:t>
            </w:r>
          </w:p>
        </w:tc>
        <w:tc>
          <w:tcPr>
            <w:tcW w:w="28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55,446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54,466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55,984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57,896</w:t>
            </w:r>
          </w:p>
        </w:tc>
      </w:tr>
    </w:tbl>
    <w:p>
      <w:pPr>
        <w:sectPr>
          <w:pgSz w:w="11900" w:h="16838" w:orient="portrait"/>
          <w:cols w:equalWidth="0" w:num="1">
            <w:col w:w="11380"/>
          </w:cols>
          <w:pgMar w:left="280" w:top="1179"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9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380"/>
        </w:trPr>
        <w:tc>
          <w:tcPr>
            <w:tcW w:w="8980" w:type="dxa"/>
            <w:vAlign w:val="bottom"/>
          </w:tcPr>
          <w:p>
            <w:pPr>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980" w:type="dxa"/>
            <w:vAlign w:val="bottom"/>
          </w:tcPr>
          <w:p>
            <w:pPr>
              <w:ind w:left="24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980" w:type="dxa"/>
            <w:vAlign w:val="bottom"/>
          </w:tcPr>
          <w:p>
            <w:pPr>
              <w:ind w:left="46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157,567</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285,311</w:t>
            </w:r>
          </w:p>
        </w:tc>
        <w:tc>
          <w:tcPr>
            <w:tcW w:w="0" w:type="dxa"/>
            <w:vAlign w:val="bottom"/>
          </w:tcPr>
          <w:p>
            <w:pPr>
              <w:spacing w:after="0"/>
              <w:rPr>
                <w:sz w:val="1"/>
                <w:szCs w:val="1"/>
                <w:color w:val="auto"/>
              </w:rPr>
            </w:pPr>
          </w:p>
        </w:tc>
      </w:tr>
      <w:tr>
        <w:trPr>
          <w:trHeight w:val="270"/>
        </w:trPr>
        <w:tc>
          <w:tcPr>
            <w:tcW w:w="8980" w:type="dxa"/>
            <w:vAlign w:val="bottom"/>
          </w:tcPr>
          <w:p>
            <w:pPr>
              <w:ind w:left="460"/>
              <w:spacing w:after="0"/>
              <w:rPr>
                <w:sz w:val="20"/>
                <w:szCs w:val="20"/>
                <w:color w:val="auto"/>
              </w:rPr>
            </w:pPr>
            <w:r>
              <w:rPr>
                <w:rFonts w:ascii="Arial" w:cs="Arial" w:eastAsia="Arial" w:hAnsi="Arial"/>
                <w:sz w:val="14"/>
                <w:szCs w:val="14"/>
                <w:color w:val="auto"/>
              </w:rPr>
              <w:t>Pawn loans</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199,058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198,463</w:t>
            </w:r>
          </w:p>
        </w:tc>
        <w:tc>
          <w:tcPr>
            <w:tcW w:w="0" w:type="dxa"/>
            <w:vAlign w:val="bottom"/>
          </w:tcPr>
          <w:p>
            <w:pPr>
              <w:spacing w:after="0"/>
              <w:rPr>
                <w:sz w:val="1"/>
                <w:szCs w:val="1"/>
                <w:color w:val="auto"/>
              </w:rPr>
            </w:pPr>
          </w:p>
        </w:tc>
      </w:tr>
      <w:tr>
        <w:trPr>
          <w:trHeight w:val="270"/>
        </w:trPr>
        <w:tc>
          <w:tcPr>
            <w:tcW w:w="8980" w:type="dxa"/>
            <w:vAlign w:val="bottom"/>
          </w:tcPr>
          <w:p>
            <w:pPr>
              <w:ind w:left="460"/>
              <w:spacing w:after="0"/>
              <w:rPr>
                <w:sz w:val="20"/>
                <w:szCs w:val="20"/>
                <w:color w:val="auto"/>
              </w:rPr>
            </w:pPr>
            <w:r>
              <w:rPr>
                <w:rFonts w:ascii="Arial" w:cs="Arial" w:eastAsia="Arial" w:hAnsi="Arial"/>
                <w:sz w:val="14"/>
                <w:szCs w:val="14"/>
                <w:color w:val="auto"/>
              </w:rPr>
              <w:t>Pawn service charges receivable, net</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31,802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30,959</w:t>
            </w:r>
          </w:p>
        </w:tc>
        <w:tc>
          <w:tcPr>
            <w:tcW w:w="0" w:type="dxa"/>
            <w:vAlign w:val="bottom"/>
          </w:tcPr>
          <w:p>
            <w:pPr>
              <w:spacing w:after="0"/>
              <w:rPr>
                <w:sz w:val="1"/>
                <w:szCs w:val="1"/>
                <w:color w:val="auto"/>
              </w:rPr>
            </w:pPr>
          </w:p>
        </w:tc>
      </w:tr>
      <w:tr>
        <w:trPr>
          <w:trHeight w:val="270"/>
        </w:trPr>
        <w:tc>
          <w:tcPr>
            <w:tcW w:w="8980" w:type="dxa"/>
            <w:vAlign w:val="bottom"/>
          </w:tcPr>
          <w:p>
            <w:pPr>
              <w:ind w:left="460"/>
              <w:spacing w:after="0"/>
              <w:rPr>
                <w:sz w:val="20"/>
                <w:szCs w:val="20"/>
                <w:color w:val="auto"/>
              </w:rPr>
            </w:pPr>
            <w:r>
              <w:rPr>
                <w:rFonts w:ascii="Arial" w:cs="Arial" w:eastAsia="Arial" w:hAnsi="Arial"/>
                <w:sz w:val="14"/>
                <w:szCs w:val="14"/>
                <w:color w:val="auto"/>
              </w:rPr>
              <w:t>Inventory, net</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179,355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166,997</w:t>
            </w:r>
          </w:p>
        </w:tc>
        <w:tc>
          <w:tcPr>
            <w:tcW w:w="0" w:type="dxa"/>
            <w:vAlign w:val="bottom"/>
          </w:tcPr>
          <w:p>
            <w:pPr>
              <w:spacing w:after="0"/>
              <w:rPr>
                <w:sz w:val="1"/>
                <w:szCs w:val="1"/>
                <w:color w:val="auto"/>
              </w:rPr>
            </w:pPr>
          </w:p>
        </w:tc>
      </w:tr>
      <w:tr>
        <w:trPr>
          <w:trHeight w:val="270"/>
        </w:trPr>
        <w:tc>
          <w:tcPr>
            <w:tcW w:w="8980" w:type="dxa"/>
            <w:vAlign w:val="bottom"/>
          </w:tcPr>
          <w:p>
            <w:pPr>
              <w:ind w:left="460"/>
              <w:spacing w:after="0"/>
              <w:rPr>
                <w:sz w:val="20"/>
                <w:szCs w:val="20"/>
                <w:color w:val="auto"/>
              </w:rPr>
            </w:pPr>
            <w:r>
              <w:rPr>
                <w:rFonts w:ascii="Arial" w:cs="Arial" w:eastAsia="Arial" w:hAnsi="Arial"/>
                <w:sz w:val="14"/>
                <w:szCs w:val="14"/>
                <w:color w:val="auto"/>
              </w:rPr>
              <w:t>Notes receivable, net</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7,182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34,199</w:t>
            </w:r>
          </w:p>
        </w:tc>
        <w:tc>
          <w:tcPr>
            <w:tcW w:w="0" w:type="dxa"/>
            <w:vAlign w:val="bottom"/>
          </w:tcPr>
          <w:p>
            <w:pPr>
              <w:spacing w:after="0"/>
              <w:rPr>
                <w:sz w:val="1"/>
                <w:szCs w:val="1"/>
                <w:color w:val="auto"/>
              </w:rPr>
            </w:pPr>
          </w:p>
        </w:tc>
      </w:tr>
      <w:tr>
        <w:trPr>
          <w:trHeight w:val="276"/>
        </w:trPr>
        <w:tc>
          <w:tcPr>
            <w:tcW w:w="8980" w:type="dxa"/>
            <w:vAlign w:val="bottom"/>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30,796</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33,456</w:t>
            </w:r>
          </w:p>
        </w:tc>
        <w:tc>
          <w:tcPr>
            <w:tcW w:w="0" w:type="dxa"/>
            <w:vAlign w:val="bottom"/>
          </w:tcPr>
          <w:p>
            <w:pPr>
              <w:spacing w:after="0"/>
              <w:rPr>
                <w:sz w:val="1"/>
                <w:szCs w:val="1"/>
                <w:color w:val="auto"/>
              </w:rPr>
            </w:pPr>
          </w:p>
        </w:tc>
      </w:tr>
      <w:tr>
        <w:trPr>
          <w:trHeight w:val="244"/>
        </w:trPr>
        <w:tc>
          <w:tcPr>
            <w:tcW w:w="89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605,760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749,385</w:t>
            </w:r>
          </w:p>
        </w:tc>
        <w:tc>
          <w:tcPr>
            <w:tcW w:w="0" w:type="dxa"/>
            <w:vAlign w:val="bottom"/>
          </w:tcPr>
          <w:p>
            <w:pPr>
              <w:spacing w:after="0"/>
              <w:rPr>
                <w:sz w:val="1"/>
                <w:szCs w:val="1"/>
                <w:color w:val="auto"/>
              </w:rPr>
            </w:pPr>
          </w:p>
        </w:tc>
      </w:tr>
      <w:tr>
        <w:trPr>
          <w:trHeight w:val="270"/>
        </w:trPr>
        <w:tc>
          <w:tcPr>
            <w:tcW w:w="8980" w:type="dxa"/>
            <w:vAlign w:val="bottom"/>
          </w:tcPr>
          <w:p>
            <w:pPr>
              <w:ind w:left="240"/>
              <w:spacing w:after="0"/>
              <w:rPr>
                <w:sz w:val="20"/>
                <w:szCs w:val="20"/>
                <w:color w:val="auto"/>
              </w:rPr>
            </w:pPr>
            <w:r>
              <w:rPr>
                <w:rFonts w:ascii="Arial" w:cs="Arial" w:eastAsia="Arial" w:hAnsi="Arial"/>
                <w:sz w:val="14"/>
                <w:szCs w:val="14"/>
                <w:color w:val="auto"/>
              </w:rPr>
              <w:t>Investments in unconsolidated affiliates</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34,516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49,500</w:t>
            </w:r>
          </w:p>
        </w:tc>
        <w:tc>
          <w:tcPr>
            <w:tcW w:w="0" w:type="dxa"/>
            <w:vAlign w:val="bottom"/>
          </w:tcPr>
          <w:p>
            <w:pPr>
              <w:spacing w:after="0"/>
              <w:rPr>
                <w:sz w:val="1"/>
                <w:szCs w:val="1"/>
                <w:color w:val="auto"/>
              </w:rPr>
            </w:pPr>
          </w:p>
        </w:tc>
      </w:tr>
      <w:tr>
        <w:trPr>
          <w:trHeight w:val="270"/>
        </w:trPr>
        <w:tc>
          <w:tcPr>
            <w:tcW w:w="8980" w:type="dxa"/>
            <w:vAlign w:val="bottom"/>
          </w:tcPr>
          <w:p>
            <w:pPr>
              <w:ind w:left="240"/>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67,357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73,649</w:t>
            </w:r>
          </w:p>
        </w:tc>
        <w:tc>
          <w:tcPr>
            <w:tcW w:w="0" w:type="dxa"/>
            <w:vAlign w:val="bottom"/>
          </w:tcPr>
          <w:p>
            <w:pPr>
              <w:spacing w:after="0"/>
              <w:rPr>
                <w:sz w:val="1"/>
                <w:szCs w:val="1"/>
                <w:color w:val="auto"/>
              </w:rPr>
            </w:pPr>
          </w:p>
        </w:tc>
      </w:tr>
      <w:tr>
        <w:trPr>
          <w:trHeight w:val="270"/>
        </w:trPr>
        <w:tc>
          <w:tcPr>
            <w:tcW w:w="8980" w:type="dxa"/>
            <w:vAlign w:val="bottom"/>
          </w:tcPr>
          <w:p>
            <w:pPr>
              <w:ind w:left="24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300,527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299,248</w:t>
            </w:r>
          </w:p>
        </w:tc>
        <w:tc>
          <w:tcPr>
            <w:tcW w:w="0" w:type="dxa"/>
            <w:vAlign w:val="bottom"/>
          </w:tcPr>
          <w:p>
            <w:pPr>
              <w:spacing w:after="0"/>
              <w:rPr>
                <w:sz w:val="1"/>
                <w:szCs w:val="1"/>
                <w:color w:val="auto"/>
              </w:rPr>
            </w:pPr>
          </w:p>
        </w:tc>
      </w:tr>
      <w:tr>
        <w:trPr>
          <w:trHeight w:val="270"/>
        </w:trPr>
        <w:tc>
          <w:tcPr>
            <w:tcW w:w="8980" w:type="dxa"/>
            <w:vAlign w:val="bottom"/>
          </w:tcPr>
          <w:p>
            <w:pPr>
              <w:ind w:left="240"/>
              <w:spacing w:after="0"/>
              <w:rPr>
                <w:sz w:val="20"/>
                <w:szCs w:val="20"/>
                <w:color w:val="auto"/>
              </w:rPr>
            </w:pPr>
            <w:r>
              <w:rPr>
                <w:rFonts w:ascii="Arial" w:cs="Arial" w:eastAsia="Arial" w:hAnsi="Arial"/>
                <w:sz w:val="14"/>
                <w:szCs w:val="14"/>
                <w:color w:val="auto"/>
              </w:rPr>
              <w:t>Intangible assets, net</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68,044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54,923</w:t>
            </w:r>
          </w:p>
        </w:tc>
        <w:tc>
          <w:tcPr>
            <w:tcW w:w="0" w:type="dxa"/>
            <w:vAlign w:val="bottom"/>
          </w:tcPr>
          <w:p>
            <w:pPr>
              <w:spacing w:after="0"/>
              <w:rPr>
                <w:sz w:val="1"/>
                <w:szCs w:val="1"/>
                <w:color w:val="auto"/>
              </w:rPr>
            </w:pPr>
          </w:p>
        </w:tc>
      </w:tr>
      <w:tr>
        <w:trPr>
          <w:trHeight w:val="270"/>
        </w:trPr>
        <w:tc>
          <w:tcPr>
            <w:tcW w:w="8980" w:type="dxa"/>
            <w:vAlign w:val="bottom"/>
          </w:tcPr>
          <w:p>
            <w:pPr>
              <w:ind w:left="240"/>
              <w:spacing w:after="0"/>
              <w:rPr>
                <w:sz w:val="20"/>
                <w:szCs w:val="20"/>
                <w:color w:val="auto"/>
              </w:rPr>
            </w:pPr>
            <w:r>
              <w:rPr>
                <w:rFonts w:ascii="Arial" w:cs="Arial" w:eastAsia="Arial" w:hAnsi="Arial"/>
                <w:sz w:val="14"/>
                <w:szCs w:val="14"/>
                <w:color w:val="auto"/>
              </w:rPr>
              <w:t>Notes receivable, net</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1,117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3,226</w:t>
            </w:r>
          </w:p>
        </w:tc>
        <w:tc>
          <w:tcPr>
            <w:tcW w:w="0" w:type="dxa"/>
            <w:vAlign w:val="bottom"/>
          </w:tcPr>
          <w:p>
            <w:pPr>
              <w:spacing w:after="0"/>
              <w:rPr>
                <w:sz w:val="1"/>
                <w:szCs w:val="1"/>
                <w:color w:val="auto"/>
              </w:rPr>
            </w:pPr>
          </w:p>
        </w:tc>
      </w:tr>
      <w:tr>
        <w:trPr>
          <w:trHeight w:val="270"/>
        </w:trPr>
        <w:tc>
          <w:tcPr>
            <w:tcW w:w="8980" w:type="dxa"/>
            <w:vAlign w:val="bottom"/>
          </w:tcPr>
          <w:p>
            <w:pPr>
              <w:ind w:left="240"/>
              <w:spacing w:after="0"/>
              <w:rPr>
                <w:sz w:val="20"/>
                <w:szCs w:val="20"/>
                <w:color w:val="auto"/>
              </w:rPr>
            </w:pPr>
            <w:r>
              <w:rPr>
                <w:rFonts w:ascii="Arial" w:cs="Arial" w:eastAsia="Arial" w:hAnsi="Arial"/>
                <w:sz w:val="14"/>
                <w:szCs w:val="14"/>
                <w:color w:val="auto"/>
              </w:rPr>
              <w:t>Deferred tax asset, net</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7,986</w:t>
            </w:r>
          </w:p>
        </w:tc>
        <w:tc>
          <w:tcPr>
            <w:tcW w:w="0" w:type="dxa"/>
            <w:vAlign w:val="bottom"/>
          </w:tcPr>
          <w:p>
            <w:pPr>
              <w:spacing w:after="0"/>
              <w:rPr>
                <w:sz w:val="1"/>
                <w:szCs w:val="1"/>
                <w:color w:val="auto"/>
              </w:rPr>
            </w:pPr>
          </w:p>
        </w:tc>
      </w:tr>
      <w:tr>
        <w:trPr>
          <w:trHeight w:val="276"/>
        </w:trPr>
        <w:tc>
          <w:tcPr>
            <w:tcW w:w="898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4,383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3,863</w:t>
            </w:r>
          </w:p>
        </w:tc>
        <w:tc>
          <w:tcPr>
            <w:tcW w:w="0" w:type="dxa"/>
            <w:vAlign w:val="bottom"/>
          </w:tcPr>
          <w:p>
            <w:pPr>
              <w:spacing w:after="0"/>
              <w:rPr>
                <w:sz w:val="1"/>
                <w:szCs w:val="1"/>
                <w:color w:val="auto"/>
              </w:rPr>
            </w:pPr>
          </w:p>
        </w:tc>
      </w:tr>
      <w:tr>
        <w:trPr>
          <w:trHeight w:val="243"/>
        </w:trPr>
        <w:tc>
          <w:tcPr>
            <w:tcW w:w="8980" w:type="dxa"/>
            <w:vAlign w:val="bottom"/>
          </w:tcPr>
          <w:p>
            <w:pPr>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1,083,702</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1,241,780</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4"/>
                <w:szCs w:val="14"/>
                <w:color w:val="auto"/>
              </w:rPr>
              <w:t>Liabilities and equity:</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8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980" w:type="dxa"/>
            <w:vAlign w:val="bottom"/>
          </w:tcPr>
          <w:p>
            <w:pPr>
              <w:ind w:left="24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980" w:type="dxa"/>
            <w:vAlign w:val="bottom"/>
          </w:tcPr>
          <w:p>
            <w:pPr>
              <w:ind w:left="460"/>
              <w:spacing w:after="0"/>
              <w:rPr>
                <w:sz w:val="20"/>
                <w:szCs w:val="20"/>
                <w:color w:val="auto"/>
              </w:rPr>
            </w:pPr>
            <w:r>
              <w:rPr>
                <w:rFonts w:ascii="Arial" w:cs="Arial" w:eastAsia="Arial" w:hAnsi="Arial"/>
                <w:sz w:val="14"/>
                <w:szCs w:val="14"/>
                <w:color w:val="auto"/>
              </w:rPr>
              <w:t>Current maturities of long-term debt, net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190,181</w:t>
            </w:r>
          </w:p>
        </w:tc>
        <w:tc>
          <w:tcPr>
            <w:tcW w:w="0" w:type="dxa"/>
            <w:vAlign w:val="bottom"/>
          </w:tcPr>
          <w:p>
            <w:pPr>
              <w:spacing w:after="0"/>
              <w:rPr>
                <w:sz w:val="1"/>
                <w:szCs w:val="1"/>
                <w:color w:val="auto"/>
              </w:rPr>
            </w:pPr>
          </w:p>
        </w:tc>
      </w:tr>
      <w:tr>
        <w:trPr>
          <w:trHeight w:val="270"/>
        </w:trPr>
        <w:tc>
          <w:tcPr>
            <w:tcW w:w="8980" w:type="dxa"/>
            <w:vAlign w:val="bottom"/>
          </w:tcPr>
          <w:p>
            <w:pPr>
              <w:ind w:left="460"/>
              <w:spacing w:after="0"/>
              <w:rPr>
                <w:sz w:val="20"/>
                <w:szCs w:val="20"/>
                <w:color w:val="auto"/>
              </w:rPr>
            </w:pPr>
            <w:r>
              <w:rPr>
                <w:rFonts w:ascii="Arial" w:cs="Arial" w:eastAsia="Arial" w:hAnsi="Arial"/>
                <w:sz w:val="14"/>
                <w:szCs w:val="14"/>
                <w:color w:val="auto"/>
              </w:rPr>
              <w:t>Accounts payable, accrued expenses and other current liabilities</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77,957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57,958</w:t>
            </w:r>
          </w:p>
        </w:tc>
        <w:tc>
          <w:tcPr>
            <w:tcW w:w="0" w:type="dxa"/>
            <w:vAlign w:val="bottom"/>
          </w:tcPr>
          <w:p>
            <w:pPr>
              <w:spacing w:after="0"/>
              <w:rPr>
                <w:sz w:val="1"/>
                <w:szCs w:val="1"/>
                <w:color w:val="auto"/>
              </w:rPr>
            </w:pPr>
          </w:p>
        </w:tc>
      </w:tr>
      <w:tr>
        <w:trPr>
          <w:trHeight w:val="276"/>
        </w:trPr>
        <w:tc>
          <w:tcPr>
            <w:tcW w:w="8980" w:type="dxa"/>
            <w:vAlign w:val="bottom"/>
          </w:tcPr>
          <w:p>
            <w:pPr>
              <w:ind w:left="460"/>
              <w:spacing w:after="0"/>
              <w:rPr>
                <w:sz w:val="20"/>
                <w:szCs w:val="20"/>
                <w:color w:val="auto"/>
              </w:rPr>
            </w:pPr>
            <w:r>
              <w:rPr>
                <w:rFonts w:ascii="Arial" w:cs="Arial" w:eastAsia="Arial" w:hAnsi="Arial"/>
                <w:sz w:val="14"/>
                <w:szCs w:val="14"/>
                <w:color w:val="auto"/>
              </w:rPr>
              <w:t>Customer layaway deposits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12,915</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11,824</w:t>
            </w:r>
          </w:p>
        </w:tc>
        <w:tc>
          <w:tcPr>
            <w:tcW w:w="0" w:type="dxa"/>
            <w:vAlign w:val="bottom"/>
          </w:tcPr>
          <w:p>
            <w:pPr>
              <w:spacing w:after="0"/>
              <w:rPr>
                <w:sz w:val="1"/>
                <w:szCs w:val="1"/>
                <w:color w:val="auto"/>
              </w:rPr>
            </w:pPr>
          </w:p>
        </w:tc>
      </w:tr>
      <w:tr>
        <w:trPr>
          <w:trHeight w:val="244"/>
        </w:trPr>
        <w:tc>
          <w:tcPr>
            <w:tcW w:w="898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91,086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259,963</w:t>
            </w:r>
          </w:p>
        </w:tc>
        <w:tc>
          <w:tcPr>
            <w:tcW w:w="0" w:type="dxa"/>
            <w:vAlign w:val="bottom"/>
          </w:tcPr>
          <w:p>
            <w:pPr>
              <w:spacing w:after="0"/>
              <w:rPr>
                <w:sz w:val="1"/>
                <w:szCs w:val="1"/>
                <w:color w:val="auto"/>
              </w:rPr>
            </w:pPr>
          </w:p>
        </w:tc>
      </w:tr>
      <w:tr>
        <w:trPr>
          <w:trHeight w:val="270"/>
        </w:trPr>
        <w:tc>
          <w:tcPr>
            <w:tcW w:w="8980" w:type="dxa"/>
            <w:vAlign w:val="bottom"/>
          </w:tcPr>
          <w:p>
            <w:pPr>
              <w:ind w:left="240"/>
              <w:spacing w:after="0"/>
              <w:rPr>
                <w:sz w:val="20"/>
                <w:szCs w:val="20"/>
                <w:color w:val="auto"/>
              </w:rPr>
            </w:pPr>
            <w:r>
              <w:rPr>
                <w:rFonts w:ascii="Arial" w:cs="Arial" w:eastAsia="Arial" w:hAnsi="Arial"/>
                <w:sz w:val="14"/>
                <w:szCs w:val="14"/>
                <w:color w:val="auto"/>
              </w:rPr>
              <w:t>Long-term debt, net</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238,380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226,702</w:t>
            </w:r>
          </w:p>
        </w:tc>
        <w:tc>
          <w:tcPr>
            <w:tcW w:w="0" w:type="dxa"/>
            <w:vAlign w:val="bottom"/>
          </w:tcPr>
          <w:p>
            <w:pPr>
              <w:spacing w:after="0"/>
              <w:rPr>
                <w:sz w:val="1"/>
                <w:szCs w:val="1"/>
                <w:color w:val="auto"/>
              </w:rPr>
            </w:pPr>
          </w:p>
        </w:tc>
      </w:tr>
      <w:tr>
        <w:trPr>
          <w:trHeight w:val="270"/>
        </w:trPr>
        <w:tc>
          <w:tcPr>
            <w:tcW w:w="8980" w:type="dxa"/>
            <w:vAlign w:val="bottom"/>
          </w:tcPr>
          <w:p>
            <w:pPr>
              <w:ind w:left="240"/>
              <w:spacing w:after="0"/>
              <w:rPr>
                <w:sz w:val="20"/>
                <w:szCs w:val="20"/>
                <w:color w:val="auto"/>
              </w:rPr>
            </w:pPr>
            <w:r>
              <w:rPr>
                <w:rFonts w:ascii="Arial" w:cs="Arial" w:eastAsia="Arial" w:hAnsi="Arial"/>
                <w:sz w:val="14"/>
                <w:szCs w:val="14"/>
                <w:color w:val="auto"/>
              </w:rPr>
              <w:t>Deferred tax liability, net</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1,985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8,817</w:t>
            </w:r>
          </w:p>
        </w:tc>
        <w:tc>
          <w:tcPr>
            <w:tcW w:w="0" w:type="dxa"/>
            <w:vAlign w:val="bottom"/>
          </w:tcPr>
          <w:p>
            <w:pPr>
              <w:spacing w:after="0"/>
              <w:rPr>
                <w:sz w:val="1"/>
                <w:szCs w:val="1"/>
                <w:color w:val="auto"/>
              </w:rPr>
            </w:pPr>
          </w:p>
        </w:tc>
      </w:tr>
      <w:tr>
        <w:trPr>
          <w:trHeight w:val="276"/>
        </w:trPr>
        <w:tc>
          <w:tcPr>
            <w:tcW w:w="8980" w:type="dxa"/>
            <w:vAlign w:val="bottom"/>
          </w:tcPr>
          <w:p>
            <w:pPr>
              <w:ind w:left="24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7,302</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6,890</w:t>
            </w:r>
          </w:p>
        </w:tc>
        <w:tc>
          <w:tcPr>
            <w:tcW w:w="0" w:type="dxa"/>
            <w:vAlign w:val="bottom"/>
          </w:tcPr>
          <w:p>
            <w:pPr>
              <w:spacing w:after="0"/>
              <w:rPr>
                <w:sz w:val="1"/>
                <w:szCs w:val="1"/>
                <w:color w:val="auto"/>
              </w:rPr>
            </w:pPr>
          </w:p>
        </w:tc>
      </w:tr>
      <w:tr>
        <w:trPr>
          <w:trHeight w:val="244"/>
        </w:trPr>
        <w:tc>
          <w:tcPr>
            <w:tcW w:w="8980" w:type="dxa"/>
            <w:vAlign w:val="bottom"/>
          </w:tcPr>
          <w:p>
            <w:pPr>
              <w:ind w:left="880"/>
              <w:spacing w:after="0"/>
              <w:rPr>
                <w:sz w:val="20"/>
                <w:szCs w:val="20"/>
                <w:color w:val="auto"/>
              </w:rPr>
            </w:pPr>
            <w:r>
              <w:rPr>
                <w:rFonts w:ascii="Arial" w:cs="Arial" w:eastAsia="Arial" w:hAnsi="Arial"/>
                <w:sz w:val="14"/>
                <w:szCs w:val="14"/>
                <w:color w:val="auto"/>
              </w:rPr>
              <w:t>Total liabilities</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338,753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502,372</w:t>
            </w:r>
          </w:p>
        </w:tc>
        <w:tc>
          <w:tcPr>
            <w:tcW w:w="0" w:type="dxa"/>
            <w:vAlign w:val="bottom"/>
          </w:tcPr>
          <w:p>
            <w:pPr>
              <w:spacing w:after="0"/>
              <w:rPr>
                <w:sz w:val="1"/>
                <w:szCs w:val="1"/>
                <w:color w:val="auto"/>
              </w:rPr>
            </w:pPr>
          </w:p>
        </w:tc>
      </w:tr>
      <w:tr>
        <w:trPr>
          <w:trHeight w:val="270"/>
        </w:trPr>
        <w:tc>
          <w:tcPr>
            <w:tcW w:w="8980" w:type="dxa"/>
            <w:vAlign w:val="bottom"/>
          </w:tcPr>
          <w:p>
            <w:pPr>
              <w:ind w:left="240"/>
              <w:spacing w:after="0"/>
              <w:rPr>
                <w:sz w:val="20"/>
                <w:szCs w:val="20"/>
                <w:color w:val="auto"/>
              </w:rPr>
            </w:pPr>
            <w:r>
              <w:rPr>
                <w:rFonts w:ascii="Arial" w:cs="Arial" w:eastAsia="Arial" w:hAnsi="Arial"/>
                <w:sz w:val="14"/>
                <w:szCs w:val="14"/>
                <w:color w:val="auto"/>
              </w:rPr>
              <w:t>Commitments and contingencies</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980" w:type="dxa"/>
            <w:vAlign w:val="bottom"/>
          </w:tcPr>
          <w:p>
            <w:pPr>
              <w:ind w:left="24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8980" w:type="dxa"/>
            <w:vAlign w:val="bottom"/>
          </w:tcPr>
          <w:p>
            <w:pPr>
              <w:ind w:left="460"/>
              <w:spacing w:after="0"/>
              <w:rPr>
                <w:sz w:val="20"/>
                <w:szCs w:val="20"/>
                <w:color w:val="auto"/>
              </w:rPr>
            </w:pPr>
            <w:r>
              <w:rPr>
                <w:rFonts w:ascii="Arial" w:cs="Arial" w:eastAsia="Arial" w:hAnsi="Arial"/>
                <w:sz w:val="14"/>
                <w:szCs w:val="14"/>
                <w:color w:val="auto"/>
                <w:w w:val="93"/>
              </w:rPr>
              <w:t>Class A Non-Voting Common Stock, par value $.01 per share; shares authorized: 100 million; issued and outstanding: 52,565,064 as of September</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980" w:type="dxa"/>
            <w:vAlign w:val="bottom"/>
          </w:tcPr>
          <w:p>
            <w:pPr>
              <w:ind w:left="460"/>
              <w:spacing w:after="0"/>
              <w:rPr>
                <w:sz w:val="20"/>
                <w:szCs w:val="20"/>
                <w:color w:val="auto"/>
              </w:rPr>
            </w:pPr>
            <w:r>
              <w:rPr>
                <w:rFonts w:ascii="Arial" w:cs="Arial" w:eastAsia="Arial" w:hAnsi="Arial"/>
                <w:sz w:val="14"/>
                <w:szCs w:val="14"/>
                <w:color w:val="auto"/>
              </w:rPr>
              <w:t>30, 2019 and 51,614,746 as of September 30, 2018</w:t>
            </w:r>
          </w:p>
        </w:tc>
        <w:tc>
          <w:tcPr>
            <w:tcW w:w="28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70"/>
        </w:trPr>
        <w:tc>
          <w:tcPr>
            <w:tcW w:w="8980" w:type="dxa"/>
            <w:vAlign w:val="bottom"/>
          </w:tcPr>
          <w:p>
            <w:pPr>
              <w:ind w:left="460"/>
              <w:spacing w:after="0"/>
              <w:rPr>
                <w:sz w:val="20"/>
                <w:szCs w:val="20"/>
                <w:color w:val="auto"/>
              </w:rPr>
            </w:pPr>
            <w:r>
              <w:rPr>
                <w:rFonts w:ascii="Arial" w:cs="Arial" w:eastAsia="Arial" w:hAnsi="Arial"/>
                <w:sz w:val="14"/>
                <w:szCs w:val="14"/>
                <w:color w:val="auto"/>
              </w:rPr>
              <w:t>Class B Voting Common Stock, convertible, par value $.01 per share; shares authorized: 3 million; issued and outstanding: 2,970,171</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0"/>
        </w:trPr>
        <w:tc>
          <w:tcPr>
            <w:tcW w:w="8980" w:type="dxa"/>
            <w:vAlign w:val="bottom"/>
          </w:tcPr>
          <w:p>
            <w:pPr>
              <w:ind w:left="46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407,628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397,927</w:t>
            </w:r>
          </w:p>
        </w:tc>
        <w:tc>
          <w:tcPr>
            <w:tcW w:w="0" w:type="dxa"/>
            <w:vAlign w:val="bottom"/>
          </w:tcPr>
          <w:p>
            <w:pPr>
              <w:spacing w:after="0"/>
              <w:rPr>
                <w:sz w:val="1"/>
                <w:szCs w:val="1"/>
                <w:color w:val="auto"/>
              </w:rPr>
            </w:pPr>
          </w:p>
        </w:tc>
      </w:tr>
      <w:tr>
        <w:trPr>
          <w:trHeight w:val="270"/>
        </w:trPr>
        <w:tc>
          <w:tcPr>
            <w:tcW w:w="8980" w:type="dxa"/>
            <w:vAlign w:val="bottom"/>
          </w:tcPr>
          <w:p>
            <w:pPr>
              <w:ind w:left="46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389,163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386,622</w:t>
            </w:r>
          </w:p>
        </w:tc>
        <w:tc>
          <w:tcPr>
            <w:tcW w:w="0" w:type="dxa"/>
            <w:vAlign w:val="bottom"/>
          </w:tcPr>
          <w:p>
            <w:pPr>
              <w:spacing w:after="0"/>
              <w:rPr>
                <w:sz w:val="1"/>
                <w:szCs w:val="1"/>
                <w:color w:val="auto"/>
              </w:rPr>
            </w:pPr>
          </w:p>
        </w:tc>
      </w:tr>
      <w:tr>
        <w:trPr>
          <w:trHeight w:val="276"/>
        </w:trPr>
        <w:tc>
          <w:tcPr>
            <w:tcW w:w="8980" w:type="dxa"/>
            <w:vAlign w:val="bottom"/>
          </w:tcPr>
          <w:p>
            <w:pPr>
              <w:ind w:left="46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(52,398)</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(42,356)</w:t>
            </w:r>
          </w:p>
        </w:tc>
        <w:tc>
          <w:tcPr>
            <w:tcW w:w="0" w:type="dxa"/>
            <w:vAlign w:val="bottom"/>
          </w:tcPr>
          <w:p>
            <w:pPr>
              <w:spacing w:after="0"/>
              <w:rPr>
                <w:sz w:val="1"/>
                <w:szCs w:val="1"/>
                <w:color w:val="auto"/>
              </w:rPr>
            </w:pPr>
          </w:p>
        </w:tc>
      </w:tr>
      <w:tr>
        <w:trPr>
          <w:trHeight w:val="244"/>
        </w:trPr>
        <w:tc>
          <w:tcPr>
            <w:tcW w:w="8980" w:type="dxa"/>
            <w:vAlign w:val="bottom"/>
          </w:tcPr>
          <w:p>
            <w:pPr>
              <w:ind w:left="680"/>
              <w:spacing w:after="0"/>
              <w:rPr>
                <w:sz w:val="20"/>
                <w:szCs w:val="20"/>
                <w:color w:val="auto"/>
              </w:rPr>
            </w:pPr>
            <w:r>
              <w:rPr>
                <w:rFonts w:ascii="Arial" w:cs="Arial" w:eastAsia="Arial" w:hAnsi="Arial"/>
                <w:sz w:val="14"/>
                <w:szCs w:val="14"/>
                <w:color w:val="auto"/>
              </w:rPr>
              <w:t>EZCORP, Inc. stockholders’ equity</w:t>
            </w:r>
          </w:p>
        </w:tc>
        <w:tc>
          <w:tcPr>
            <w:tcW w:w="2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744,949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742,739</w:t>
            </w:r>
          </w:p>
        </w:tc>
        <w:tc>
          <w:tcPr>
            <w:tcW w:w="0" w:type="dxa"/>
            <w:vAlign w:val="bottom"/>
          </w:tcPr>
          <w:p>
            <w:pPr>
              <w:spacing w:after="0"/>
              <w:rPr>
                <w:sz w:val="1"/>
                <w:szCs w:val="1"/>
                <w:color w:val="auto"/>
              </w:rPr>
            </w:pPr>
          </w:p>
        </w:tc>
      </w:tr>
      <w:tr>
        <w:trPr>
          <w:trHeight w:val="276"/>
        </w:trPr>
        <w:tc>
          <w:tcPr>
            <w:tcW w:w="8980" w:type="dxa"/>
            <w:vAlign w:val="bottom"/>
          </w:tcPr>
          <w:p>
            <w:pPr>
              <w:ind w:left="460"/>
              <w:spacing w:after="0"/>
              <w:rPr>
                <w:sz w:val="20"/>
                <w:szCs w:val="20"/>
                <w:color w:val="auto"/>
              </w:rPr>
            </w:pPr>
            <w:r>
              <w:rPr>
                <w:rFonts w:ascii="Arial" w:cs="Arial" w:eastAsia="Arial" w:hAnsi="Arial"/>
                <w:sz w:val="14"/>
                <w:szCs w:val="14"/>
                <w:color w:val="auto"/>
              </w:rPr>
              <w:t>Noncontrolling interest</w:t>
            </w:r>
          </w:p>
        </w:tc>
        <w:tc>
          <w:tcPr>
            <w:tcW w:w="28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(3,331)</w:t>
            </w:r>
          </w:p>
        </w:tc>
        <w:tc>
          <w:tcPr>
            <w:tcW w:w="0" w:type="dxa"/>
            <w:vAlign w:val="bottom"/>
          </w:tcPr>
          <w:p>
            <w:pPr>
              <w:spacing w:after="0"/>
              <w:rPr>
                <w:sz w:val="1"/>
                <w:szCs w:val="1"/>
                <w:color w:val="auto"/>
              </w:rPr>
            </w:pPr>
          </w:p>
        </w:tc>
      </w:tr>
      <w:tr>
        <w:trPr>
          <w:trHeight w:val="250"/>
        </w:trPr>
        <w:tc>
          <w:tcPr>
            <w:tcW w:w="8980" w:type="dxa"/>
            <w:vAlign w:val="bottom"/>
          </w:tcPr>
          <w:p>
            <w:pPr>
              <w:ind w:left="880"/>
              <w:spacing w:after="0"/>
              <w:rPr>
                <w:sz w:val="20"/>
                <w:szCs w:val="20"/>
                <w:color w:val="auto"/>
              </w:rPr>
            </w:pPr>
            <w:r>
              <w:rPr>
                <w:rFonts w:ascii="Arial" w:cs="Arial" w:eastAsia="Arial" w:hAnsi="Arial"/>
                <w:sz w:val="14"/>
                <w:szCs w:val="14"/>
                <w:color w:val="auto"/>
              </w:rPr>
              <w:t>Total equity</w:t>
            </w:r>
          </w:p>
        </w:tc>
        <w:tc>
          <w:tcPr>
            <w:tcW w:w="2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744,949</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739,408</w:t>
            </w:r>
          </w:p>
        </w:tc>
        <w:tc>
          <w:tcPr>
            <w:tcW w:w="0" w:type="dxa"/>
            <w:vAlign w:val="bottom"/>
          </w:tcPr>
          <w:p>
            <w:pPr>
              <w:spacing w:after="0"/>
              <w:rPr>
                <w:sz w:val="1"/>
                <w:szCs w:val="1"/>
                <w:color w:val="auto"/>
              </w:rPr>
            </w:pPr>
          </w:p>
        </w:tc>
      </w:tr>
      <w:tr>
        <w:trPr>
          <w:trHeight w:val="243"/>
        </w:trPr>
        <w:tc>
          <w:tcPr>
            <w:tcW w:w="8980" w:type="dxa"/>
            <w:vAlign w:val="bottom"/>
          </w:tcPr>
          <w:p>
            <w:pPr>
              <w:spacing w:after="0"/>
              <w:rPr>
                <w:sz w:val="20"/>
                <w:szCs w:val="20"/>
                <w:color w:val="auto"/>
              </w:rPr>
            </w:pPr>
            <w:r>
              <w:rPr>
                <w:rFonts w:ascii="Arial" w:cs="Arial" w:eastAsia="Arial" w:hAnsi="Arial"/>
                <w:sz w:val="14"/>
                <w:szCs w:val="14"/>
                <w:color w:val="auto"/>
              </w:rPr>
              <w:t>Total liabilities and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1,083,702</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1,241,780</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1067"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437"/>
              <w:spacing w:after="0"/>
              <w:rPr>
                <w:sz w:val="20"/>
                <w:szCs w:val="20"/>
                <w:color w:val="auto"/>
              </w:rPr>
            </w:pPr>
            <w:r>
              <w:rPr>
                <w:rFonts w:ascii="Arial" w:cs="Arial" w:eastAsia="Arial" w:hAnsi="Arial"/>
                <w:sz w:val="14"/>
                <w:szCs w:val="14"/>
                <w:b w:val="1"/>
                <w:bCs w:val="1"/>
                <w:color w:val="auto"/>
                <w:w w:val="91"/>
              </w:rPr>
              <w:t>Fiscal Year Ended 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308"/>
        </w:trPr>
        <w:tc>
          <w:tcPr>
            <w:tcW w:w="7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3"/>
                <w:szCs w:val="13"/>
                <w:i w:val="1"/>
                <w:iCs w:val="1"/>
                <w:color w:val="auto"/>
                <w:w w:val="89"/>
              </w:rPr>
              <w:t>(in thousands)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3"/>
                <w:szCs w:val="13"/>
                <w:color w:val="auto"/>
              </w:rPr>
              <w:t>Operating activities: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1,311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36,294</w:t>
            </w:r>
          </w:p>
        </w:tc>
        <w:tc>
          <w:tcPr>
            <w:tcW w:w="100" w:type="dxa"/>
            <w:vAlign w:val="bottom"/>
          </w:tcPr>
          <w:p>
            <w:pPr>
              <w:spacing w:after="0"/>
              <w:rPr>
                <w:sz w:val="23"/>
                <w:szCs w:val="23"/>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29,760</w:t>
            </w:r>
          </w:p>
        </w:tc>
        <w:tc>
          <w:tcPr>
            <w:tcW w:w="0" w:type="dxa"/>
            <w:vAlign w:val="bottom"/>
          </w:tcPr>
          <w:p>
            <w:pPr>
              <w:spacing w:after="0"/>
              <w:rPr>
                <w:sz w:val="1"/>
                <w:szCs w:val="1"/>
                <w:color w:val="auto"/>
              </w:rPr>
            </w:pPr>
          </w:p>
        </w:tc>
      </w:tr>
      <w:tr>
        <w:trPr>
          <w:trHeight w:val="270"/>
        </w:trPr>
        <w:tc>
          <w:tcPr>
            <w:tcW w:w="7740" w:type="dxa"/>
            <w:vAlign w:val="bottom"/>
          </w:tcPr>
          <w:p>
            <w:pPr>
              <w:ind w:left="34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56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28,797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25,484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23,661</w:t>
            </w:r>
          </w:p>
        </w:tc>
        <w:tc>
          <w:tcPr>
            <w:tcW w:w="0" w:type="dxa"/>
            <w:vAlign w:val="bottom"/>
          </w:tcPr>
          <w:p>
            <w:pPr>
              <w:spacing w:after="0"/>
              <w:rPr>
                <w:sz w:val="1"/>
                <w:szCs w:val="1"/>
                <w:color w:val="auto"/>
              </w:rPr>
            </w:pPr>
          </w:p>
        </w:tc>
      </w:tr>
      <w:tr>
        <w:trPr>
          <w:trHeight w:val="270"/>
        </w:trPr>
        <w:tc>
          <w:tcPr>
            <w:tcW w:w="7740" w:type="dxa"/>
            <w:vAlign w:val="bottom"/>
          </w:tcPr>
          <w:p>
            <w:pPr>
              <w:ind w:left="560"/>
              <w:spacing w:after="0"/>
              <w:rPr>
                <w:sz w:val="20"/>
                <w:szCs w:val="20"/>
                <w:color w:val="auto"/>
              </w:rPr>
            </w:pPr>
            <w:r>
              <w:rPr>
                <w:rFonts w:ascii="Arial" w:cs="Arial" w:eastAsia="Arial" w:hAnsi="Arial"/>
                <w:sz w:val="13"/>
                <w:szCs w:val="13"/>
                <w:color w:val="auto"/>
              </w:rPr>
              <w:t>Amortization of debt discount and deferred financing costs</w:t>
            </w:r>
          </w:p>
        </w:tc>
        <w:tc>
          <w:tcPr>
            <w:tcW w:w="26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19,759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17,595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12,303</w:t>
            </w:r>
          </w:p>
        </w:tc>
        <w:tc>
          <w:tcPr>
            <w:tcW w:w="0" w:type="dxa"/>
            <w:vAlign w:val="bottom"/>
          </w:tcPr>
          <w:p>
            <w:pPr>
              <w:spacing w:after="0"/>
              <w:rPr>
                <w:sz w:val="1"/>
                <w:szCs w:val="1"/>
                <w:color w:val="auto"/>
              </w:rPr>
            </w:pPr>
          </w:p>
        </w:tc>
      </w:tr>
      <w:tr>
        <w:trPr>
          <w:trHeight w:val="270"/>
        </w:trPr>
        <w:tc>
          <w:tcPr>
            <w:tcW w:w="7740" w:type="dxa"/>
            <w:vAlign w:val="bottom"/>
          </w:tcPr>
          <w:p>
            <w:pPr>
              <w:ind w:left="560"/>
              <w:spacing w:after="0"/>
              <w:rPr>
                <w:sz w:val="20"/>
                <w:szCs w:val="20"/>
                <w:color w:val="auto"/>
              </w:rPr>
            </w:pPr>
            <w:r>
              <w:rPr>
                <w:rFonts w:ascii="Arial" w:cs="Arial" w:eastAsia="Arial" w:hAnsi="Arial"/>
                <w:sz w:val="13"/>
                <w:szCs w:val="13"/>
                <w:color w:val="auto"/>
              </w:rPr>
              <w:t>Accretion of notes receivable discount and deferred compensation fee</w:t>
            </w:r>
          </w:p>
        </w:tc>
        <w:tc>
          <w:tcPr>
            <w:tcW w:w="26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(4,524)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(9,150)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(3,788)</w:t>
            </w:r>
          </w:p>
        </w:tc>
        <w:tc>
          <w:tcPr>
            <w:tcW w:w="0" w:type="dxa"/>
            <w:vAlign w:val="bottom"/>
          </w:tcPr>
          <w:p>
            <w:pPr>
              <w:spacing w:after="0"/>
              <w:rPr>
                <w:sz w:val="1"/>
                <w:szCs w:val="1"/>
                <w:color w:val="auto"/>
              </w:rPr>
            </w:pPr>
          </w:p>
        </w:tc>
      </w:tr>
      <w:tr>
        <w:trPr>
          <w:trHeight w:val="270"/>
        </w:trPr>
        <w:tc>
          <w:tcPr>
            <w:tcW w:w="7740" w:type="dxa"/>
            <w:vAlign w:val="bottom"/>
          </w:tcPr>
          <w:p>
            <w:pPr>
              <w:ind w:left="560"/>
              <w:spacing w:after="0"/>
              <w:rPr>
                <w:sz w:val="20"/>
                <w:szCs w:val="20"/>
                <w:color w:val="auto"/>
              </w:rPr>
            </w:pPr>
            <w:r>
              <w:rPr>
                <w:rFonts w:ascii="Arial" w:cs="Arial" w:eastAsia="Arial" w:hAnsi="Arial"/>
                <w:sz w:val="13"/>
                <w:szCs w:val="13"/>
                <w:color w:val="auto"/>
              </w:rPr>
              <w:t>Deferred income taxes</w:t>
            </w:r>
          </w:p>
        </w:tc>
        <w:tc>
          <w:tcPr>
            <w:tcW w:w="26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1,616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7,916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6,096</w:t>
            </w:r>
          </w:p>
        </w:tc>
        <w:tc>
          <w:tcPr>
            <w:tcW w:w="0" w:type="dxa"/>
            <w:vAlign w:val="bottom"/>
          </w:tcPr>
          <w:p>
            <w:pPr>
              <w:spacing w:after="0"/>
              <w:rPr>
                <w:sz w:val="1"/>
                <w:szCs w:val="1"/>
                <w:color w:val="auto"/>
              </w:rPr>
            </w:pPr>
          </w:p>
        </w:tc>
      </w:tr>
      <w:tr>
        <w:trPr>
          <w:trHeight w:val="270"/>
        </w:trPr>
        <w:tc>
          <w:tcPr>
            <w:tcW w:w="7740" w:type="dxa"/>
            <w:vAlign w:val="bottom"/>
          </w:tcPr>
          <w:p>
            <w:pPr>
              <w:ind w:left="560"/>
              <w:spacing w:after="0"/>
              <w:rPr>
                <w:sz w:val="20"/>
                <w:szCs w:val="20"/>
                <w:color w:val="auto"/>
              </w:rPr>
            </w:pPr>
            <w:r>
              <w:rPr>
                <w:rFonts w:ascii="Arial" w:cs="Arial" w:eastAsia="Arial" w:hAnsi="Arial"/>
                <w:sz w:val="13"/>
                <w:szCs w:val="13"/>
                <w:color w:val="auto"/>
              </w:rPr>
              <w:t>Other adjustments</w:t>
            </w:r>
          </w:p>
        </w:tc>
        <w:tc>
          <w:tcPr>
            <w:tcW w:w="26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5,776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2,607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4,566</w:t>
            </w:r>
          </w:p>
        </w:tc>
        <w:tc>
          <w:tcPr>
            <w:tcW w:w="0" w:type="dxa"/>
            <w:vAlign w:val="bottom"/>
          </w:tcPr>
          <w:p>
            <w:pPr>
              <w:spacing w:after="0"/>
              <w:rPr>
                <w:sz w:val="1"/>
                <w:szCs w:val="1"/>
                <w:color w:val="auto"/>
              </w:rPr>
            </w:pPr>
          </w:p>
        </w:tc>
      </w:tr>
      <w:tr>
        <w:trPr>
          <w:trHeight w:val="270"/>
        </w:trPr>
        <w:tc>
          <w:tcPr>
            <w:tcW w:w="7740" w:type="dxa"/>
            <w:vAlign w:val="bottom"/>
          </w:tcPr>
          <w:p>
            <w:pPr>
              <w:ind w:left="560"/>
              <w:spacing w:after="0"/>
              <w:rPr>
                <w:sz w:val="20"/>
                <w:szCs w:val="20"/>
                <w:color w:val="auto"/>
              </w:rPr>
            </w:pPr>
            <w:r>
              <w:rPr>
                <w:rFonts w:ascii="Arial" w:cs="Arial" w:eastAsia="Arial" w:hAnsi="Arial"/>
                <w:sz w:val="13"/>
                <w:szCs w:val="13"/>
                <w:color w:val="auto"/>
              </w:rPr>
              <w:t>Reserve on jewelry scrap receivable</w:t>
            </w:r>
          </w:p>
        </w:tc>
        <w:tc>
          <w:tcPr>
            <w:tcW w:w="26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3,646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740" w:type="dxa"/>
            <w:vAlign w:val="bottom"/>
          </w:tcPr>
          <w:p>
            <w:pPr>
              <w:ind w:left="560"/>
              <w:spacing w:after="0"/>
              <w:rPr>
                <w:sz w:val="20"/>
                <w:szCs w:val="20"/>
                <w:color w:val="auto"/>
              </w:rPr>
            </w:pPr>
            <w:r>
              <w:rPr>
                <w:rFonts w:ascii="Arial" w:cs="Arial" w:eastAsia="Arial" w:hAnsi="Arial"/>
                <w:sz w:val="13"/>
                <w:szCs w:val="13"/>
                <w:color w:val="auto"/>
              </w:rPr>
              <w:t>Stock compensation expense</w:t>
            </w:r>
          </w:p>
        </w:tc>
        <w:tc>
          <w:tcPr>
            <w:tcW w:w="26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9,751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10,784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5,866</w:t>
            </w:r>
          </w:p>
        </w:tc>
        <w:tc>
          <w:tcPr>
            <w:tcW w:w="0" w:type="dxa"/>
            <w:vAlign w:val="bottom"/>
          </w:tcPr>
          <w:p>
            <w:pPr>
              <w:spacing w:after="0"/>
              <w:rPr>
                <w:sz w:val="1"/>
                <w:szCs w:val="1"/>
                <w:color w:val="auto"/>
              </w:rPr>
            </w:pPr>
          </w:p>
        </w:tc>
      </w:tr>
      <w:tr>
        <w:trPr>
          <w:trHeight w:val="270"/>
        </w:trPr>
        <w:tc>
          <w:tcPr>
            <w:tcW w:w="7740" w:type="dxa"/>
            <w:vAlign w:val="bottom"/>
          </w:tcPr>
          <w:p>
            <w:pPr>
              <w:ind w:left="560"/>
              <w:spacing w:after="0"/>
              <w:rPr>
                <w:sz w:val="20"/>
                <w:szCs w:val="20"/>
                <w:color w:val="auto"/>
              </w:rPr>
            </w:pPr>
            <w:r>
              <w:rPr>
                <w:rFonts w:ascii="Arial" w:cs="Arial" w:eastAsia="Arial" w:hAnsi="Arial"/>
                <w:sz w:val="13"/>
                <w:szCs w:val="13"/>
                <w:color w:val="auto"/>
              </w:rPr>
              <w:t>Loss (income) from investments in unconsolidated affiliates</w:t>
            </w:r>
          </w:p>
        </w:tc>
        <w:tc>
          <w:tcPr>
            <w:tcW w:w="26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(5,529)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(4,916)</w:t>
            </w:r>
          </w:p>
        </w:tc>
        <w:tc>
          <w:tcPr>
            <w:tcW w:w="0" w:type="dxa"/>
            <w:vAlign w:val="bottom"/>
          </w:tcPr>
          <w:p>
            <w:pPr>
              <w:spacing w:after="0"/>
              <w:rPr>
                <w:sz w:val="1"/>
                <w:szCs w:val="1"/>
                <w:color w:val="auto"/>
              </w:rPr>
            </w:pPr>
          </w:p>
        </w:tc>
      </w:tr>
      <w:tr>
        <w:trPr>
          <w:trHeight w:val="270"/>
        </w:trPr>
        <w:tc>
          <w:tcPr>
            <w:tcW w:w="7740" w:type="dxa"/>
            <w:vAlign w:val="bottom"/>
          </w:tcPr>
          <w:p>
            <w:pPr>
              <w:ind w:left="560"/>
              <w:spacing w:after="0"/>
              <w:rPr>
                <w:sz w:val="20"/>
                <w:szCs w:val="20"/>
                <w:color w:val="auto"/>
              </w:rPr>
            </w:pPr>
            <w:r>
              <w:rPr>
                <w:rFonts w:ascii="Arial" w:cs="Arial" w:eastAsia="Arial" w:hAnsi="Arial"/>
                <w:sz w:val="13"/>
                <w:szCs w:val="13"/>
                <w:color w:val="auto"/>
              </w:rPr>
              <w:t>Impairment of investment in unconsolidated affiliates</w:t>
            </w:r>
          </w:p>
        </w:tc>
        <w:tc>
          <w:tcPr>
            <w:tcW w:w="26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19,725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11,712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3"/>
                <w:szCs w:val="13"/>
                <w:color w:val="auto"/>
              </w:rPr>
              <w:t>Changes in operating assets and liabilities, net of business acquisitions: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3"/>
                <w:szCs w:val="13"/>
                <w:color w:val="auto"/>
              </w:rPr>
              <w:t>Service charges and fees receivable</w:t>
            </w:r>
          </w:p>
        </w:tc>
        <w:tc>
          <w:tcPr>
            <w:tcW w:w="26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(732)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(1,788)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3"/>
                <w:szCs w:val="13"/>
                <w:color w:val="auto"/>
              </w:rPr>
              <w:t>Inventory</w:t>
            </w:r>
          </w:p>
        </w:tc>
        <w:tc>
          <w:tcPr>
            <w:tcW w:w="26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(1,074)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721</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3"/>
                <w:szCs w:val="13"/>
                <w:color w:val="auto"/>
              </w:rPr>
              <w:t>Prepaid expenses, other current assets and other assets</w:t>
            </w:r>
          </w:p>
        </w:tc>
        <w:tc>
          <w:tcPr>
            <w:tcW w:w="26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5,732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477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4,225</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3"/>
                <w:szCs w:val="13"/>
                <w:color w:val="auto"/>
              </w:rPr>
              <w:t>Accounts payable, accrued expenses and other liabilities</w:t>
            </w:r>
          </w:p>
        </w:tc>
        <w:tc>
          <w:tcPr>
            <w:tcW w:w="26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22,246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(3,271)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(30,894)</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3"/>
                <w:szCs w:val="13"/>
                <w:color w:val="auto"/>
              </w:rPr>
              <w:t>Customer layaway deposits</w:t>
            </w:r>
          </w:p>
        </w:tc>
        <w:tc>
          <w:tcPr>
            <w:tcW w:w="26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1,176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709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280"/>
        </w:trPr>
        <w:tc>
          <w:tcPr>
            <w:tcW w:w="7740" w:type="dxa"/>
            <w:vAlign w:val="bottom"/>
          </w:tcPr>
          <w:p>
            <w:pPr>
              <w:ind w:left="460"/>
              <w:spacing w:after="0"/>
              <w:rPr>
                <w:sz w:val="20"/>
                <w:szCs w:val="20"/>
                <w:color w:val="auto"/>
              </w:rPr>
            </w:pPr>
            <w:r>
              <w:rPr>
                <w:rFonts w:ascii="Arial" w:cs="Arial" w:eastAsia="Arial" w:hAnsi="Arial"/>
                <w:sz w:val="13"/>
                <w:szCs w:val="13"/>
                <w:color w:val="auto"/>
              </w:rPr>
              <w:t>Income taxes, net of excess tax benefit from stock compensation</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(10,404)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(3,785)</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3,110</w:t>
            </w:r>
          </w:p>
        </w:tc>
        <w:tc>
          <w:tcPr>
            <w:tcW w:w="0" w:type="dxa"/>
            <w:vAlign w:val="bottom"/>
          </w:tcPr>
          <w:p>
            <w:pPr>
              <w:spacing w:after="0"/>
              <w:rPr>
                <w:sz w:val="1"/>
                <w:szCs w:val="1"/>
                <w:color w:val="auto"/>
              </w:rPr>
            </w:pPr>
          </w:p>
        </w:tc>
      </w:tr>
      <w:tr>
        <w:trPr>
          <w:trHeight w:val="241"/>
        </w:trPr>
        <w:tc>
          <w:tcPr>
            <w:tcW w:w="7740" w:type="dxa"/>
            <w:vAlign w:val="bottom"/>
          </w:tcPr>
          <w:p>
            <w:pPr>
              <w:ind w:left="560"/>
              <w:spacing w:after="0"/>
              <w:rPr>
                <w:sz w:val="20"/>
                <w:szCs w:val="20"/>
                <w:color w:val="auto"/>
              </w:rPr>
            </w:pPr>
            <w:r>
              <w:rPr>
                <w:rFonts w:ascii="Arial" w:cs="Arial" w:eastAsia="Arial" w:hAnsi="Arial"/>
                <w:sz w:val="13"/>
                <w:szCs w:val="13"/>
                <w:color w:val="auto"/>
              </w:rPr>
              <w:t>Net cash provided by operating activities</w:t>
            </w:r>
          </w:p>
        </w:tc>
        <w:tc>
          <w:tcPr>
            <w:tcW w:w="260" w:type="dxa"/>
            <w:vAlign w:val="bottom"/>
          </w:tcPr>
          <w:p>
            <w:pPr>
              <w:spacing w:after="0"/>
              <w:rPr>
                <w:sz w:val="20"/>
                <w:szCs w:val="20"/>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103,517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88,981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50,666</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3"/>
                <w:szCs w:val="13"/>
                <w:color w:val="auto"/>
              </w:rPr>
              <w:t>Investing activities: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3"/>
                <w:szCs w:val="13"/>
                <w:color w:val="auto"/>
              </w:rPr>
              <w:t>Loans made</w:t>
            </w:r>
          </w:p>
        </w:tc>
        <w:tc>
          <w:tcPr>
            <w:tcW w:w="26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(737,585)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(707,220)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(646,625)</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3"/>
                <w:szCs w:val="13"/>
                <w:color w:val="auto"/>
              </w:rPr>
              <w:t>Loans repaid</w:t>
            </w:r>
          </w:p>
        </w:tc>
        <w:tc>
          <w:tcPr>
            <w:tcW w:w="26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434,142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421,331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386,383</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3"/>
                <w:szCs w:val="13"/>
                <w:color w:val="auto"/>
              </w:rPr>
              <w:t>Recovery of pawn loan principal through sale of forfeited collateral</w:t>
            </w:r>
          </w:p>
        </w:tc>
        <w:tc>
          <w:tcPr>
            <w:tcW w:w="26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288,502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266,962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244,632</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3"/>
                <w:szCs w:val="13"/>
                <w:color w:val="auto"/>
              </w:rPr>
              <w:t>Capital expenditures, net</w:t>
            </w:r>
          </w:p>
        </w:tc>
        <w:tc>
          <w:tcPr>
            <w:tcW w:w="26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(38,839)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(40,474)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(25,001)</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3"/>
                <w:szCs w:val="13"/>
                <w:color w:val="auto"/>
              </w:rPr>
              <w:t>Acquisitions, net of cash acquired</w:t>
            </w:r>
          </w:p>
        </w:tc>
        <w:tc>
          <w:tcPr>
            <w:tcW w:w="26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(8,116)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(93,165)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(2,250)</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3"/>
                <w:szCs w:val="13"/>
                <w:color w:val="auto"/>
              </w:rPr>
              <w:t>Investment in unconsolidated affiliate</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(14,036)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0"/>
        </w:trPr>
        <w:tc>
          <w:tcPr>
            <w:tcW w:w="7740" w:type="dxa"/>
            <w:vAlign w:val="bottom"/>
          </w:tcPr>
          <w:p>
            <w:pPr>
              <w:ind w:left="140"/>
              <w:spacing w:after="0"/>
              <w:rPr>
                <w:sz w:val="20"/>
                <w:szCs w:val="20"/>
                <w:color w:val="auto"/>
              </w:rPr>
            </w:pPr>
            <w:r>
              <w:rPr>
                <w:rFonts w:ascii="Arial" w:cs="Arial" w:eastAsia="Arial" w:hAnsi="Arial"/>
                <w:sz w:val="13"/>
                <w:szCs w:val="13"/>
                <w:color w:val="auto"/>
              </w:rPr>
              <w:t>Principal collections on notes receivable</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34,067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32,396</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29,458</w:t>
            </w:r>
          </w:p>
        </w:tc>
        <w:tc>
          <w:tcPr>
            <w:tcW w:w="0" w:type="dxa"/>
            <w:vAlign w:val="bottom"/>
          </w:tcPr>
          <w:p>
            <w:pPr>
              <w:spacing w:after="0"/>
              <w:rPr>
                <w:sz w:val="1"/>
                <w:szCs w:val="1"/>
                <w:color w:val="auto"/>
              </w:rPr>
            </w:pPr>
          </w:p>
        </w:tc>
      </w:tr>
      <w:tr>
        <w:trPr>
          <w:trHeight w:val="241"/>
        </w:trPr>
        <w:tc>
          <w:tcPr>
            <w:tcW w:w="7740" w:type="dxa"/>
            <w:vAlign w:val="bottom"/>
          </w:tcPr>
          <w:p>
            <w:pPr>
              <w:ind w:left="560"/>
              <w:spacing w:after="0"/>
              <w:rPr>
                <w:sz w:val="20"/>
                <w:szCs w:val="20"/>
                <w:color w:val="auto"/>
              </w:rPr>
            </w:pPr>
            <w:r>
              <w:rPr>
                <w:rFonts w:ascii="Arial" w:cs="Arial" w:eastAsia="Arial" w:hAnsi="Arial"/>
                <w:sz w:val="13"/>
                <w:szCs w:val="13"/>
                <w:color w:val="auto"/>
              </w:rPr>
              <w:t>Net cash used in investing activities</w:t>
            </w:r>
          </w:p>
        </w:tc>
        <w:tc>
          <w:tcPr>
            <w:tcW w:w="260" w:type="dxa"/>
            <w:vAlign w:val="bottom"/>
          </w:tcPr>
          <w:p>
            <w:pPr>
              <w:spacing w:after="0"/>
              <w:rPr>
                <w:sz w:val="20"/>
                <w:szCs w:val="20"/>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(27,829)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(134,206)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(13,403)</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3"/>
                <w:szCs w:val="13"/>
                <w:color w:val="auto"/>
              </w:rPr>
              <w:t>Financing activities: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3"/>
                <w:szCs w:val="13"/>
                <w:color w:val="auto"/>
              </w:rPr>
              <w:t>Taxes paid related to net share settlement of equity awards</w:t>
            </w:r>
          </w:p>
        </w:tc>
        <w:tc>
          <w:tcPr>
            <w:tcW w:w="26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(3,288)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(767)</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3"/>
                <w:szCs w:val="13"/>
                <w:color w:val="auto"/>
              </w:rPr>
              <w:t>Proceeds from borrowings, net of issuance costs</w:t>
            </w:r>
          </w:p>
        </w:tc>
        <w:tc>
          <w:tcPr>
            <w:tcW w:w="26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1,064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171,409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139,506</w:t>
            </w:r>
          </w:p>
        </w:tc>
        <w:tc>
          <w:tcPr>
            <w:tcW w:w="0" w:type="dxa"/>
            <w:vAlign w:val="bottom"/>
          </w:tcPr>
          <w:p>
            <w:pPr>
              <w:spacing w:after="0"/>
              <w:rPr>
                <w:sz w:val="1"/>
                <w:szCs w:val="1"/>
                <w:color w:val="auto"/>
              </w:rPr>
            </w:pPr>
          </w:p>
        </w:tc>
      </w:tr>
      <w:tr>
        <w:trPr>
          <w:trHeight w:val="280"/>
        </w:trPr>
        <w:tc>
          <w:tcPr>
            <w:tcW w:w="7740" w:type="dxa"/>
            <w:vAlign w:val="bottom"/>
          </w:tcPr>
          <w:p>
            <w:pPr>
              <w:ind w:left="140"/>
              <w:spacing w:after="0"/>
              <w:rPr>
                <w:sz w:val="20"/>
                <w:szCs w:val="20"/>
                <w:color w:val="auto"/>
              </w:rPr>
            </w:pPr>
            <w:r>
              <w:rPr>
                <w:rFonts w:ascii="Arial" w:cs="Arial" w:eastAsia="Arial" w:hAnsi="Arial"/>
                <w:sz w:val="13"/>
                <w:szCs w:val="13"/>
                <w:color w:val="auto"/>
              </w:rPr>
              <w:t>Payments on borrowings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(196,093)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(3,510)</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(85,388)</w:t>
            </w:r>
          </w:p>
        </w:tc>
        <w:tc>
          <w:tcPr>
            <w:tcW w:w="0" w:type="dxa"/>
            <w:vAlign w:val="bottom"/>
          </w:tcPr>
          <w:p>
            <w:pPr>
              <w:spacing w:after="0"/>
              <w:rPr>
                <w:sz w:val="1"/>
                <w:szCs w:val="1"/>
                <w:color w:val="auto"/>
              </w:rPr>
            </w:pPr>
          </w:p>
        </w:tc>
      </w:tr>
      <w:tr>
        <w:trPr>
          <w:trHeight w:val="241"/>
        </w:trPr>
        <w:tc>
          <w:tcPr>
            <w:tcW w:w="7740" w:type="dxa"/>
            <w:vAlign w:val="bottom"/>
          </w:tcPr>
          <w:p>
            <w:pPr>
              <w:ind w:left="560"/>
              <w:spacing w:after="0"/>
              <w:rPr>
                <w:sz w:val="20"/>
                <w:szCs w:val="20"/>
                <w:color w:val="auto"/>
              </w:rPr>
            </w:pPr>
            <w:r>
              <w:rPr>
                <w:rFonts w:ascii="Arial" w:cs="Arial" w:eastAsia="Arial" w:hAnsi="Arial"/>
                <w:sz w:val="13"/>
                <w:szCs w:val="13"/>
                <w:color w:val="auto"/>
              </w:rPr>
              <w:t>Net cash (used in) provided by financing activities</w:t>
            </w:r>
          </w:p>
        </w:tc>
        <w:tc>
          <w:tcPr>
            <w:tcW w:w="260" w:type="dxa"/>
            <w:vAlign w:val="bottom"/>
          </w:tcPr>
          <w:p>
            <w:pPr>
              <w:spacing w:after="0"/>
              <w:rPr>
                <w:sz w:val="20"/>
                <w:szCs w:val="20"/>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(198,317)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167,588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53,351</w:t>
            </w:r>
          </w:p>
        </w:tc>
        <w:tc>
          <w:tcPr>
            <w:tcW w:w="0" w:type="dxa"/>
            <w:vAlign w:val="bottom"/>
          </w:tcPr>
          <w:p>
            <w:pPr>
              <w:spacing w:after="0"/>
              <w:rPr>
                <w:sz w:val="1"/>
                <w:szCs w:val="1"/>
                <w:color w:val="auto"/>
              </w:rPr>
            </w:pPr>
          </w:p>
        </w:tc>
      </w:tr>
      <w:tr>
        <w:trPr>
          <w:trHeight w:val="280"/>
        </w:trPr>
        <w:tc>
          <w:tcPr>
            <w:tcW w:w="7740" w:type="dxa"/>
            <w:vAlign w:val="bottom"/>
          </w:tcPr>
          <w:p>
            <w:pPr>
              <w:spacing w:after="0"/>
              <w:rPr>
                <w:sz w:val="20"/>
                <w:szCs w:val="20"/>
                <w:color w:val="auto"/>
              </w:rPr>
            </w:pPr>
            <w:r>
              <w:rPr>
                <w:rFonts w:ascii="Arial" w:cs="Arial" w:eastAsia="Arial" w:hAnsi="Arial"/>
                <w:sz w:val="13"/>
                <w:szCs w:val="13"/>
                <w:color w:val="auto"/>
              </w:rPr>
              <w:t>Effect of exchange rate changes on cash and cash equivalents and restricted cash</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(507)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(654)</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724</w:t>
            </w:r>
          </w:p>
        </w:tc>
        <w:tc>
          <w:tcPr>
            <w:tcW w:w="0" w:type="dxa"/>
            <w:vAlign w:val="bottom"/>
          </w:tcPr>
          <w:p>
            <w:pPr>
              <w:spacing w:after="0"/>
              <w:rPr>
                <w:sz w:val="1"/>
                <w:szCs w:val="1"/>
                <w:color w:val="auto"/>
              </w:rPr>
            </w:pPr>
          </w:p>
        </w:tc>
      </w:tr>
      <w:tr>
        <w:trPr>
          <w:trHeight w:val="241"/>
        </w:trPr>
        <w:tc>
          <w:tcPr>
            <w:tcW w:w="7740" w:type="dxa"/>
            <w:vAlign w:val="bottom"/>
          </w:tcPr>
          <w:p>
            <w:pPr>
              <w:spacing w:after="0"/>
              <w:rPr>
                <w:sz w:val="20"/>
                <w:szCs w:val="20"/>
                <w:color w:val="auto"/>
              </w:rPr>
            </w:pPr>
            <w:r>
              <w:rPr>
                <w:rFonts w:ascii="Arial" w:cs="Arial" w:eastAsia="Arial" w:hAnsi="Arial"/>
                <w:sz w:val="13"/>
                <w:szCs w:val="13"/>
                <w:color w:val="auto"/>
              </w:rPr>
              <w:t>Net (decrease) increase in cash and cash equivalents and restricted cash</w:t>
            </w:r>
          </w:p>
        </w:tc>
        <w:tc>
          <w:tcPr>
            <w:tcW w:w="260" w:type="dxa"/>
            <w:vAlign w:val="bottom"/>
          </w:tcPr>
          <w:p>
            <w:pPr>
              <w:spacing w:after="0"/>
              <w:rPr>
                <w:sz w:val="20"/>
                <w:szCs w:val="20"/>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(123,136)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121,709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91,338</w:t>
            </w:r>
          </w:p>
        </w:tc>
        <w:tc>
          <w:tcPr>
            <w:tcW w:w="0" w:type="dxa"/>
            <w:vAlign w:val="bottom"/>
          </w:tcPr>
          <w:p>
            <w:pPr>
              <w:spacing w:after="0"/>
              <w:rPr>
                <w:sz w:val="1"/>
                <w:szCs w:val="1"/>
                <w:color w:val="auto"/>
              </w:rPr>
            </w:pPr>
          </w:p>
        </w:tc>
      </w:tr>
      <w:tr>
        <w:trPr>
          <w:trHeight w:val="280"/>
        </w:trPr>
        <w:tc>
          <w:tcPr>
            <w:tcW w:w="7740" w:type="dxa"/>
            <w:vAlign w:val="bottom"/>
          </w:tcPr>
          <w:p>
            <w:pPr>
              <w:spacing w:after="0"/>
              <w:rPr>
                <w:sz w:val="20"/>
                <w:szCs w:val="20"/>
                <w:color w:val="auto"/>
              </w:rPr>
            </w:pPr>
            <w:r>
              <w:rPr>
                <w:rFonts w:ascii="Arial" w:cs="Arial" w:eastAsia="Arial" w:hAnsi="Arial"/>
                <w:sz w:val="13"/>
                <w:szCs w:val="13"/>
                <w:color w:val="auto"/>
              </w:rPr>
              <w:t>Cash and cash equivalents and restricted cash at beginning of period</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285,578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163,869</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72,531</w:t>
            </w:r>
          </w:p>
        </w:tc>
        <w:tc>
          <w:tcPr>
            <w:tcW w:w="0" w:type="dxa"/>
            <w:vAlign w:val="bottom"/>
          </w:tcPr>
          <w:p>
            <w:pPr>
              <w:spacing w:after="0"/>
              <w:rPr>
                <w:sz w:val="1"/>
                <w:szCs w:val="1"/>
                <w:color w:val="auto"/>
              </w:rPr>
            </w:pPr>
          </w:p>
        </w:tc>
      </w:tr>
      <w:tr>
        <w:trPr>
          <w:trHeight w:val="241"/>
        </w:trPr>
        <w:tc>
          <w:tcPr>
            <w:tcW w:w="7740" w:type="dxa"/>
            <w:vAlign w:val="bottom"/>
          </w:tcPr>
          <w:p>
            <w:pPr>
              <w:spacing w:after="0"/>
              <w:rPr>
                <w:sz w:val="20"/>
                <w:szCs w:val="20"/>
                <w:color w:val="auto"/>
              </w:rPr>
            </w:pPr>
            <w:r>
              <w:rPr>
                <w:rFonts w:ascii="Arial" w:cs="Arial" w:eastAsia="Arial" w:hAnsi="Arial"/>
                <w:sz w:val="13"/>
                <w:szCs w:val="13"/>
                <w:color w:val="auto"/>
              </w:rPr>
              <w:t>Cash and cash equivalents and restricted cash at end of period</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162,442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285,578</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163,869</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3"/>
                <w:szCs w:val="13"/>
                <w:color w:val="auto"/>
              </w:rPr>
              <w:t>Cash paid during the period for:</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3"/>
                <w:szCs w:val="13"/>
                <w:color w:val="auto"/>
              </w:rPr>
              <w:t>Interest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12,900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8,412</w:t>
            </w:r>
          </w:p>
        </w:tc>
        <w:tc>
          <w:tcPr>
            <w:tcW w:w="100" w:type="dxa"/>
            <w:vAlign w:val="bottom"/>
          </w:tcPr>
          <w:p>
            <w:pPr>
              <w:spacing w:after="0"/>
              <w:rPr>
                <w:sz w:val="23"/>
                <w:szCs w:val="23"/>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9,068</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3"/>
                <w:szCs w:val="13"/>
                <w:color w:val="auto"/>
              </w:rPr>
              <w:t>Income taxes, net</w:t>
            </w:r>
          </w:p>
        </w:tc>
        <w:tc>
          <w:tcPr>
            <w:tcW w:w="26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11,132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13,676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8,866</w:t>
            </w:r>
          </w:p>
        </w:tc>
        <w:tc>
          <w:tcPr>
            <w:tcW w:w="0" w:type="dxa"/>
            <w:vAlign w:val="bottom"/>
          </w:tcPr>
          <w:p>
            <w:pPr>
              <w:spacing w:after="0"/>
              <w:rPr>
                <w:sz w:val="1"/>
                <w:szCs w:val="1"/>
                <w:color w:val="auto"/>
              </w:rPr>
            </w:pPr>
          </w:p>
        </w:tc>
      </w:tr>
      <w:tr>
        <w:trPr>
          <w:trHeight w:val="392"/>
        </w:trPr>
        <w:tc>
          <w:tcPr>
            <w:tcW w:w="7740" w:type="dxa"/>
            <w:vAlign w:val="bottom"/>
          </w:tcPr>
          <w:p>
            <w:pPr>
              <w:spacing w:after="0"/>
              <w:rPr>
                <w:sz w:val="20"/>
                <w:szCs w:val="20"/>
                <w:color w:val="auto"/>
              </w:rPr>
            </w:pPr>
            <w:r>
              <w:rPr>
                <w:rFonts w:ascii="Arial" w:cs="Arial" w:eastAsia="Arial" w:hAnsi="Arial"/>
                <w:sz w:val="13"/>
                <w:szCs w:val="13"/>
                <w:color w:val="auto"/>
              </w:rPr>
              <w:t>Non-cash investing and financing activities: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3"/>
                <w:szCs w:val="13"/>
                <w:color w:val="auto"/>
              </w:rPr>
              <w:t>Pawn loans forfeited and transferred to inventory</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301,357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274,590</w:t>
            </w:r>
          </w:p>
        </w:tc>
        <w:tc>
          <w:tcPr>
            <w:tcW w:w="100" w:type="dxa"/>
            <w:vAlign w:val="bottom"/>
          </w:tcPr>
          <w:p>
            <w:pPr>
              <w:spacing w:after="0"/>
              <w:rPr>
                <w:sz w:val="23"/>
                <w:szCs w:val="23"/>
                <w:color w:val="auto"/>
              </w:rPr>
            </w:pP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257,388</w:t>
            </w: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3"/>
                <w:szCs w:val="13"/>
                <w:color w:val="auto"/>
              </w:rPr>
              <w:t>Dividend reinvestment acquisition of additional ownership in unconsolidated affiliate</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1,153</w:t>
            </w:r>
          </w:p>
        </w:tc>
        <w:tc>
          <w:tcPr>
            <w:tcW w:w="0" w:type="dxa"/>
            <w:vAlign w:val="bottom"/>
          </w:tcPr>
          <w:p>
            <w:pPr>
              <w:spacing w:after="0"/>
              <w:rPr>
                <w:sz w:val="1"/>
                <w:szCs w:val="1"/>
                <w:color w:val="auto"/>
              </w:rPr>
            </w:pPr>
          </w:p>
        </w:tc>
      </w:tr>
    </w:tbl>
    <w:p>
      <w:pPr>
        <w:sectPr>
          <w:pgSz w:w="11900" w:h="16838" w:orient="portrait"/>
          <w:cols w:equalWidth="0" w:num="1">
            <w:col w:w="11380"/>
          </w:cols>
          <w:pgMar w:left="280" w:top="1121"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OPERATING SEGMENT RESULTS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(Unaudited and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September 30, 2019</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Latin America</w:t>
            </w:r>
          </w:p>
        </w:tc>
        <w:tc>
          <w:tcPr>
            <w:tcW w:w="120" w:type="dxa"/>
            <w:vAlign w:val="bottom"/>
          </w:tcPr>
          <w:p>
            <w:pPr>
              <w:spacing w:after="0"/>
              <w:rPr>
                <w:sz w:val="13"/>
                <w:szCs w:val="13"/>
                <w:color w:val="auto"/>
              </w:rPr>
            </w:pPr>
          </w:p>
        </w:tc>
        <w:tc>
          <w:tcPr>
            <w:tcW w:w="11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Total Segments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jc w:val="center"/>
              <w:spacing w:after="0"/>
              <w:rPr>
                <w:sz w:val="20"/>
                <w:szCs w:val="20"/>
                <w:color w:val="auto"/>
              </w:rPr>
            </w:pPr>
            <w:r>
              <w:rPr>
                <w:rFonts w:ascii="Arial" w:cs="Arial" w:eastAsia="Arial" w:hAnsi="Arial"/>
                <w:sz w:val="14"/>
                <w:szCs w:val="14"/>
                <w:i w:val="1"/>
                <w:iCs w:val="1"/>
                <w:color w:val="auto"/>
                <w:w w:val="94"/>
              </w:rPr>
              <w:t>(in thousands)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40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80,357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26,832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107,189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107,189</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17,458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5,114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22,572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22,572</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63,711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19,357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83,068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83,068</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161,634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51,348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214,339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214,339</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52,205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20,120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72,325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72,325</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15,638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20,287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20,287</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93,791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26,579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120,856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120,856</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Operating expenses (income):</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68,119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19,496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88,822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88,822</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16,870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16,870</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4,681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w w:val="89"/>
              </w:rPr>
              <w:t>Loss on sale or disposal of assets and other</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56"/>
        </w:trPr>
        <w:tc>
          <w:tcPr>
            <w:tcW w:w="3400" w:type="dxa"/>
            <w:vAlign w:val="bottom"/>
          </w:tcPr>
          <w:p>
            <w:pPr>
              <w:ind w:left="240"/>
              <w:spacing w:after="0"/>
              <w:rPr>
                <w:sz w:val="20"/>
                <w:szCs w:val="20"/>
                <w:color w:val="auto"/>
              </w:rPr>
            </w:pPr>
            <w:r>
              <w:rPr>
                <w:rFonts w:ascii="Arial" w:cs="Arial" w:eastAsia="Arial" w:hAnsi="Arial"/>
                <w:sz w:val="18"/>
                <w:szCs w:val="18"/>
                <w:color w:val="auto"/>
              </w:rPr>
              <w:t>Equity in net loss of unconsolidated</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22,198</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5,777</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24,382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 before</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31"/>
              <w:spacing w:after="0"/>
              <w:rPr>
                <w:sz w:val="20"/>
                <w:szCs w:val="20"/>
                <w:color w:val="auto"/>
              </w:rPr>
            </w:pPr>
            <w:r>
              <w:rPr>
                <w:rFonts w:ascii="Arial" w:cs="Arial" w:eastAsia="Arial" w:hAnsi="Arial"/>
                <w:sz w:val="18"/>
                <w:szCs w:val="18"/>
                <w:color w:val="auto"/>
              </w:rPr>
              <w:t>24,382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(23,945)</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58"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September 30, 2018</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Latin America</w:t>
            </w:r>
          </w:p>
        </w:tc>
        <w:tc>
          <w:tcPr>
            <w:tcW w:w="140" w:type="dxa"/>
            <w:vAlign w:val="bottom"/>
          </w:tcPr>
          <w:p>
            <w:pPr>
              <w:spacing w:after="0"/>
              <w:rPr>
                <w:sz w:val="13"/>
                <w:szCs w:val="13"/>
                <w:color w:val="auto"/>
              </w:rPr>
            </w:pP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Total Segments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6"/>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jc w:val="center"/>
              <w:ind w:left="93"/>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40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80,554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24,548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105,102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105,102</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13,230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16,586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16,586</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62,906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19,074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81,980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81,980</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156,735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46,475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205,976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205,976</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49,443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16,892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66,335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66,335</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11,734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14,754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14,754</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95,558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26,563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124,463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124,463</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Operating expenses (income):</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66,460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16,709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86,083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86,083</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13,951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7,186</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Loss on sale or disposal of assets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8,674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8,764</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56"/>
        </w:trPr>
        <w:tc>
          <w:tcPr>
            <w:tcW w:w="3400" w:type="dxa"/>
            <w:vAlign w:val="bottom"/>
          </w:tcPr>
          <w:p>
            <w:pPr>
              <w:ind w:left="240"/>
              <w:spacing w:after="0"/>
              <w:rPr>
                <w:sz w:val="20"/>
                <w:szCs w:val="20"/>
                <w:color w:val="auto"/>
              </w:rPr>
            </w:pPr>
            <w:r>
              <w:rPr>
                <w:rFonts w:ascii="Arial" w:cs="Arial" w:eastAsia="Arial" w:hAnsi="Arial"/>
                <w:sz w:val="18"/>
                <w:szCs w:val="18"/>
                <w:color w:val="auto"/>
              </w:rPr>
              <w:t>Equity in net income of unconsolidated</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56"/>
        </w:trPr>
        <w:tc>
          <w:tcPr>
            <w:tcW w:w="3400" w:type="dxa"/>
            <w:vAlign w:val="bottom"/>
          </w:tcPr>
          <w:p>
            <w:pPr>
              <w:ind w:left="240"/>
              <w:spacing w:after="0"/>
              <w:rPr>
                <w:sz w:val="20"/>
                <w:szCs w:val="20"/>
                <w:color w:val="auto"/>
              </w:rPr>
            </w:pPr>
            <w:r>
              <w:rPr>
                <w:rFonts w:ascii="Arial" w:cs="Arial" w:eastAsia="Arial" w:hAnsi="Arial"/>
                <w:sz w:val="18"/>
                <w:szCs w:val="18"/>
                <w:color w:val="auto"/>
              </w:rPr>
              <w:t>Impairment of investment in</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40"/>
              <w:spacing w:after="0"/>
              <w:rPr>
                <w:sz w:val="20"/>
                <w:szCs w:val="20"/>
                <w:color w:val="auto"/>
              </w:rPr>
            </w:pPr>
            <w:r>
              <w:rPr>
                <w:rFonts w:ascii="Arial" w:cs="Arial" w:eastAsia="Arial" w:hAnsi="Arial"/>
                <w:sz w:val="18"/>
                <w:szCs w:val="18"/>
                <w:color w:val="auto"/>
              </w:rPr>
              <w:t>unconsolidated affiliates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11,712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11,712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25,492</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9,083</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24,315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 before</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24,315</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(21,443)</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42"/>
        </w:trPr>
        <w:tc>
          <w:tcPr>
            <w:tcW w:w="340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711"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Fiscal Year Ended September 30, 2019</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Latin America</w:t>
            </w:r>
          </w:p>
        </w:tc>
        <w:tc>
          <w:tcPr>
            <w:tcW w:w="120" w:type="dxa"/>
            <w:vAlign w:val="bottom"/>
          </w:tcPr>
          <w:p>
            <w:pPr>
              <w:spacing w:after="0"/>
              <w:rPr>
                <w:sz w:val="13"/>
                <w:szCs w:val="13"/>
                <w:color w:val="auto"/>
              </w:rPr>
            </w:pPr>
          </w:p>
        </w:tc>
        <w:tc>
          <w:tcPr>
            <w:tcW w:w="11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Total Segments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center"/>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40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355,996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97,379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453,375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453,375</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45,815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14,630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60,445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60,445</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248,369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78,997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327,366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327,366</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5,631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6,043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650,413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191,185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5,631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847,229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847,229</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225,136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72,372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297,508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297,508</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39,318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13,617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52,935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52,935</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2,338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385,959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105,196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3,293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494,448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494,448</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Operating expenses (income):</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269,003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74,199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7,376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350,578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350,578</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63,665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63,665</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11,879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6,267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18,365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10,432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28,797</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w w:val="89"/>
              </w:rPr>
              <w:t>Loss on sale or disposal of assets and other</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3,402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4,375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30,537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32,637</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(11,086)</w:t>
            </w:r>
          </w:p>
        </w:tc>
        <w:tc>
          <w:tcPr>
            <w:tcW w:w="0" w:type="dxa"/>
            <w:vAlign w:val="bottom"/>
          </w:tcPr>
          <w:p>
            <w:pPr>
              <w:spacing w:after="0"/>
              <w:rPr>
                <w:sz w:val="1"/>
                <w:szCs w:val="1"/>
                <w:color w:val="auto"/>
              </w:rPr>
            </w:pPr>
          </w:p>
        </w:tc>
      </w:tr>
      <w:tr>
        <w:trPr>
          <w:trHeight w:val="256"/>
        </w:trPr>
        <w:tc>
          <w:tcPr>
            <w:tcW w:w="3400" w:type="dxa"/>
            <w:vAlign w:val="bottom"/>
          </w:tcPr>
          <w:p>
            <w:pPr>
              <w:ind w:left="240"/>
              <w:spacing w:after="0"/>
              <w:rPr>
                <w:sz w:val="20"/>
                <w:szCs w:val="20"/>
                <w:color w:val="auto"/>
              </w:rPr>
            </w:pPr>
            <w:r>
              <w:rPr>
                <w:rFonts w:ascii="Arial" w:cs="Arial" w:eastAsia="Arial" w:hAnsi="Arial"/>
                <w:sz w:val="18"/>
                <w:szCs w:val="18"/>
                <w:color w:val="auto"/>
              </w:rPr>
              <w:t>Equity in net loss of unconsolidated</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56"/>
        </w:trPr>
        <w:tc>
          <w:tcPr>
            <w:tcW w:w="3400" w:type="dxa"/>
            <w:vAlign w:val="bottom"/>
          </w:tcPr>
          <w:p>
            <w:pPr>
              <w:ind w:left="240"/>
              <w:spacing w:after="0"/>
              <w:rPr>
                <w:sz w:val="20"/>
                <w:szCs w:val="20"/>
                <w:color w:val="auto"/>
              </w:rPr>
            </w:pPr>
            <w:r>
              <w:rPr>
                <w:rFonts w:ascii="Arial" w:cs="Arial" w:eastAsia="Arial" w:hAnsi="Arial"/>
                <w:sz w:val="18"/>
                <w:szCs w:val="18"/>
                <w:color w:val="auto"/>
              </w:rPr>
              <w:t>Impairment of investment in</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40"/>
              <w:spacing w:after="0"/>
              <w:rPr>
                <w:sz w:val="20"/>
                <w:szCs w:val="20"/>
                <w:color w:val="auto"/>
              </w:rPr>
            </w:pPr>
            <w:r>
              <w:rPr>
                <w:rFonts w:ascii="Arial" w:cs="Arial" w:eastAsia="Arial" w:hAnsi="Arial"/>
                <w:sz w:val="18"/>
                <w:szCs w:val="18"/>
                <w:color w:val="auto"/>
              </w:rPr>
              <w:t>unconsolidated affiliates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19,725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19,725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101,675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24,124</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98,969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 before</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31"/>
              <w:spacing w:after="0"/>
              <w:rPr>
                <w:sz w:val="20"/>
                <w:szCs w:val="20"/>
                <w:color w:val="auto"/>
              </w:rPr>
            </w:pPr>
            <w:r>
              <w:rPr>
                <w:rFonts w:ascii="Arial" w:cs="Arial" w:eastAsia="Arial" w:hAnsi="Arial"/>
                <w:sz w:val="18"/>
                <w:szCs w:val="18"/>
                <w:color w:val="auto"/>
              </w:rPr>
              <w:t>98,969</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(94,795)</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42"/>
        </w:trPr>
        <w:tc>
          <w:tcPr>
            <w:tcW w:w="340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927"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 2018</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Latin America</w:t>
            </w:r>
          </w:p>
        </w:tc>
        <w:tc>
          <w:tcPr>
            <w:tcW w:w="140" w:type="dxa"/>
            <w:vAlign w:val="bottom"/>
          </w:tcPr>
          <w:p>
            <w:pPr>
              <w:spacing w:after="0"/>
              <w:rPr>
                <w:sz w:val="13"/>
                <w:szCs w:val="13"/>
                <w:color w:val="auto"/>
              </w:rPr>
            </w:pP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Total Segments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6"/>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jc w:val="center"/>
              <w:ind w:left="93"/>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40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350,699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87,673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438,372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438,372</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47,745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13,007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60,752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60,752</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237,086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67,491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304,577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304,577</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8,455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635,780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168,256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8,120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812,156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812,156</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216,408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60,210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276,618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276,618</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40,417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11,873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52,290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52,290</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6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378,955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96,173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6,423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481,551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481,551</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Operating expenses (income):</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263,094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61,553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10,194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334,841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334,841</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53,639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53,639</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12,869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17,121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8,363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25,484</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Loss on sale or disposal of assets</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27,738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27,834</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(17,041)</w:t>
            </w:r>
          </w:p>
        </w:tc>
        <w:tc>
          <w:tcPr>
            <w:tcW w:w="0" w:type="dxa"/>
            <w:vAlign w:val="bottom"/>
          </w:tcPr>
          <w:p>
            <w:pPr>
              <w:spacing w:after="0"/>
              <w:rPr>
                <w:sz w:val="1"/>
                <w:szCs w:val="1"/>
                <w:color w:val="auto"/>
              </w:rPr>
            </w:pPr>
          </w:p>
        </w:tc>
      </w:tr>
      <w:tr>
        <w:trPr>
          <w:trHeight w:val="256"/>
        </w:trPr>
        <w:tc>
          <w:tcPr>
            <w:tcW w:w="3400" w:type="dxa"/>
            <w:vAlign w:val="bottom"/>
          </w:tcPr>
          <w:p>
            <w:pPr>
              <w:ind w:left="240"/>
              <w:spacing w:after="0"/>
              <w:rPr>
                <w:sz w:val="20"/>
                <w:szCs w:val="20"/>
                <w:color w:val="auto"/>
              </w:rPr>
            </w:pPr>
            <w:r>
              <w:rPr>
                <w:rFonts w:ascii="Arial" w:cs="Arial" w:eastAsia="Arial" w:hAnsi="Arial"/>
                <w:sz w:val="18"/>
                <w:szCs w:val="18"/>
                <w:color w:val="auto"/>
              </w:rPr>
              <w:t>Equity in net income of unconsolidated</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56"/>
        </w:trPr>
        <w:tc>
          <w:tcPr>
            <w:tcW w:w="3400" w:type="dxa"/>
            <w:vAlign w:val="bottom"/>
          </w:tcPr>
          <w:p>
            <w:pPr>
              <w:ind w:left="240"/>
              <w:spacing w:after="0"/>
              <w:rPr>
                <w:sz w:val="20"/>
                <w:szCs w:val="20"/>
                <w:color w:val="auto"/>
              </w:rPr>
            </w:pPr>
            <w:r>
              <w:rPr>
                <w:rFonts w:ascii="Arial" w:cs="Arial" w:eastAsia="Arial" w:hAnsi="Arial"/>
                <w:sz w:val="18"/>
                <w:szCs w:val="18"/>
                <w:color w:val="auto"/>
              </w:rPr>
              <w:t>Impairment of investment in</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40"/>
              <w:spacing w:after="0"/>
              <w:rPr>
                <w:sz w:val="20"/>
                <w:szCs w:val="20"/>
                <w:color w:val="auto"/>
              </w:rPr>
            </w:pPr>
            <w:r>
              <w:rPr>
                <w:rFonts w:ascii="Arial" w:cs="Arial" w:eastAsia="Arial" w:hAnsi="Arial"/>
                <w:sz w:val="18"/>
                <w:szCs w:val="18"/>
                <w:color w:val="auto"/>
              </w:rPr>
              <w:t>unconsolidated affiliates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11,712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11,712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270"/>
        </w:trPr>
        <w:tc>
          <w:tcPr>
            <w:tcW w:w="340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102,721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33,161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125,876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 before</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125,876</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(70,337)</w:t>
            </w: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55,539</w:t>
            </w:r>
          </w:p>
        </w:tc>
        <w:tc>
          <w:tcPr>
            <w:tcW w:w="0" w:type="dxa"/>
            <w:vAlign w:val="bottom"/>
          </w:tcPr>
          <w:p>
            <w:pPr>
              <w:spacing w:after="0"/>
              <w:rPr>
                <w:sz w:val="1"/>
                <w:szCs w:val="1"/>
                <w:color w:val="auto"/>
              </w:rPr>
            </w:pPr>
          </w:p>
        </w:tc>
      </w:tr>
      <w:tr>
        <w:trPr>
          <w:trHeight w:val="242"/>
        </w:trPr>
        <w:tc>
          <w:tcPr>
            <w:tcW w:w="340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765" w:right="2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STORE COUNT ACTIVITY</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center"/>
              <w:ind w:left="17"/>
              <w:spacing w:after="0"/>
              <w:rPr>
                <w:sz w:val="20"/>
                <w:szCs w:val="20"/>
                <w:color w:val="auto"/>
              </w:rPr>
            </w:pPr>
            <w:r>
              <w:rPr>
                <w:rFonts w:ascii="Arial" w:cs="Arial" w:eastAsia="Arial" w:hAnsi="Arial"/>
                <w:sz w:val="14"/>
                <w:szCs w:val="14"/>
                <w:b w:val="1"/>
                <w:bCs w:val="1"/>
                <w:color w:val="auto"/>
                <w:w w:val="93"/>
              </w:rPr>
              <w:t>Three Months Ended September 30, 2019</w:t>
            </w: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13"/>
                <w:szCs w:val="13"/>
                <w:color w:val="auto"/>
              </w:rPr>
            </w:pP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ind w:left="20"/>
              <w:spacing w:after="0"/>
              <w:rPr>
                <w:sz w:val="20"/>
                <w:szCs w:val="20"/>
                <w:color w:val="auto"/>
              </w:rPr>
            </w:pPr>
            <w:r>
              <w:rPr>
                <w:rFonts w:ascii="Arial" w:cs="Arial" w:eastAsia="Arial" w:hAnsi="Arial"/>
                <w:sz w:val="18"/>
                <w:szCs w:val="18"/>
                <w:color w:val="auto"/>
              </w:rPr>
              <w:t>As of June 30, 2019</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1,006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As of September 30, 2019</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16"/>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37"/>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Pawn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spacing w:after="0"/>
              <w:rPr>
                <w:sz w:val="20"/>
                <w:szCs w:val="20"/>
                <w:color w:val="auto"/>
              </w:rPr>
            </w:pPr>
            <w:r>
              <w:rPr>
                <w:rFonts w:ascii="Arial" w:cs="Arial" w:eastAsia="Arial" w:hAnsi="Arial"/>
                <w:sz w:val="18"/>
                <w:szCs w:val="18"/>
                <w:color w:val="auto"/>
              </w:rPr>
              <w:t>As of June 30, 2018</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spacing w:after="0"/>
              <w:rPr>
                <w:sz w:val="20"/>
                <w:szCs w:val="20"/>
                <w:color w:val="auto"/>
              </w:rPr>
            </w:pPr>
            <w:r>
              <w:rPr>
                <w:rFonts w:ascii="Arial" w:cs="Arial" w:eastAsia="Arial" w:hAnsi="Arial"/>
                <w:sz w:val="18"/>
                <w:szCs w:val="18"/>
                <w:color w:val="auto"/>
              </w:rPr>
              <w:t>As of September 30, 2018</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17"/>
              <w:spacing w:after="0"/>
              <w:rPr>
                <w:sz w:val="20"/>
                <w:szCs w:val="20"/>
                <w:color w:val="auto"/>
              </w:rPr>
            </w:pPr>
            <w:r>
              <w:rPr>
                <w:rFonts w:ascii="Arial" w:cs="Arial" w:eastAsia="Arial" w:hAnsi="Arial"/>
                <w:sz w:val="14"/>
                <w:szCs w:val="14"/>
                <w:b w:val="1"/>
                <w:bCs w:val="1"/>
                <w:color w:val="auto"/>
                <w:w w:val="92"/>
              </w:rPr>
              <w:t>Twelve Months Ended September 30, 2019</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13"/>
                <w:szCs w:val="13"/>
                <w:color w:val="auto"/>
              </w:rPr>
            </w:pP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ind w:left="20"/>
              <w:spacing w:after="0"/>
              <w:rPr>
                <w:sz w:val="20"/>
                <w:szCs w:val="20"/>
                <w:color w:val="auto"/>
              </w:rPr>
            </w:pPr>
            <w:r>
              <w:rPr>
                <w:rFonts w:ascii="Arial" w:cs="Arial" w:eastAsia="Arial" w:hAnsi="Arial"/>
                <w:sz w:val="18"/>
                <w:szCs w:val="18"/>
                <w:color w:val="auto"/>
              </w:rPr>
              <w:t>As of September 30, 2018</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acquired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As of September 30, 2019</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16"/>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17"/>
              <w:spacing w:after="0"/>
              <w:rPr>
                <w:sz w:val="20"/>
                <w:szCs w:val="20"/>
                <w:color w:val="auto"/>
              </w:rPr>
            </w:pPr>
            <w:r>
              <w:rPr>
                <w:rFonts w:ascii="Arial" w:cs="Arial" w:eastAsia="Arial" w:hAnsi="Arial"/>
                <w:sz w:val="14"/>
                <w:szCs w:val="14"/>
                <w:b w:val="1"/>
                <w:bCs w:val="1"/>
                <w:color w:val="auto"/>
                <w:w w:val="92"/>
              </w:rPr>
              <w:t>Twelve Months Ended September 30, 2018</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13"/>
                <w:szCs w:val="13"/>
                <w:color w:val="auto"/>
              </w:rPr>
            </w:pP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ind w:left="20"/>
              <w:spacing w:after="0"/>
              <w:rPr>
                <w:sz w:val="20"/>
                <w:szCs w:val="20"/>
                <w:color w:val="auto"/>
              </w:rPr>
            </w:pPr>
            <w:r>
              <w:rPr>
                <w:rFonts w:ascii="Arial" w:cs="Arial" w:eastAsia="Arial" w:hAnsi="Arial"/>
                <w:sz w:val="18"/>
                <w:szCs w:val="18"/>
                <w:color w:val="auto"/>
              </w:rPr>
              <w:t>As of September 30, 2017</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acquired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As of September 30, 2018</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16"/>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5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Additionally, we provide free cash flow which represents net cash provided by operating activities less net funding of loan originations and maintenance capital expenditures which is commonly used by investors as an additional measure of cash generated by business operations that may be used to repay scheduled debt maturities and debt service or, following payment of such debt obligations and other non-discretionary items, may be available to invest in future growth through new business development activities or acquisitions, among other things. These metrics can also be used to evaluate our ability to generate cash flow from business operations and the impact that this cash flow has on our liquidity. However, free cash flow has limitations as an analytical tool and should not be considered in isolation or as a substitute for cash flow from operating activities or other income statement data prepared in accordance with GAAP.</w:t>
      </w:r>
    </w:p>
    <w:p>
      <w:pPr>
        <w:spacing w:after="0" w:line="13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twelve months ended September 30, 2019 and 2018 were as follows: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05"/>
        </w:trPr>
        <w:tc>
          <w:tcPr>
            <w:tcW w:w="2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gridSpan w:val="3"/>
            <w:vMerge w:val="continue"/>
          </w:tcPr>
          <w:p>
            <w:pPr>
              <w:spacing w:after="0"/>
              <w:rPr>
                <w:sz w:val="9"/>
                <w:szCs w:val="9"/>
                <w:color w:val="auto"/>
              </w:rPr>
            </w:pPr>
          </w:p>
        </w:tc>
        <w:tc>
          <w:tcPr>
            <w:tcW w:w="2060" w:type="dxa"/>
            <w:vAlign w:val="bottom"/>
            <w:gridSpan w:val="3"/>
            <w:vMerge w:val="restart"/>
          </w:tcPr>
          <w:p>
            <w:pPr>
              <w:jc w:val="center"/>
              <w:ind w:left="938"/>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16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tcBorders>
              <w:bottom w:val="single" w:sz="8" w:color="auto"/>
            </w:tcBorders>
            <w:gridSpan w:val="3"/>
            <w:vMerge w:val="continue"/>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16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64"/>
        </w:trPr>
        <w:tc>
          <w:tcPr>
            <w:tcW w:w="2920" w:type="dxa"/>
            <w:vAlign w:val="bottom"/>
            <w:gridSpan w:val="2"/>
          </w:tcPr>
          <w:p>
            <w:pPr>
              <w:spacing w:after="0"/>
              <w:rPr>
                <w:sz w:val="20"/>
                <w:szCs w:val="20"/>
                <w:color w:val="auto"/>
              </w:rPr>
            </w:pPr>
            <w:r>
              <w:rPr>
                <w:rFonts w:ascii="Arial" w:cs="Arial" w:eastAsia="Arial" w:hAnsi="Arial"/>
                <w:sz w:val="18"/>
                <w:szCs w:val="18"/>
                <w:color w:val="auto"/>
              </w:rPr>
              <w:t>Mexican peso</w:t>
            </w:r>
          </w:p>
        </w:tc>
        <w:tc>
          <w:tcPr>
            <w:tcW w:w="440" w:type="dxa"/>
            <w:vAlign w:val="bottom"/>
          </w:tcPr>
          <w:p>
            <w:pPr>
              <w:jc w:val="right"/>
              <w:ind w:right="14"/>
              <w:spacing w:after="0"/>
              <w:rPr>
                <w:sz w:val="20"/>
                <w:szCs w:val="20"/>
                <w:color w:val="auto"/>
              </w:rPr>
            </w:pPr>
            <w:r>
              <w:rPr>
                <w:rFonts w:ascii="Arial" w:cs="Arial" w:eastAsia="Arial" w:hAnsi="Arial"/>
                <w:sz w:val="18"/>
                <w:szCs w:val="18"/>
                <w:color w:val="auto"/>
                <w:w w:val="91"/>
              </w:rPr>
              <w:t>19.7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4"/>
                <w:szCs w:val="24"/>
                <w:color w:val="auto"/>
              </w:rPr>
            </w:pPr>
          </w:p>
        </w:tc>
        <w:tc>
          <w:tcPr>
            <w:tcW w:w="1680" w:type="dxa"/>
            <w:vAlign w:val="bottom"/>
          </w:tcPr>
          <w:p>
            <w:pPr>
              <w:jc w:val="right"/>
              <w:ind w:right="296"/>
              <w:spacing w:after="0"/>
              <w:rPr>
                <w:sz w:val="20"/>
                <w:szCs w:val="20"/>
                <w:color w:val="auto"/>
              </w:rPr>
            </w:pPr>
            <w:r>
              <w:rPr>
                <w:rFonts w:ascii="Arial" w:cs="Arial" w:eastAsia="Arial" w:hAnsi="Arial"/>
                <w:sz w:val="18"/>
                <w:szCs w:val="18"/>
                <w:color w:val="auto"/>
              </w:rPr>
              <w:t>19.4</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4"/>
                <w:szCs w:val="24"/>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Guatemalan quetzal</w:t>
            </w: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1680" w:type="dxa"/>
            <w:vAlign w:val="bottom"/>
          </w:tcPr>
          <w:p>
            <w:pPr>
              <w:jc w:val="right"/>
              <w:ind w:right="296"/>
              <w:spacing w:after="0"/>
              <w:rPr>
                <w:sz w:val="20"/>
                <w:szCs w:val="20"/>
                <w:color w:val="auto"/>
              </w:rPr>
            </w:pPr>
            <w:r>
              <w:rPr>
                <w:rFonts w:ascii="Arial" w:cs="Arial" w:eastAsia="Arial" w:hAnsi="Arial"/>
                <w:sz w:val="18"/>
                <w:szCs w:val="18"/>
                <w:color w:val="auto"/>
              </w:rPr>
              <w:t>7.5</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Honduran lempira</w:t>
            </w:r>
          </w:p>
        </w:tc>
        <w:tc>
          <w:tcPr>
            <w:tcW w:w="440" w:type="dxa"/>
            <w:vAlign w:val="bottom"/>
          </w:tcPr>
          <w:p>
            <w:pPr>
              <w:jc w:val="right"/>
              <w:ind w:right="14"/>
              <w:spacing w:after="0"/>
              <w:rPr>
                <w:sz w:val="20"/>
                <w:szCs w:val="20"/>
                <w:color w:val="auto"/>
              </w:rPr>
            </w:pPr>
            <w:r>
              <w:rPr>
                <w:rFonts w:ascii="Arial" w:cs="Arial" w:eastAsia="Arial" w:hAnsi="Arial"/>
                <w:sz w:val="18"/>
                <w:szCs w:val="18"/>
                <w:color w:val="auto"/>
                <w:w w:val="91"/>
              </w:rPr>
              <w:t>24.2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3"/>
                <w:szCs w:val="23"/>
                <w:color w:val="auto"/>
              </w:rPr>
            </w:pPr>
          </w:p>
        </w:tc>
        <w:tc>
          <w:tcPr>
            <w:tcW w:w="1680" w:type="dxa"/>
            <w:vAlign w:val="bottom"/>
          </w:tcPr>
          <w:p>
            <w:pPr>
              <w:jc w:val="right"/>
              <w:ind w:right="296"/>
              <w:spacing w:after="0"/>
              <w:rPr>
                <w:sz w:val="20"/>
                <w:szCs w:val="20"/>
                <w:color w:val="auto"/>
              </w:rPr>
            </w:pPr>
            <w:r>
              <w:rPr>
                <w:rFonts w:ascii="Arial" w:cs="Arial" w:eastAsia="Arial" w:hAnsi="Arial"/>
                <w:sz w:val="18"/>
                <w:szCs w:val="18"/>
                <w:color w:val="auto"/>
              </w:rPr>
              <w:t>24.1</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3"/>
                <w:szCs w:val="23"/>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0"/>
        </w:trPr>
        <w:tc>
          <w:tcPr>
            <w:tcW w:w="2920" w:type="dxa"/>
            <w:vAlign w:val="bottom"/>
            <w:gridSpan w:val="2"/>
          </w:tcPr>
          <w:p>
            <w:pPr>
              <w:spacing w:after="0"/>
              <w:rPr>
                <w:sz w:val="20"/>
                <w:szCs w:val="20"/>
                <w:color w:val="auto"/>
              </w:rPr>
            </w:pPr>
            <w:r>
              <w:rPr>
                <w:rFonts w:ascii="Arial" w:cs="Arial" w:eastAsia="Arial" w:hAnsi="Arial"/>
                <w:sz w:val="18"/>
                <w:szCs w:val="18"/>
                <w:color w:val="auto"/>
              </w:rPr>
              <w:t>Peruvian sol</w:t>
            </w: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1680" w:type="dxa"/>
            <w:vAlign w:val="bottom"/>
          </w:tcPr>
          <w:p>
            <w:pPr>
              <w:jc w:val="right"/>
              <w:ind w:right="296"/>
              <w:spacing w:after="0"/>
              <w:rPr>
                <w:sz w:val="20"/>
                <w:szCs w:val="20"/>
                <w:color w:val="auto"/>
              </w:rPr>
            </w:pPr>
            <w:r>
              <w:rPr>
                <w:rFonts w:ascii="Arial" w:cs="Arial" w:eastAsia="Arial" w:hAnsi="Arial"/>
                <w:sz w:val="18"/>
                <w:szCs w:val="18"/>
                <w:color w:val="auto"/>
              </w:rPr>
              <w:t>3.3</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statement of operations constant currency results reflect the monthly exchange rate fluctuations and so are not directly calculable from the above rates.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Constant currency results, where presented, also exclude the foreign currency gain or loss.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2019 Q4</w:t>
            </w:r>
          </w:p>
        </w:tc>
        <w:tc>
          <w:tcPr>
            <w:tcW w:w="300" w:type="dxa"/>
            <w:vAlign w:val="bottom"/>
          </w:tcPr>
          <w:p>
            <w:pPr>
              <w:spacing w:after="0"/>
              <w:rPr>
                <w:sz w:val="16"/>
                <w:szCs w:val="16"/>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w w:val="93"/>
              </w:rPr>
              <w:t>2018 Q4</w:t>
            </w:r>
          </w:p>
        </w:tc>
      </w:tr>
      <w:tr>
        <w:trPr>
          <w:trHeight w:val="53"/>
        </w:trPr>
        <w:tc>
          <w:tcPr>
            <w:tcW w:w="89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73"/>
        </w:trPr>
        <w:tc>
          <w:tcPr>
            <w:tcW w:w="8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Pr>
          <w:p>
            <w:pPr>
              <w:spacing w:after="0"/>
              <w:rPr>
                <w:sz w:val="24"/>
                <w:szCs w:val="24"/>
                <w:color w:val="auto"/>
              </w:rPr>
            </w:pPr>
          </w:p>
        </w:tc>
      </w:tr>
      <w:tr>
        <w:trPr>
          <w:trHeight w:val="270"/>
        </w:trPr>
        <w:tc>
          <w:tcPr>
            <w:tcW w:w="8980" w:type="dxa"/>
            <w:vAlign w:val="bottom"/>
          </w:tcPr>
          <w:p>
            <w:pPr>
              <w:spacing w:after="0"/>
              <w:rPr>
                <w:sz w:val="20"/>
                <w:szCs w:val="20"/>
                <w:color w:val="auto"/>
              </w:rPr>
            </w:pPr>
            <w:r>
              <w:rPr>
                <w:rFonts w:ascii="Arial" w:cs="Arial" w:eastAsia="Arial" w:hAnsi="Arial"/>
                <w:sz w:val="14"/>
                <w:szCs w:val="14"/>
                <w:color w:val="auto"/>
              </w:rPr>
              <w:t>Net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70"/>
        </w:trPr>
        <w:tc>
          <w:tcPr>
            <w:tcW w:w="8980" w:type="dxa"/>
            <w:vAlign w:val="bottom"/>
          </w:tcPr>
          <w:p>
            <w:pPr>
              <w:spacing w:after="0"/>
              <w:rPr>
                <w:sz w:val="20"/>
                <w:szCs w:val="20"/>
                <w:color w:val="auto"/>
              </w:rPr>
            </w:pPr>
            <w:r>
              <w:rPr>
                <w:rFonts w:ascii="Arial" w:cs="Arial" w:eastAsia="Arial" w:hAnsi="Arial"/>
                <w:sz w:val="14"/>
                <w:szCs w:val="14"/>
                <w:color w:val="auto"/>
              </w:rPr>
              <w:t>Loss from discontinued operations, net of tax</w:t>
            </w:r>
          </w:p>
        </w:tc>
        <w:tc>
          <w:tcPr>
            <w:tcW w:w="22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70"/>
        </w:trPr>
        <w:tc>
          <w:tcPr>
            <w:tcW w:w="898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8.8</w:t>
            </w:r>
          </w:p>
        </w:tc>
      </w:tr>
      <w:tr>
        <w:trPr>
          <w:trHeight w:val="270"/>
        </w:trPr>
        <w:tc>
          <w:tcPr>
            <w:tcW w:w="8980" w:type="dxa"/>
            <w:vAlign w:val="bottom"/>
          </w:tcPr>
          <w:p>
            <w:pPr>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70"/>
        </w:trPr>
        <w:tc>
          <w:tcPr>
            <w:tcW w:w="8980" w:type="dxa"/>
            <w:vAlign w:val="bottom"/>
          </w:tcPr>
          <w:p>
            <w:pPr>
              <w:spacing w:after="0"/>
              <w:rPr>
                <w:sz w:val="20"/>
                <w:szCs w:val="20"/>
                <w:color w:val="auto"/>
              </w:rPr>
            </w:pPr>
            <w:r>
              <w:rPr>
                <w:rFonts w:ascii="Arial" w:cs="Arial" w:eastAsia="Arial" w:hAnsi="Arial"/>
                <w:sz w:val="14"/>
                <w:szCs w:val="14"/>
                <w:color w:val="auto"/>
              </w:rPr>
              <w:t>Income tax expense</w:t>
            </w:r>
          </w:p>
        </w:tc>
        <w:tc>
          <w:tcPr>
            <w:tcW w:w="22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w:t>
            </w:r>
          </w:p>
        </w:tc>
      </w:tr>
      <w:tr>
        <w:trPr>
          <w:trHeight w:val="276"/>
        </w:trPr>
        <w:tc>
          <w:tcPr>
            <w:tcW w:w="89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w:t>
            </w:r>
          </w:p>
        </w:tc>
      </w:tr>
      <w:tr>
        <w:trPr>
          <w:trHeight w:val="244"/>
        </w:trPr>
        <w:tc>
          <w:tcPr>
            <w:tcW w:w="8980" w:type="dxa"/>
            <w:vAlign w:val="bottom"/>
          </w:tcPr>
          <w:p>
            <w:pPr>
              <w:ind w:left="240"/>
              <w:spacing w:after="0"/>
              <w:rPr>
                <w:sz w:val="20"/>
                <w:szCs w:val="20"/>
                <w:color w:val="auto"/>
              </w:rPr>
            </w:pPr>
            <w:r>
              <w:rPr>
                <w:rFonts w:ascii="Arial" w:cs="Arial" w:eastAsia="Arial" w:hAnsi="Arial"/>
                <w:sz w:val="14"/>
                <w:szCs w:val="14"/>
                <w:color w:val="auto"/>
              </w:rPr>
              <w:t>Adjusted EBITDA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14.6</w:t>
            </w:r>
          </w:p>
        </w:tc>
      </w:tr>
    </w:tbl>
    <w:p>
      <w:pPr>
        <w:sectPr>
          <w:pgSz w:w="11900" w:h="16838" w:orient="portrait"/>
          <w:cols w:equalWidth="0" w:num="1">
            <w:col w:w="11420"/>
          </w:cols>
          <w:pgMar w:left="240" w:top="719"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rPr>
              <w:t>Consolidated</w:t>
            </w:r>
          </w:p>
        </w:tc>
        <w:tc>
          <w:tcPr>
            <w:tcW w:w="40" w:type="dxa"/>
            <w:vAlign w:val="bottom"/>
          </w:tcPr>
          <w:p>
            <w:pPr>
              <w:spacing w:after="0"/>
              <w:rPr>
                <w:sz w:val="14"/>
                <w:szCs w:val="14"/>
                <w:color w:val="auto"/>
              </w:rPr>
            </w:pPr>
          </w:p>
        </w:tc>
        <w:tc>
          <w:tcPr>
            <w:tcW w:w="132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Consolidated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0"/>
              </w:rPr>
              <w:t>Consolidated</w:t>
            </w:r>
          </w:p>
        </w:tc>
        <w:tc>
          <w:tcPr>
            <w:tcW w:w="20" w:type="dxa"/>
            <w:vAlign w:val="bottom"/>
          </w:tcPr>
          <w:p>
            <w:pPr>
              <w:spacing w:after="0"/>
              <w:rPr>
                <w:sz w:val="14"/>
                <w:szCs w:val="14"/>
                <w:color w:val="auto"/>
              </w:rPr>
            </w:pPr>
          </w:p>
        </w:tc>
        <w:tc>
          <w:tcPr>
            <w:tcW w:w="1300" w:type="dxa"/>
            <w:vAlign w:val="bottom"/>
            <w:gridSpan w:val="5"/>
            <w:vMerge w:val="restart"/>
          </w:tcPr>
          <w:p>
            <w:pPr>
              <w:jc w:val="right"/>
              <w:ind w:right="28"/>
              <w:spacing w:after="0"/>
              <w:rPr>
                <w:sz w:val="20"/>
                <w:szCs w:val="20"/>
                <w:color w:val="auto"/>
              </w:rPr>
            </w:pPr>
            <w:r>
              <w:rPr>
                <w:rFonts w:ascii="Arial" w:cs="Arial" w:eastAsia="Arial" w:hAnsi="Arial"/>
                <w:sz w:val="14"/>
                <w:szCs w:val="14"/>
                <w:b w:val="1"/>
                <w:bCs w:val="1"/>
                <w:color w:val="auto"/>
                <w:w w:val="91"/>
              </w:rPr>
              <w:t>Cons. Merch. Sales</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Merch. Sales</w:t>
            </w:r>
          </w:p>
        </w:tc>
        <w:tc>
          <w:tcPr>
            <w:tcW w:w="2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w w:val="98"/>
              </w:rPr>
              <w:t>Total Revenues</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96"/>
              </w:rPr>
              <w:t>Gross Profit</w:t>
            </w:r>
          </w:p>
        </w:tc>
        <w:tc>
          <w:tcPr>
            <w:tcW w:w="100" w:type="dxa"/>
            <w:vAlign w:val="bottom"/>
          </w:tcPr>
          <w:p>
            <w:pPr>
              <w:spacing w:after="0"/>
              <w:rPr>
                <w:sz w:val="16"/>
                <w:szCs w:val="16"/>
                <w:color w:val="auto"/>
              </w:rPr>
            </w:pPr>
          </w:p>
        </w:tc>
        <w:tc>
          <w:tcPr>
            <w:tcW w:w="80" w:type="dxa"/>
            <w:vAlign w:val="bottom"/>
            <w:tcBorders>
              <w:bottom w:val="single" w:sz="8" w:color="auto"/>
            </w:tcBorders>
            <w:gridSpan w:val="2"/>
          </w:tcPr>
          <w:p>
            <w:pPr>
              <w:spacing w:after="0"/>
              <w:rPr>
                <w:sz w:val="16"/>
                <w:szCs w:val="16"/>
                <w:color w:val="auto"/>
              </w:rPr>
            </w:pPr>
          </w:p>
        </w:tc>
        <w:tc>
          <w:tcPr>
            <w:tcW w:w="132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w w:val="93"/>
              </w:rPr>
              <w:t>Gross Profit Margin</w:t>
            </w:r>
          </w:p>
        </w:tc>
        <w:tc>
          <w:tcPr>
            <w:tcW w:w="0" w:type="dxa"/>
            <w:vAlign w:val="bottom"/>
          </w:tcPr>
          <w:p>
            <w:pPr>
              <w:spacing w:after="0"/>
              <w:rPr>
                <w:sz w:val="1"/>
                <w:szCs w:val="1"/>
                <w:color w:val="auto"/>
              </w:rPr>
            </w:pPr>
          </w:p>
        </w:tc>
      </w:tr>
      <w:tr>
        <w:trPr>
          <w:trHeight w:val="379"/>
        </w:trPr>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5"/>
          </w:tcPr>
          <w:p>
            <w:pPr>
              <w:jc w:val="center"/>
              <w:ind w:right="260"/>
              <w:spacing w:after="0"/>
              <w:rPr>
                <w:sz w:val="20"/>
                <w:szCs w:val="20"/>
                <w:color w:val="auto"/>
              </w:rPr>
            </w:pPr>
            <w:r>
              <w:rPr>
                <w:rFonts w:ascii="Arial" w:cs="Arial" w:eastAsia="Arial" w:hAnsi="Arial"/>
                <w:sz w:val="14"/>
                <w:szCs w:val="14"/>
                <w:i w:val="1"/>
                <w:iCs w:val="1"/>
                <w:color w:val="auto"/>
                <w:w w:val="98"/>
              </w:rPr>
              <w:t>(in millions)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2019 Q4 reported</w:t>
            </w:r>
          </w:p>
        </w:tc>
        <w:tc>
          <w:tcPr>
            <w:tcW w:w="140" w:type="dxa"/>
            <w:vAlign w:val="bottom"/>
          </w:tcPr>
          <w:p>
            <w:pPr>
              <w:spacing w:after="0"/>
              <w:rPr>
                <w:sz w:val="23"/>
                <w:szCs w:val="23"/>
                <w:color w:val="auto"/>
              </w:rPr>
            </w:pPr>
          </w:p>
        </w:tc>
        <w:tc>
          <w:tcPr>
            <w:tcW w:w="10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214.3</w:t>
            </w:r>
          </w:p>
        </w:tc>
        <w:tc>
          <w:tcPr>
            <w:tcW w:w="10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120.9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Natural disaster inventory destruction impact</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3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340" w:type="dxa"/>
            <w:vAlign w:val="bottom"/>
          </w:tcPr>
          <w:p>
            <w:pPr>
              <w:ind w:left="240"/>
              <w:spacing w:after="0"/>
              <w:rPr>
                <w:sz w:val="20"/>
                <w:szCs w:val="20"/>
                <w:color w:val="auto"/>
              </w:rPr>
            </w:pPr>
            <w:r>
              <w:rPr>
                <w:rFonts w:ascii="Arial" w:cs="Arial" w:eastAsia="Arial" w:hAnsi="Arial"/>
                <w:sz w:val="14"/>
                <w:szCs w:val="14"/>
                <w:color w:val="auto"/>
              </w:rPr>
              <w:t>2019 Q4 adjusted</w:t>
            </w:r>
          </w:p>
        </w:tc>
        <w:tc>
          <w:tcPr>
            <w:tcW w:w="140" w:type="dxa"/>
            <w:vAlign w:val="bottom"/>
          </w:tcPr>
          <w:p>
            <w:pPr>
              <w:spacing w:after="0"/>
              <w:rPr>
                <w:sz w:val="21"/>
                <w:szCs w:val="21"/>
                <w:color w:val="auto"/>
              </w:rPr>
            </w:pPr>
          </w:p>
        </w:tc>
        <w:tc>
          <w:tcPr>
            <w:tcW w:w="10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215.4</w:t>
            </w:r>
          </w:p>
        </w:tc>
        <w:tc>
          <w:tcPr>
            <w:tcW w:w="10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300"/>
        </w:trPr>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U.S. Pawn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Latin America</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Pawn</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2019 Q4 reported segment contribution</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22.2</w:t>
            </w:r>
          </w:p>
        </w:tc>
        <w:tc>
          <w:tcPr>
            <w:tcW w:w="80" w:type="dxa"/>
            <w:vAlign w:val="bottom"/>
          </w:tcPr>
          <w:p>
            <w:pPr>
              <w:spacing w:after="0"/>
              <w:rPr>
                <w:sz w:val="23"/>
                <w:szCs w:val="23"/>
                <w:color w:val="auto"/>
              </w:rPr>
            </w:pPr>
          </w:p>
        </w:tc>
        <w:tc>
          <w:tcPr>
            <w:tcW w:w="420" w:type="dxa"/>
            <w:vAlign w:val="bottom"/>
            <w:gridSpan w:val="4"/>
          </w:tcPr>
          <w:p>
            <w:pPr>
              <w:ind w:left="180"/>
              <w:spacing w:after="0"/>
              <w:rPr>
                <w:sz w:val="20"/>
                <w:szCs w:val="20"/>
                <w:color w:val="auto"/>
              </w:rPr>
            </w:pPr>
            <w:r>
              <w:rPr>
                <w:rFonts w:ascii="Arial" w:cs="Arial" w:eastAsia="Arial" w:hAnsi="Arial"/>
                <w:sz w:val="14"/>
                <w:szCs w:val="14"/>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4"/>
                <w:szCs w:val="14"/>
                <w:color w:val="auto"/>
              </w:rPr>
              <w:t>5.8</w:t>
            </w:r>
          </w:p>
        </w:tc>
        <w:tc>
          <w:tcPr>
            <w:tcW w:w="20" w:type="dxa"/>
            <w:vAlign w:val="bottom"/>
          </w:tcPr>
          <w:p>
            <w:pPr>
              <w:spacing w:after="0"/>
              <w:rPr>
                <w:sz w:val="23"/>
                <w:szCs w:val="23"/>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Natural disaster inventory and asset destruction impact</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Trade name impairment</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6"/>
        </w:trPr>
        <w:tc>
          <w:tcPr>
            <w:tcW w:w="53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0.1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44"/>
        </w:trPr>
        <w:tc>
          <w:tcPr>
            <w:tcW w:w="5340" w:type="dxa"/>
            <w:vAlign w:val="bottom"/>
          </w:tcPr>
          <w:p>
            <w:pPr>
              <w:ind w:left="240"/>
              <w:spacing w:after="0"/>
              <w:rPr>
                <w:sz w:val="20"/>
                <w:szCs w:val="20"/>
                <w:color w:val="auto"/>
              </w:rPr>
            </w:pPr>
            <w:r>
              <w:rPr>
                <w:rFonts w:ascii="Arial" w:cs="Arial" w:eastAsia="Arial" w:hAnsi="Arial"/>
                <w:sz w:val="14"/>
                <w:szCs w:val="14"/>
                <w:color w:val="auto"/>
              </w:rPr>
              <w:t>2019 Q4 adjusted segment contribution</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21"/>
                <w:szCs w:val="21"/>
                <w:color w:val="auto"/>
              </w:rPr>
            </w:pPr>
          </w:p>
        </w:tc>
        <w:tc>
          <w:tcPr>
            <w:tcW w:w="420" w:type="dxa"/>
            <w:vAlign w:val="bottom"/>
            <w:gridSpan w:val="4"/>
          </w:tcPr>
          <w:p>
            <w:pPr>
              <w:ind w:left="180"/>
              <w:spacing w:after="0"/>
              <w:rPr>
                <w:sz w:val="20"/>
                <w:szCs w:val="20"/>
                <w:color w:val="auto"/>
              </w:rPr>
            </w:pPr>
            <w:r>
              <w:rPr>
                <w:rFonts w:ascii="Arial" w:cs="Arial" w:eastAsia="Arial" w:hAnsi="Arial"/>
                <w:sz w:val="14"/>
                <w:szCs w:val="14"/>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21"/>
                <w:szCs w:val="21"/>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411"/>
        </w:trPr>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79"/>
        </w:trPr>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10"/>
          </w:tcPr>
          <w:p>
            <w:pPr>
              <w:jc w:val="center"/>
              <w:ind w:right="88"/>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Net cash from operating activities</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gridSpan w:val="4"/>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gridSpan w:val="4"/>
          </w:tcPr>
          <w:p>
            <w:pPr>
              <w:jc w:val="right"/>
              <w:ind w:right="40"/>
              <w:spacing w:after="0"/>
              <w:rPr>
                <w:sz w:val="20"/>
                <w:szCs w:val="20"/>
                <w:color w:val="auto"/>
              </w:rPr>
            </w:pPr>
            <w:r>
              <w:rPr>
                <w:rFonts w:ascii="Arial" w:cs="Arial" w:eastAsia="Arial" w:hAnsi="Arial"/>
                <w:sz w:val="14"/>
                <w:szCs w:val="14"/>
                <w:color w:val="auto"/>
              </w:rPr>
              <w:t>103.5</w:t>
            </w:r>
          </w:p>
        </w:tc>
        <w:tc>
          <w:tcPr>
            <w:tcW w:w="20" w:type="dxa"/>
            <w:vAlign w:val="bottom"/>
          </w:tcPr>
          <w:p>
            <w:pPr>
              <w:spacing w:after="0"/>
              <w:rPr>
                <w:sz w:val="23"/>
                <w:szCs w:val="23"/>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Net funding of loan growth</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5"/>
          </w:tcPr>
          <w:p>
            <w:pPr>
              <w:jc w:val="right"/>
              <w:spacing w:after="0"/>
              <w:rPr>
                <w:sz w:val="20"/>
                <w:szCs w:val="20"/>
                <w:color w:val="auto"/>
              </w:rPr>
            </w:pPr>
            <w:r>
              <w:rPr>
                <w:rFonts w:ascii="Arial" w:cs="Arial" w:eastAsia="Arial" w:hAnsi="Arial"/>
                <w:sz w:val="14"/>
                <w:szCs w:val="14"/>
                <w:color w:val="auto"/>
              </w:rPr>
              <w:t>(14.9)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76"/>
        </w:trPr>
        <w:tc>
          <w:tcPr>
            <w:tcW w:w="5340" w:type="dxa"/>
            <w:vAlign w:val="bottom"/>
          </w:tcPr>
          <w:p>
            <w:pPr>
              <w:spacing w:after="0"/>
              <w:rPr>
                <w:sz w:val="20"/>
                <w:szCs w:val="20"/>
                <w:color w:val="auto"/>
              </w:rPr>
            </w:pPr>
            <w:r>
              <w:rPr>
                <w:rFonts w:ascii="Arial" w:cs="Arial" w:eastAsia="Arial" w:hAnsi="Arial"/>
                <w:sz w:val="14"/>
                <w:szCs w:val="14"/>
                <w:color w:val="auto"/>
              </w:rPr>
              <w:t>Maintenance capital expenditures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(10.7)</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44"/>
        </w:trPr>
        <w:tc>
          <w:tcPr>
            <w:tcW w:w="5340" w:type="dxa"/>
            <w:vAlign w:val="bottom"/>
          </w:tcPr>
          <w:p>
            <w:pPr>
              <w:ind w:left="240"/>
              <w:spacing w:after="0"/>
              <w:rPr>
                <w:sz w:val="20"/>
                <w:szCs w:val="20"/>
                <w:color w:val="auto"/>
              </w:rPr>
            </w:pPr>
            <w:r>
              <w:rPr>
                <w:rFonts w:ascii="Arial" w:cs="Arial" w:eastAsia="Arial" w:hAnsi="Arial"/>
                <w:sz w:val="14"/>
                <w:szCs w:val="14"/>
                <w:color w:val="auto"/>
              </w:rPr>
              <w:t>Free cash flow</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gridSpan w:val="4"/>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gridSpan w:val="4"/>
          </w:tcPr>
          <w:p>
            <w:pPr>
              <w:jc w:val="right"/>
              <w:ind w:right="40"/>
              <w:spacing w:after="0"/>
              <w:rPr>
                <w:sz w:val="20"/>
                <w:szCs w:val="20"/>
                <w:color w:val="auto"/>
              </w:rPr>
            </w:pPr>
            <w:r>
              <w:rPr>
                <w:rFonts w:ascii="Arial" w:cs="Arial" w:eastAsia="Arial" w:hAnsi="Arial"/>
                <w:sz w:val="14"/>
                <w:szCs w:val="14"/>
                <w:color w:val="auto"/>
              </w:rPr>
              <w:t>77.9</w:t>
            </w:r>
          </w:p>
        </w:tc>
        <w:tc>
          <w:tcPr>
            <w:tcW w:w="20" w:type="dxa"/>
            <w:vAlign w:val="bottom"/>
          </w:tcPr>
          <w:p>
            <w:pPr>
              <w:spacing w:after="0"/>
              <w:rPr>
                <w:sz w:val="21"/>
                <w:szCs w:val="21"/>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300"/>
        </w:trPr>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Income from</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Net Income from</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w w:val="94"/>
              </w:rPr>
              <w:t>Continuing</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Continuing</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Operations,</w:t>
            </w:r>
          </w:p>
        </w:tc>
        <w:tc>
          <w:tcPr>
            <w:tcW w:w="7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Tax Effect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5"/>
          </w:tcPr>
          <w:p>
            <w:pPr>
              <w:ind w:left="220"/>
              <w:spacing w:after="0" w:line="149" w:lineRule="exact"/>
              <w:rPr>
                <w:sz w:val="20"/>
                <w:szCs w:val="20"/>
                <w:color w:val="auto"/>
              </w:rPr>
            </w:pPr>
            <w:r>
              <w:rPr>
                <w:rFonts w:ascii="Arial" w:cs="Arial" w:eastAsia="Arial" w:hAnsi="Arial"/>
                <w:sz w:val="14"/>
                <w:szCs w:val="14"/>
                <w:b w:val="1"/>
                <w:bCs w:val="1"/>
                <w:color w:val="auto"/>
              </w:rPr>
              <w:t>Continuing</w:t>
            </w:r>
          </w:p>
        </w:tc>
        <w:tc>
          <w:tcPr>
            <w:tcW w:w="20" w:type="dxa"/>
            <w:vAlign w:val="bottom"/>
          </w:tcPr>
          <w:p>
            <w:pPr>
              <w:spacing w:after="0"/>
              <w:rPr>
                <w:sz w:val="12"/>
                <w:szCs w:val="12"/>
                <w:color w:val="auto"/>
              </w:rPr>
            </w:pPr>
          </w:p>
        </w:tc>
        <w:tc>
          <w:tcPr>
            <w:tcW w:w="1240" w:type="dxa"/>
            <w:vAlign w:val="bottom"/>
            <w:gridSpan w:val="6"/>
            <w:vMerge w:val="restart"/>
          </w:tcPr>
          <w:p>
            <w:pPr>
              <w:jc w:val="right"/>
              <w:ind w:right="40"/>
              <w:spacing w:after="0"/>
              <w:rPr>
                <w:sz w:val="20"/>
                <w:szCs w:val="20"/>
                <w:color w:val="auto"/>
              </w:rPr>
            </w:pPr>
            <w:r>
              <w:rPr>
                <w:rFonts w:ascii="Arial" w:cs="Arial" w:eastAsia="Arial" w:hAnsi="Arial"/>
                <w:sz w:val="14"/>
                <w:szCs w:val="14"/>
                <w:b w:val="1"/>
                <w:bCs w:val="1"/>
                <w:color w:val="auto"/>
              </w:rPr>
              <w:t>Adjusted EBITDA</w:t>
            </w:r>
          </w:p>
        </w:tc>
        <w:tc>
          <w:tcPr>
            <w:tcW w:w="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2"/>
              </w:rPr>
              <w:t>Operations Diluted</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4"/>
                <w:szCs w:val="14"/>
                <w:b w:val="1"/>
                <w:bCs w:val="1"/>
                <w:color w:val="auto"/>
                <w:w w:val="91"/>
              </w:rPr>
              <w:t>Before Tax</w:t>
            </w:r>
          </w:p>
        </w:tc>
        <w:tc>
          <w:tcPr>
            <w:tcW w:w="120" w:type="dxa"/>
            <w:vAlign w:val="bottom"/>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Operations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bottom w:val="single" w:sz="8" w:color="auto"/>
            </w:tcBorders>
            <w:gridSpan w:val="6"/>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379"/>
        </w:trPr>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2019 Q4 reported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46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12.0</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gridSpan w:val="3"/>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Natural disaster inventory and asset destruction impact</w:t>
            </w:r>
          </w:p>
        </w:tc>
        <w:tc>
          <w:tcPr>
            <w:tcW w:w="14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Trade name impairment</w:t>
            </w:r>
          </w:p>
        </w:tc>
        <w:tc>
          <w:tcPr>
            <w:tcW w:w="14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Acquisition due diligence costs</w:t>
            </w:r>
          </w:p>
        </w:tc>
        <w:tc>
          <w:tcPr>
            <w:tcW w:w="14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Board of director search fees</w:t>
            </w:r>
          </w:p>
        </w:tc>
        <w:tc>
          <w:tcPr>
            <w:tcW w:w="14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Discrete Cash Converters International Limited items</w:t>
            </w:r>
          </w:p>
        </w:tc>
        <w:tc>
          <w:tcPr>
            <w:tcW w:w="14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Write-off of RDC call option</w:t>
            </w:r>
          </w:p>
        </w:tc>
        <w:tc>
          <w:tcPr>
            <w:tcW w:w="14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14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Non-cash net interest expense</w:t>
            </w:r>
          </w:p>
        </w:tc>
        <w:tc>
          <w:tcPr>
            <w:tcW w:w="14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(0.3)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76"/>
        </w:trPr>
        <w:tc>
          <w:tcPr>
            <w:tcW w:w="5340" w:type="dxa"/>
            <w:vAlign w:val="bottom"/>
          </w:tcPr>
          <w:p>
            <w:pPr>
              <w:spacing w:after="0"/>
              <w:rPr>
                <w:sz w:val="20"/>
                <w:szCs w:val="20"/>
                <w:color w:val="auto"/>
              </w:rPr>
            </w:pPr>
            <w:r>
              <w:rPr>
                <w:rFonts w:ascii="Arial" w:cs="Arial" w:eastAsia="Arial" w:hAnsi="Arial"/>
                <w:sz w:val="14"/>
                <w:szCs w:val="14"/>
                <w:color w:val="auto"/>
              </w:rPr>
              <w:t>Discretionary strategic investment in digital platform</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(0.3)</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2.8</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44"/>
        </w:trPr>
        <w:tc>
          <w:tcPr>
            <w:tcW w:w="5340" w:type="dxa"/>
            <w:vAlign w:val="bottom"/>
          </w:tcPr>
          <w:p>
            <w:pPr>
              <w:ind w:left="240"/>
              <w:spacing w:after="0"/>
              <w:rPr>
                <w:sz w:val="20"/>
                <w:szCs w:val="20"/>
                <w:color w:val="auto"/>
              </w:rPr>
            </w:pPr>
            <w:r>
              <w:rPr>
                <w:rFonts w:ascii="Arial" w:cs="Arial" w:eastAsia="Arial" w:hAnsi="Arial"/>
                <w:sz w:val="14"/>
                <w:szCs w:val="14"/>
                <w:color w:val="auto"/>
              </w:rPr>
              <w:t>2019 Q4 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(2.6)</w:t>
            </w:r>
          </w:p>
        </w:tc>
        <w:tc>
          <w:tcPr>
            <w:tcW w:w="46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22.3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3"/>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bl>
    <w:p>
      <w:pPr>
        <w:sectPr>
          <w:pgSz w:w="11900" w:h="16838" w:orient="portrait"/>
          <w:cols w:equalWidth="0" w:num="1">
            <w:col w:w="11380"/>
          </w:cols>
          <w:pgMar w:left="280" w:top="699"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w w:val="94"/>
              </w:rPr>
              <w:t>Continuing</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5"/>
              </w:rPr>
              <w:t>Operations Diluted</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325"/>
        </w:trPr>
        <w:tc>
          <w:tcPr>
            <w:tcW w:w="5580" w:type="dxa"/>
            <w:vAlign w:val="bottom"/>
          </w:tcPr>
          <w:p>
            <w:pPr>
              <w:spacing w:after="0"/>
              <w:rPr>
                <w:sz w:val="20"/>
                <w:szCs w:val="20"/>
                <w:color w:val="auto"/>
              </w:rPr>
            </w:pPr>
            <w:r>
              <w:rPr>
                <w:rFonts w:ascii="Arial" w:cs="Arial" w:eastAsia="Arial" w:hAnsi="Arial"/>
                <w:sz w:val="14"/>
                <w:szCs w:val="14"/>
                <w:color w:val="auto"/>
              </w:rPr>
              <w:t>2019 reported</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gridSpan w:val="2"/>
          </w:tcPr>
          <w:p>
            <w:pPr>
              <w:ind w:left="20"/>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Natural disaster inventory and asset destruction impact, net of tax impact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Trade name impairment, net of tax impact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Acquisition due diligence costs, net of tax impact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Board of director search fees, net of tax impact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Discrete Cash Converters International Limited items, net of tax impact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Write-off of RDC call option, net of tax impact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Non-cash net interest expense, net of tax impact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Discretionary strategic investment in digital platform, net of tax impact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Discrete transaction tax adjustment, net of tax impact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4"/>
                <w:szCs w:val="14"/>
                <w:color w:val="auto"/>
              </w:rPr>
              <w:t>Non-recurring income tax benefit</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Impairment on CCV investment, net of tax impact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Adjustment for Republic Metals Corporation reserve, net of tax impact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4"/>
                <w:szCs w:val="14"/>
                <w:color w:val="auto"/>
              </w:rPr>
              <w:t>Settlement of GPMX PSC-related indemnification claim, net of tax impact</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Charge-off of aged assets and other, net of tax impact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22"/>
        </w:trPr>
        <w:tc>
          <w:tcPr>
            <w:tcW w:w="5580" w:type="dxa"/>
            <w:vAlign w:val="bottom"/>
          </w:tcPr>
          <w:p>
            <w:pPr>
              <w:spacing w:after="0"/>
              <w:rPr>
                <w:sz w:val="20"/>
                <w:szCs w:val="20"/>
                <w:color w:val="auto"/>
              </w:rPr>
            </w:pPr>
            <w:r>
              <w:rPr>
                <w:rFonts w:ascii="Arial" w:cs="Arial" w:eastAsia="Arial" w:hAnsi="Arial"/>
                <w:sz w:val="14"/>
                <w:szCs w:val="14"/>
                <w:color w:val="auto"/>
              </w:rPr>
              <w:t>Impact on CCV earnings from litigation settlement, net of tax impact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4"/>
        </w:trPr>
        <w:tc>
          <w:tcPr>
            <w:tcW w:w="5580" w:type="dxa"/>
            <w:vAlign w:val="bottom"/>
          </w:tcPr>
          <w:p>
            <w:pPr>
              <w:ind w:left="240"/>
              <w:spacing w:after="0"/>
              <w:rPr>
                <w:sz w:val="20"/>
                <w:szCs w:val="20"/>
                <w:color w:val="auto"/>
              </w:rPr>
            </w:pPr>
            <w:r>
              <w:rPr>
                <w:rFonts w:ascii="Arial" w:cs="Arial" w:eastAsia="Arial" w:hAnsi="Arial"/>
                <w:sz w:val="14"/>
                <w:szCs w:val="14"/>
                <w:color w:val="auto"/>
              </w:rPr>
              <w:t>2019 adjusted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gridSpan w:val="2"/>
          </w:tcPr>
          <w:p>
            <w:pPr>
              <w:ind w:left="20"/>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0.90</w:t>
            </w:r>
          </w:p>
        </w:tc>
        <w:tc>
          <w:tcPr>
            <w:tcW w:w="0" w:type="dxa"/>
            <w:vAlign w:val="bottom"/>
          </w:tcPr>
          <w:p>
            <w:pPr>
              <w:spacing w:after="0"/>
              <w:rPr>
                <w:sz w:val="1"/>
                <w:szCs w:val="1"/>
                <w:color w:val="auto"/>
              </w:rPr>
            </w:pPr>
          </w:p>
        </w:tc>
      </w:tr>
      <w:tr>
        <w:trPr>
          <w:trHeight w:val="300"/>
        </w:trPr>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Income from</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Net Income</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1"/>
              </w:rPr>
              <w:t>Continuing</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Continuing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from</w:t>
            </w:r>
          </w:p>
        </w:tc>
        <w:tc>
          <w:tcPr>
            <w:tcW w:w="180" w:type="dxa"/>
            <w:vAlign w:val="bottom"/>
          </w:tcPr>
          <w:p>
            <w:pPr>
              <w:spacing w:after="0"/>
              <w:rPr>
                <w:sz w:val="12"/>
                <w:szCs w:val="12"/>
                <w:color w:val="auto"/>
              </w:rPr>
            </w:pPr>
          </w:p>
        </w:tc>
        <w:tc>
          <w:tcPr>
            <w:tcW w:w="9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Operations, Before</w:t>
            </w:r>
          </w:p>
        </w:tc>
        <w:tc>
          <w:tcPr>
            <w:tcW w:w="10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9"/>
              </w:rPr>
              <w:t>Tax Effect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Continuing</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Operations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5"/>
              </w:rPr>
              <w:t>Diluted EPS</w:t>
            </w:r>
          </w:p>
        </w:tc>
        <w:tc>
          <w:tcPr>
            <w:tcW w:w="0" w:type="dxa"/>
            <w:vAlign w:val="bottom"/>
          </w:tcPr>
          <w:p>
            <w:pPr>
              <w:spacing w:after="0"/>
              <w:rPr>
                <w:sz w:val="1"/>
                <w:szCs w:val="1"/>
                <w:color w:val="auto"/>
              </w:rPr>
            </w:pPr>
          </w:p>
        </w:tc>
      </w:tr>
      <w:tr>
        <w:trPr>
          <w:trHeight w:val="379"/>
        </w:trPr>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2018 Q4 reported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14.6</w:t>
            </w:r>
          </w:p>
        </w:tc>
        <w:tc>
          <w:tcPr>
            <w:tcW w:w="24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Impairment of investment</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Acquisition expenses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580" w:type="dxa"/>
            <w:vAlign w:val="bottom"/>
          </w:tcPr>
          <w:p>
            <w:pPr>
              <w:spacing w:after="0"/>
              <w:rPr>
                <w:sz w:val="20"/>
                <w:szCs w:val="20"/>
                <w:color w:val="auto"/>
              </w:rPr>
            </w:pPr>
            <w:r>
              <w:rPr>
                <w:rFonts w:ascii="Arial" w:cs="Arial" w:eastAsia="Arial" w:hAnsi="Arial"/>
                <w:sz w:val="14"/>
                <w:szCs w:val="14"/>
                <w:color w:val="auto"/>
              </w:rPr>
              <w:t>Non-cash net interest expense</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44"/>
        </w:trPr>
        <w:tc>
          <w:tcPr>
            <w:tcW w:w="5580" w:type="dxa"/>
            <w:vAlign w:val="bottom"/>
          </w:tcPr>
          <w:p>
            <w:pPr>
              <w:ind w:left="240"/>
              <w:spacing w:after="0"/>
              <w:rPr>
                <w:sz w:val="20"/>
                <w:szCs w:val="20"/>
                <w:color w:val="auto"/>
              </w:rPr>
            </w:pPr>
            <w:r>
              <w:rPr>
                <w:rFonts w:ascii="Arial" w:cs="Arial" w:eastAsia="Arial" w:hAnsi="Arial"/>
                <w:sz w:val="14"/>
                <w:szCs w:val="14"/>
                <w:color w:val="auto"/>
              </w:rPr>
              <w:t>2018 Q4 adjusted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1"/>
                <w:szCs w:val="21"/>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24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300"/>
        </w:trPr>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Continuing</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5"/>
              </w:rPr>
              <w:t>Diluted EPS</w:t>
            </w:r>
          </w:p>
        </w:tc>
        <w:tc>
          <w:tcPr>
            <w:tcW w:w="0" w:type="dxa"/>
            <w:vAlign w:val="bottom"/>
          </w:tcPr>
          <w:p>
            <w:pPr>
              <w:spacing w:after="0"/>
              <w:rPr>
                <w:sz w:val="1"/>
                <w:szCs w:val="1"/>
                <w:color w:val="auto"/>
              </w:rPr>
            </w:pPr>
          </w:p>
        </w:tc>
      </w:tr>
      <w:tr>
        <w:trPr>
          <w:trHeight w:val="325"/>
        </w:trPr>
        <w:tc>
          <w:tcPr>
            <w:tcW w:w="5580" w:type="dxa"/>
            <w:vAlign w:val="bottom"/>
          </w:tcPr>
          <w:p>
            <w:pPr>
              <w:spacing w:after="0"/>
              <w:rPr>
                <w:sz w:val="20"/>
                <w:szCs w:val="20"/>
                <w:color w:val="auto"/>
              </w:rPr>
            </w:pPr>
            <w:r>
              <w:rPr>
                <w:rFonts w:ascii="Arial" w:cs="Arial" w:eastAsia="Arial" w:hAnsi="Arial"/>
                <w:sz w:val="14"/>
                <w:szCs w:val="14"/>
                <w:color w:val="auto"/>
              </w:rPr>
              <w:t>2018 reported</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0.66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Impairment of investment, net of tax impact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4"/>
                <w:szCs w:val="14"/>
                <w:color w:val="auto"/>
              </w:rPr>
              <w:t>Acquisition expenses, net of tax impact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4"/>
                <w:szCs w:val="14"/>
                <w:color w:val="auto"/>
              </w:rPr>
              <w:t>Litigation settlement, net of tax impact</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22"/>
        </w:trPr>
        <w:tc>
          <w:tcPr>
            <w:tcW w:w="5580" w:type="dxa"/>
            <w:vAlign w:val="bottom"/>
          </w:tcPr>
          <w:p>
            <w:pPr>
              <w:spacing w:after="0"/>
              <w:rPr>
                <w:sz w:val="20"/>
                <w:szCs w:val="20"/>
                <w:color w:val="auto"/>
              </w:rPr>
            </w:pPr>
            <w:r>
              <w:rPr>
                <w:rFonts w:ascii="Arial" w:cs="Arial" w:eastAsia="Arial" w:hAnsi="Arial"/>
                <w:sz w:val="14"/>
                <w:szCs w:val="14"/>
                <w:color w:val="auto"/>
              </w:rPr>
              <w:t>Non-cash net interest expense, net of tax impact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4"/>
        </w:trPr>
        <w:tc>
          <w:tcPr>
            <w:tcW w:w="5580" w:type="dxa"/>
            <w:vAlign w:val="bottom"/>
          </w:tcPr>
          <w:p>
            <w:pPr>
              <w:ind w:left="240"/>
              <w:spacing w:after="0"/>
              <w:rPr>
                <w:sz w:val="20"/>
                <w:szCs w:val="20"/>
                <w:color w:val="auto"/>
              </w:rPr>
            </w:pPr>
            <w:r>
              <w:rPr>
                <w:rFonts w:ascii="Arial" w:cs="Arial" w:eastAsia="Arial" w:hAnsi="Arial"/>
                <w:sz w:val="14"/>
                <w:szCs w:val="14"/>
                <w:color w:val="auto"/>
              </w:rPr>
              <w:t>2018 adjusted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bl>
    <w:p>
      <w:pPr>
        <w:sectPr>
          <w:pgSz w:w="11900" w:h="16838" w:orient="portrait"/>
          <w:cols w:equalWidth="0" w:num="1">
            <w:col w:w="11380"/>
          </w:cols>
          <w:pgMar w:left="280" w:top="699"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U.S. Dollar Amount</w:t>
            </w:r>
          </w:p>
        </w:tc>
        <w:tc>
          <w:tcPr>
            <w:tcW w:w="100" w:type="dxa"/>
            <w:vAlign w:val="bottom"/>
            <w:vMerge w:val="restart"/>
          </w:tcPr>
          <w:p>
            <w:pPr>
              <w:spacing w:after="0"/>
              <w:rPr>
                <w:sz w:val="14"/>
                <w:szCs w:val="14"/>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w w:val="94"/>
              </w:rPr>
              <w:t>Percentage Change</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379"/>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(in millions)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0"/>
                <w:szCs w:val="20"/>
                <w:color w:val="auto"/>
              </w:rPr>
            </w:pPr>
            <w:r>
              <w:rPr>
                <w:rFonts w:ascii="Arial" w:cs="Arial" w:eastAsia="Arial" w:hAnsi="Arial"/>
                <w:sz w:val="14"/>
                <w:szCs w:val="14"/>
                <w:color w:val="auto"/>
              </w:rPr>
              <w:t>Consolidated PLO</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199.1</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0"/>
                <w:szCs w:val="20"/>
                <w:color w:val="auto"/>
              </w:rPr>
            </w:pPr>
            <w:r>
              <w:rPr>
                <w:rFonts w:ascii="Arial" w:cs="Arial" w:eastAsia="Arial" w:hAnsi="Arial"/>
                <w:sz w:val="14"/>
                <w:szCs w:val="14"/>
                <w:color w:val="auto"/>
              </w:rPr>
              <w:t>Constant currency consolidated PLO</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392"/>
        </w:trPr>
        <w:tc>
          <w:tcPr>
            <w:tcW w:w="8580" w:type="dxa"/>
            <w:vAlign w:val="bottom"/>
          </w:tcPr>
          <w:p>
            <w:pPr>
              <w:spacing w:after="0"/>
              <w:rPr>
                <w:sz w:val="20"/>
                <w:szCs w:val="20"/>
                <w:color w:val="auto"/>
              </w:rPr>
            </w:pPr>
            <w:r>
              <w:rPr>
                <w:rFonts w:ascii="Arial" w:cs="Arial" w:eastAsia="Arial" w:hAnsi="Arial"/>
                <w:sz w:val="14"/>
                <w:szCs w:val="14"/>
                <w:color w:val="auto"/>
              </w:rPr>
              <w:t>Latin America Pawn PLO</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80" w:type="dxa"/>
            <w:vAlign w:val="bottom"/>
          </w:tcPr>
          <w:p>
            <w:pPr>
              <w:ind w:left="240"/>
              <w:spacing w:after="0"/>
              <w:rPr>
                <w:sz w:val="20"/>
                <w:szCs w:val="20"/>
                <w:color w:val="auto"/>
              </w:rPr>
            </w:pPr>
            <w:r>
              <w:rPr>
                <w:rFonts w:ascii="Arial" w:cs="Arial" w:eastAsia="Arial" w:hAnsi="Arial"/>
                <w:sz w:val="14"/>
                <w:szCs w:val="14"/>
                <w:color w:val="auto"/>
              </w:rPr>
              <w:t>Constant currency Latin America Pawn PLO</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92"/>
        </w:trPr>
        <w:tc>
          <w:tcPr>
            <w:tcW w:w="8580" w:type="dxa"/>
            <w:vAlign w:val="bottom"/>
          </w:tcPr>
          <w:p>
            <w:pPr>
              <w:spacing w:after="0"/>
              <w:rPr>
                <w:sz w:val="20"/>
                <w:szCs w:val="20"/>
                <w:color w:val="auto"/>
              </w:rPr>
            </w:pPr>
            <w:r>
              <w:rPr>
                <w:rFonts w:ascii="Arial" w:cs="Arial" w:eastAsia="Arial" w:hAnsi="Arial"/>
                <w:sz w:val="14"/>
                <w:szCs w:val="14"/>
                <w:color w:val="auto"/>
              </w:rPr>
              <w:t>Latin America Pawn net revenue (three months ended September 30, 2019)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80" w:type="dxa"/>
            <w:vAlign w:val="bottom"/>
          </w:tcPr>
          <w:p>
            <w:pPr>
              <w:ind w:left="240"/>
              <w:spacing w:after="0"/>
              <w:rPr>
                <w:sz w:val="20"/>
                <w:szCs w:val="20"/>
                <w:color w:val="auto"/>
              </w:rPr>
            </w:pPr>
            <w:r>
              <w:rPr>
                <w:rFonts w:ascii="Arial" w:cs="Arial" w:eastAsia="Arial" w:hAnsi="Arial"/>
                <w:sz w:val="14"/>
                <w:szCs w:val="14"/>
                <w:color w:val="auto"/>
              </w:rPr>
              <w:t>Constant currency Latin America Pawn net revenue (three months ended September 30, 2019)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392"/>
        </w:trPr>
        <w:tc>
          <w:tcPr>
            <w:tcW w:w="8580" w:type="dxa"/>
            <w:vAlign w:val="bottom"/>
          </w:tcPr>
          <w:p>
            <w:pPr>
              <w:spacing w:after="0"/>
              <w:rPr>
                <w:sz w:val="20"/>
                <w:szCs w:val="20"/>
                <w:color w:val="auto"/>
              </w:rPr>
            </w:pPr>
            <w:r>
              <w:rPr>
                <w:rFonts w:ascii="Arial" w:cs="Arial" w:eastAsia="Arial" w:hAnsi="Arial"/>
                <w:sz w:val="14"/>
                <w:szCs w:val="14"/>
                <w:color w:val="auto"/>
              </w:rPr>
              <w:t>Latin America Pawn PSC revenues (three months ended September 30, 2019)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80" w:type="dxa"/>
            <w:vAlign w:val="bottom"/>
          </w:tcPr>
          <w:p>
            <w:pPr>
              <w:ind w:left="240"/>
              <w:spacing w:after="0"/>
              <w:rPr>
                <w:sz w:val="20"/>
                <w:szCs w:val="20"/>
                <w:color w:val="auto"/>
              </w:rPr>
            </w:pPr>
            <w:r>
              <w:rPr>
                <w:rFonts w:ascii="Arial" w:cs="Arial" w:eastAsia="Arial" w:hAnsi="Arial"/>
                <w:sz w:val="14"/>
                <w:szCs w:val="14"/>
                <w:color w:val="auto"/>
              </w:rPr>
              <w:t>Constant currency Latin America Pawn PSC revenues (three months ended September 30, 2019)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392"/>
        </w:trPr>
        <w:tc>
          <w:tcPr>
            <w:tcW w:w="8580" w:type="dxa"/>
            <w:vAlign w:val="bottom"/>
          </w:tcPr>
          <w:p>
            <w:pPr>
              <w:spacing w:after="0"/>
              <w:rPr>
                <w:sz w:val="20"/>
                <w:szCs w:val="20"/>
                <w:color w:val="auto"/>
              </w:rPr>
            </w:pPr>
            <w:r>
              <w:rPr>
                <w:rFonts w:ascii="Arial" w:cs="Arial" w:eastAsia="Arial" w:hAnsi="Arial"/>
                <w:sz w:val="14"/>
                <w:szCs w:val="14"/>
                <w:color w:val="auto"/>
              </w:rPr>
              <w:t>Latin America Pawn merchandise sales (three months ended September 30, 2019)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80" w:type="dxa"/>
            <w:vAlign w:val="bottom"/>
          </w:tcPr>
          <w:p>
            <w:pPr>
              <w:ind w:left="240"/>
              <w:spacing w:after="0"/>
              <w:rPr>
                <w:sz w:val="20"/>
                <w:szCs w:val="20"/>
                <w:color w:val="auto"/>
              </w:rPr>
            </w:pPr>
            <w:r>
              <w:rPr>
                <w:rFonts w:ascii="Arial" w:cs="Arial" w:eastAsia="Arial" w:hAnsi="Arial"/>
                <w:sz w:val="14"/>
                <w:szCs w:val="14"/>
                <w:color w:val="auto"/>
              </w:rPr>
              <w:t>Constant currency Latin America Pawn merchandise sales (three months ended September 30, 2019)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392"/>
        </w:trPr>
        <w:tc>
          <w:tcPr>
            <w:tcW w:w="8580" w:type="dxa"/>
            <w:vAlign w:val="bottom"/>
          </w:tcPr>
          <w:p>
            <w:pPr>
              <w:spacing w:after="0"/>
              <w:rPr>
                <w:sz w:val="20"/>
                <w:szCs w:val="20"/>
                <w:color w:val="auto"/>
              </w:rPr>
            </w:pPr>
            <w:r>
              <w:rPr>
                <w:rFonts w:ascii="Arial" w:cs="Arial" w:eastAsia="Arial" w:hAnsi="Arial"/>
                <w:sz w:val="14"/>
                <w:szCs w:val="14"/>
                <w:color w:val="auto"/>
              </w:rPr>
              <w:t>Latin America Pawn segment profit before tax (three months ended September 30, 2019)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580" w:type="dxa"/>
            <w:vAlign w:val="bottom"/>
          </w:tcPr>
          <w:p>
            <w:pPr>
              <w:ind w:left="240"/>
              <w:spacing w:after="0"/>
              <w:rPr>
                <w:sz w:val="20"/>
                <w:szCs w:val="20"/>
                <w:color w:val="auto"/>
              </w:rPr>
            </w:pPr>
            <w:r>
              <w:rPr>
                <w:rFonts w:ascii="Arial" w:cs="Arial" w:eastAsia="Arial" w:hAnsi="Arial"/>
                <w:sz w:val="14"/>
                <w:szCs w:val="14"/>
                <w:color w:val="auto"/>
              </w:rPr>
              <w:t>Constant currency Latin America Pawn segment profit before tax (three months ended September 30, 2019)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80"/>
      </w:cols>
      <w:pgMar w:left="280" w:top="6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2019-12-05T15:09:13Z</dcterms:created>
  <dcterms:modified xsi:type="dcterms:W3CDTF">2019-12-05T15:09:13Z</dcterms:modified>
</cp:coreProperties>
</file>