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pPr>
      <w:hyperlink w:anchor="sA33FD6028AA25395924ED4406F429385">
        <w:bookmarkStart w:id="0" w:name="s32B42DC4B9385A118821172C105BE167"/>
        <w:bookmarkStart w:id="1" w:name="a2018q210q_3312018.htm"/>
        <w:bookmarkStart w:id="2" w:name="ksa2018q210q_3312018"/>
        <w:bookmarkEnd w:id="0"/>
        <w:bookmarkEnd w:id="1"/>
        <w:bookmarkEnd w:id="2"/>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tbl>
      <w:tblPr>
        <w:tblW w:w="270" w:type="dxa"/>
        <w:jc w:val="center"/>
        <w:tblInd w:w="0" w:type="dxa"/>
        <w:tblCellMar>
          <w:top w:w="0" w:type="dxa"/>
          <w:left w:w="0" w:type="dxa"/>
          <w:bottom w:w="0" w:type="dxa"/>
          <w:right w:w="0" w:type="dxa"/>
        </w:tblCellMar>
      </w:tblPr>
      <w:tblGrid>
        <w:gridCol w:w="105"/>
        <w:gridCol w:w="90"/>
        <w:gridCol w:w="75"/>
      </w:tblGrid>
      <w:tr>
        <w:trPr/>
        <w:tc>
          <w:tcPr>
            <w:tcW w:w="270"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jc w:val="center"/>
        <w:rPr>
          <w:rFonts w:ascii="inherit" w:hAnsi="inherit"/>
          <w:b/>
          <w:sz w:val="30"/>
        </w:rPr>
      </w:pPr>
      <w:r>
        <w:rPr>
          <w:rFonts w:ascii="inherit" w:hAnsi="inherit"/>
          <w:b/>
          <w:sz w:val="30"/>
        </w:rPr>
        <w:t>FORM 10-Q</w:t>
      </w:r>
    </w:p>
    <w:tbl>
      <w:tblPr>
        <w:tblW w:w="270" w:type="dxa"/>
        <w:jc w:val="center"/>
        <w:tblInd w:w="0" w:type="dxa"/>
        <w:tblCellMar>
          <w:top w:w="0" w:type="dxa"/>
          <w:left w:w="0" w:type="dxa"/>
          <w:bottom w:w="0" w:type="dxa"/>
          <w:right w:w="0" w:type="dxa"/>
        </w:tblCellMar>
      </w:tblPr>
      <w:tblGrid>
        <w:gridCol w:w="105"/>
        <w:gridCol w:w="90"/>
        <w:gridCol w:w="75"/>
      </w:tblGrid>
      <w:tr>
        <w:trPr/>
        <w:tc>
          <w:tcPr>
            <w:tcW w:w="270"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tbl>
      <w:tblPr>
        <w:tblW w:w="9850" w:type="dxa"/>
        <w:jc w:val="center"/>
        <w:tblInd w:w="0" w:type="dxa"/>
        <w:tblCellMar>
          <w:top w:w="0" w:type="dxa"/>
          <w:left w:w="0" w:type="dxa"/>
          <w:bottom w:w="0" w:type="dxa"/>
          <w:right w:w="0" w:type="dxa"/>
        </w:tblCellMar>
      </w:tblPr>
      <w:tblGrid>
        <w:gridCol w:w="185"/>
        <w:gridCol w:w="9665"/>
      </w:tblGrid>
      <w:tr>
        <w:trPr/>
        <w:tc>
          <w:tcPr>
            <w:tcW w:w="9850" w:type="dxa"/>
            <w:gridSpan w:val="2"/>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before="0" w:after="283"/>
              <w:rPr>
                <w:sz w:val="4"/>
                <w:szCs w:val="4"/>
              </w:rPr>
            </w:pPr>
            <w:r>
              <w:rPr>
                <w:sz w:val="4"/>
                <w:szCs w:val="4"/>
              </w:rPr>
            </w:r>
          </w:p>
        </w:tc>
        <w:tc>
          <w:tcPr>
            <w:tcW w:w="96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5" w:type="dxa"/>
            <w:tcBorders/>
            <w:shd w:fill="auto" w:val="clear"/>
            <w:vAlign w:val="center"/>
          </w:tcPr>
          <w:p>
            <w:pPr>
              <w:pStyle w:val="TableContents"/>
              <w:spacing w:before="0" w:after="0"/>
              <w:ind w:left="0" w:right="0" w:firstLine="30"/>
              <w:jc w:val="left"/>
              <w:rPr>
                <w:rFonts w:ascii="Wingdings" w:hAnsi="Wingdings"/>
                <w:sz w:val="20"/>
              </w:rPr>
            </w:pPr>
            <w:r>
              <w:rPr>
                <w:rFonts w:ascii="Wingdings" w:hAnsi="Wingdings"/>
                <w:sz w:val="20"/>
              </w:rPr>
              <w:t>x</w:t>
            </w:r>
          </w:p>
        </w:tc>
        <w:tc>
          <w:tcPr>
            <w:tcW w:w="9665" w:type="dxa"/>
            <w:tcBorders/>
            <w:shd w:fill="auto" w:val="clear"/>
            <w:vAlign w:val="center"/>
          </w:tcPr>
          <w:p>
            <w:pPr>
              <w:pStyle w:val="TableContents"/>
              <w:spacing w:before="0" w:after="0"/>
              <w:jc w:val="left"/>
              <w:rPr>
                <w:rFonts w:ascii="inherit" w:hAnsi="inherit"/>
                <w:b/>
                <w:sz w:val="17"/>
              </w:rPr>
            </w:pPr>
            <w:r>
              <w:rPr>
                <w:rFonts w:ascii="inherit" w:hAnsi="inherit"/>
                <w:b/>
                <w:sz w:val="17"/>
              </w:rPr>
              <w:t>QUARTERLY REPORT PURSUANT TO SECTION 13 OR 15(d) OF THE SECURITIES EXCHANGE ACT OF 1934</w:t>
            </w:r>
          </w:p>
        </w:tc>
      </w:tr>
    </w:tbl>
    <w:p>
      <w:pPr>
        <w:pStyle w:val="TextBody"/>
        <w:spacing w:lineRule="auto" w:line="288" w:before="0" w:after="0"/>
        <w:jc w:val="center"/>
        <w:rPr>
          <w:sz w:val="17"/>
        </w:rPr>
      </w:pPr>
      <w:r>
        <w:rPr>
          <w:rFonts w:ascii="inherit" w:hAnsi="inherit"/>
          <w:b/>
          <w:sz w:val="17"/>
        </w:rPr>
        <w:t>For the quarterly period ended March 31, 2018</w:t>
      </w:r>
      <w:r>
        <w:rPr>
          <w:sz w:val="17"/>
        </w:rPr>
        <w:t xml:space="preserve"> </w:t>
      </w:r>
    </w:p>
    <w:p>
      <w:pPr>
        <w:pStyle w:val="TextBody"/>
        <w:spacing w:lineRule="auto" w:line="288" w:before="0" w:after="0"/>
        <w:jc w:val="center"/>
        <w:rPr>
          <w:sz w:val="20"/>
        </w:rPr>
      </w:pPr>
      <w:r>
        <w:rPr>
          <w:rFonts w:ascii="inherit" w:hAnsi="inherit"/>
          <w:b/>
          <w:sz w:val="17"/>
        </w:rPr>
        <w:t>or</w:t>
      </w:r>
      <w:r>
        <w:rPr>
          <w:sz w:val="20"/>
        </w:rPr>
        <w:t> </w:t>
      </w:r>
    </w:p>
    <w:tbl>
      <w:tblPr>
        <w:tblW w:w="9970" w:type="dxa"/>
        <w:jc w:val="center"/>
        <w:tblInd w:w="0" w:type="dxa"/>
        <w:tblCellMar>
          <w:top w:w="0" w:type="dxa"/>
          <w:left w:w="0" w:type="dxa"/>
          <w:bottom w:w="0" w:type="dxa"/>
          <w:right w:w="0" w:type="dxa"/>
        </w:tblCellMar>
      </w:tblPr>
      <w:tblGrid>
        <w:gridCol w:w="275"/>
        <w:gridCol w:w="9695"/>
      </w:tblGrid>
      <w:tr>
        <w:trPr/>
        <w:tc>
          <w:tcPr>
            <w:tcW w:w="9970"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sz w:val="4"/>
                <w:szCs w:val="4"/>
              </w:rPr>
            </w:pPr>
            <w:r>
              <w:rPr>
                <w:sz w:val="4"/>
                <w:szCs w:val="4"/>
              </w:rPr>
            </w:r>
          </w:p>
        </w:tc>
        <w:tc>
          <w:tcPr>
            <w:tcW w:w="96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 w:type="dxa"/>
            <w:tcBorders/>
            <w:shd w:fill="auto" w:val="clear"/>
            <w:vAlign w:val="center"/>
          </w:tcPr>
          <w:p>
            <w:pPr>
              <w:pStyle w:val="TableContents"/>
              <w:spacing w:before="0" w:after="0"/>
              <w:ind w:left="0" w:right="0" w:firstLine="30"/>
              <w:jc w:val="left"/>
              <w:rPr/>
            </w:pPr>
            <w:r>
              <w:rPr/>
              <w:t>☐</w:t>
            </w:r>
          </w:p>
        </w:tc>
        <w:tc>
          <w:tcPr>
            <w:tcW w:w="9695" w:type="dxa"/>
            <w:tcBorders/>
            <w:shd w:fill="auto" w:val="clear"/>
            <w:vAlign w:val="center"/>
          </w:tcPr>
          <w:p>
            <w:pPr>
              <w:pStyle w:val="TableContents"/>
              <w:spacing w:before="0" w:after="0"/>
              <w:jc w:val="left"/>
              <w:rPr>
                <w:rFonts w:ascii="inherit" w:hAnsi="inherit"/>
                <w:b/>
                <w:sz w:val="17"/>
              </w:rPr>
            </w:pPr>
            <w:r>
              <w:rPr>
                <w:rFonts w:ascii="inherit" w:hAnsi="inherit"/>
                <w:b/>
                <w:sz w:val="17"/>
              </w:rPr>
              <w:t>TRANSITION REPORT PURSUANT TO SECTION 13 OR 15(d) OF THE SECURITIES EXCHANGE ACT OF 1934</w:t>
            </w:r>
          </w:p>
        </w:tc>
      </w:tr>
    </w:tbl>
    <w:p>
      <w:pPr>
        <w:pStyle w:val="TextBody"/>
        <w:spacing w:lineRule="auto" w:line="288" w:before="0" w:after="0"/>
        <w:jc w:val="center"/>
        <w:rPr>
          <w:sz w:val="17"/>
        </w:rPr>
      </w:pPr>
      <w:r>
        <w:rPr>
          <w:rFonts w:ascii="inherit" w:hAnsi="inherit"/>
          <w:b/>
          <w:sz w:val="17"/>
        </w:rPr>
        <w:t xml:space="preserve">For the transition period from </w:t>
      </w:r>
      <w:r>
        <w:rPr>
          <w:sz w:val="17"/>
          <w:u w:val="single"/>
        </w:rPr>
        <w:t>                    </w:t>
      </w:r>
      <w:r>
        <w:rPr>
          <w:sz w:val="17"/>
        </w:rPr>
        <w:t xml:space="preserve"> </w:t>
      </w:r>
      <w:r>
        <w:rPr>
          <w:rFonts w:ascii="inherit" w:hAnsi="inherit"/>
          <w:b/>
          <w:sz w:val="17"/>
        </w:rPr>
        <w:t xml:space="preserve">to </w:t>
      </w:r>
      <w:r>
        <w:rPr>
          <w:sz w:val="17"/>
          <w:u w:val="single"/>
        </w:rPr>
        <w:t>                        </w:t>
      </w:r>
    </w:p>
    <w:p>
      <w:pPr>
        <w:pStyle w:val="TextBody"/>
        <w:spacing w:lineRule="auto" w:line="288" w:before="0" w:after="0"/>
        <w:jc w:val="center"/>
        <w:rPr>
          <w:rFonts w:ascii="inherit" w:hAnsi="inherit"/>
          <w:b/>
          <w:sz w:val="17"/>
        </w:rPr>
      </w:pPr>
      <w:r>
        <w:rPr>
          <w:rFonts w:ascii="inherit" w:hAnsi="inherit"/>
          <w:b/>
          <w:sz w:val="17"/>
        </w:rPr>
        <w:t>Commission File No. 0-19424</w:t>
      </w:r>
    </w:p>
    <w:p>
      <w:pPr>
        <w:pStyle w:val="TextBody"/>
        <w:spacing w:lineRule="auto" w:line="288" w:before="0" w:after="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spacing w:lineRule="auto" w:line="288" w:before="0" w:after="0"/>
        <w:jc w:val="center"/>
        <w:rPr>
          <w:rFonts w:ascii="inherit" w:hAnsi="inherit"/>
          <w:b/>
          <w:sz w:val="20"/>
        </w:rPr>
      </w:pPr>
      <w:r>
        <w:rPr>
          <w:rFonts w:ascii="inherit" w:hAnsi="inherit"/>
          <w:b/>
          <w:sz w:val="20"/>
        </w:rPr>
        <w:t>EZCORP, INC.</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tbl>
      <w:tblPr>
        <w:tblW w:w="8440" w:type="dxa"/>
        <w:jc w:val="center"/>
        <w:tblInd w:w="0" w:type="dxa"/>
        <w:tblCellMar>
          <w:top w:w="0" w:type="dxa"/>
          <w:left w:w="0" w:type="dxa"/>
          <w:bottom w:w="0" w:type="dxa"/>
          <w:right w:w="0" w:type="dxa"/>
        </w:tblCellMar>
      </w:tblPr>
      <w:tblGrid>
        <w:gridCol w:w="5885"/>
        <w:gridCol w:w="2555"/>
      </w:tblGrid>
      <w:tr>
        <w:trPr/>
        <w:tc>
          <w:tcPr>
            <w:tcW w:w="8440" w:type="dxa"/>
            <w:gridSpan w:val="2"/>
            <w:tcBorders/>
            <w:shd w:fill="auto" w:val="clear"/>
            <w:vAlign w:val="center"/>
          </w:tcPr>
          <w:p>
            <w:pPr>
              <w:pStyle w:val="TableContents"/>
              <w:spacing w:before="0" w:after="283"/>
              <w:rPr>
                <w:sz w:val="4"/>
                <w:szCs w:val="4"/>
              </w:rPr>
            </w:pPr>
            <w:r>
              <w:rPr>
                <w:sz w:val="4"/>
                <w:szCs w:val="4"/>
              </w:rPr>
            </w:r>
          </w:p>
        </w:tc>
      </w:tr>
      <w:tr>
        <w:trPr/>
        <w:tc>
          <w:tcPr>
            <w:tcW w:w="5885"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8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255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588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(State or other jurisdiction of incorporation or organization)</w:t>
            </w:r>
          </w:p>
        </w:tc>
        <w:tc>
          <w:tcPr>
            <w:tcW w:w="255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(I.R.S. Employer Identification No.)</w:t>
            </w:r>
          </w:p>
        </w:tc>
      </w:tr>
      <w:tr>
        <w:trPr/>
        <w:tc>
          <w:tcPr>
            <w:tcW w:w="5885" w:type="dxa"/>
            <w:tcBorders/>
            <w:shd w:fill="auto" w:val="clear"/>
            <w:vAlign w:val="center"/>
          </w:tcPr>
          <w:p>
            <w:pPr>
              <w:pStyle w:val="TableContents"/>
              <w:spacing w:before="0" w:after="0"/>
              <w:ind w:left="0" w:right="0" w:firstLine="30"/>
              <w:rPr/>
            </w:pPr>
            <w:r>
              <w:rPr/>
              <w:t> </w:t>
            </w:r>
          </w:p>
        </w:tc>
        <w:tc>
          <w:tcPr>
            <w:tcW w:w="2555" w:type="dxa"/>
            <w:tcBorders/>
            <w:shd w:fill="auto" w:val="clear"/>
            <w:vAlign w:val="center"/>
          </w:tcPr>
          <w:p>
            <w:pPr>
              <w:pStyle w:val="TableContents"/>
              <w:spacing w:before="0" w:after="0"/>
              <w:ind w:left="0" w:right="0" w:firstLine="30"/>
              <w:rPr/>
            </w:pPr>
            <w:r>
              <w:rPr/>
              <w:t> </w:t>
            </w:r>
          </w:p>
        </w:tc>
      </w:tr>
      <w:tr>
        <w:trPr/>
        <w:tc>
          <w:tcPr>
            <w:tcW w:w="588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2500 Bee Cave Road, Bldg One, Suite 200, Rollingwood, Texas</w:t>
            </w:r>
          </w:p>
        </w:tc>
        <w:tc>
          <w:tcPr>
            <w:tcW w:w="255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78746</w:t>
            </w:r>
          </w:p>
        </w:tc>
      </w:tr>
      <w:tr>
        <w:trPr/>
        <w:tc>
          <w:tcPr>
            <w:tcW w:w="588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(Address of principal executive offices)</w:t>
            </w:r>
          </w:p>
        </w:tc>
        <w:tc>
          <w:tcPr>
            <w:tcW w:w="2555" w:type="dxa"/>
            <w:tcBorders/>
            <w:shd w:fill="auto" w:val="clear"/>
            <w:vAlign w:val="center"/>
          </w:tcPr>
          <w:p>
            <w:pPr>
              <w:pStyle w:val="TableContents"/>
              <w:spacing w:before="0" w:after="0"/>
              <w:jc w:val="center"/>
              <w:rPr>
                <w:rFonts w:ascii="inherit" w:hAnsi="inherit"/>
                <w:sz w:val="13"/>
              </w:rPr>
            </w:pPr>
            <w:r>
              <w:rPr>
                <w:rFonts w:ascii="inherit" w:hAnsi="inherit"/>
                <w:sz w:val="13"/>
              </w:rPr>
              <w:t>(Zip Code)</w:t>
            </w:r>
          </w:p>
        </w:tc>
      </w:tr>
    </w:tbl>
    <w:p>
      <w:pPr>
        <w:pStyle w:val="TextBody"/>
        <w:spacing w:lineRule="auto" w:line="288" w:before="0" w:after="0"/>
        <w:jc w:val="center"/>
        <w:rPr>
          <w:sz w:val="17"/>
        </w:rPr>
      </w:pPr>
      <w:r>
        <w:rPr>
          <w:rFonts w:ascii="inherit" w:hAnsi="inherit"/>
          <w:sz w:val="13"/>
        </w:rPr>
        <w:t xml:space="preserve">Registrant’s telephone number, including area code: </w:t>
      </w:r>
      <w:r>
        <w:rPr>
          <w:rFonts w:ascii="inherit" w:hAnsi="inherit"/>
          <w:b/>
          <w:sz w:val="17"/>
        </w:rPr>
        <w:t>(512) 314-3400</w:t>
      </w:r>
      <w:r>
        <w:rPr>
          <w:sz w:val="17"/>
        </w:rPr>
        <w:t xml:space="preserve"> </w:t>
      </w:r>
    </w:p>
    <w:tbl>
      <w:tblPr>
        <w:tblW w:w="270" w:type="dxa"/>
        <w:jc w:val="center"/>
        <w:tblInd w:w="0" w:type="dxa"/>
        <w:tblCellMar>
          <w:top w:w="0" w:type="dxa"/>
          <w:left w:w="0" w:type="dxa"/>
          <w:bottom w:w="0" w:type="dxa"/>
          <w:right w:w="0" w:type="dxa"/>
        </w:tblCellMar>
      </w:tblPr>
      <w:tblGrid>
        <w:gridCol w:w="105"/>
        <w:gridCol w:w="90"/>
        <w:gridCol w:w="75"/>
      </w:tblGrid>
      <w:tr>
        <w:trPr/>
        <w:tc>
          <w:tcPr>
            <w:tcW w:w="270"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rPr>
          <w:sz w:val="15"/>
        </w:rPr>
      </w:pPr>
      <w:r>
        <w:rPr>
          <w:rFonts w:ascii="inherit" w:hAnsi="inherit"/>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15"/>
        </w:rPr>
        <w:t>x</w:t>
      </w:r>
      <w:r>
        <w:rPr>
          <w:sz w:val="15"/>
        </w:rPr>
        <w:t>    </w:t>
      </w:r>
      <w:r>
        <w:rPr>
          <w:rFonts w:ascii="inherit" w:hAnsi="inherit"/>
          <w:sz w:val="15"/>
        </w:rPr>
        <w:t>No  </w:t>
      </w:r>
      <w:r>
        <w:rPr>
          <w:sz w:val="15"/>
        </w:rPr>
        <w:t>☐</w:t>
      </w:r>
    </w:p>
    <w:p>
      <w:pPr>
        <w:pStyle w:val="TextBody"/>
        <w:spacing w:lineRule="auto" w:line="288" w:before="0" w:after="0"/>
        <w:rPr>
          <w:sz w:val="15"/>
        </w:rPr>
      </w:pPr>
      <w:r>
        <w:rPr>
          <w:rFonts w:ascii="inherit" w:hAnsi="inherit"/>
          <w:sz w:val="15"/>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15"/>
        </w:rPr>
        <w:t>x</w:t>
      </w:r>
      <w:r>
        <w:rPr>
          <w:sz w:val="15"/>
        </w:rPr>
        <w:t>    </w:t>
      </w:r>
      <w:r>
        <w:rPr>
          <w:rFonts w:ascii="inherit" w:hAnsi="inherit"/>
          <w:sz w:val="15"/>
        </w:rPr>
        <w:t>No  </w:t>
      </w:r>
      <w:r>
        <w:rPr>
          <w:sz w:val="15"/>
        </w:rPr>
        <w:t>☐</w:t>
      </w:r>
    </w:p>
    <w:p>
      <w:pPr>
        <w:pStyle w:val="TextBody"/>
        <w:spacing w:lineRule="auto" w:line="288" w:before="0" w:after="0"/>
        <w:rPr>
          <w:rFonts w:ascii="inherit" w:hAnsi="inherit"/>
          <w:sz w:val="15"/>
        </w:rPr>
      </w:pPr>
      <w:r>
        <w:rPr>
          <w:rFonts w:ascii="inherit" w:hAnsi="inherit"/>
          <w:sz w:val="15"/>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tbl>
      <w:tblPr>
        <w:tblW w:w="5705" w:type="dxa"/>
        <w:jc w:val="center"/>
        <w:tblInd w:w="0" w:type="dxa"/>
        <w:tblCellMar>
          <w:top w:w="0" w:type="dxa"/>
          <w:left w:w="0" w:type="dxa"/>
          <w:bottom w:w="0" w:type="dxa"/>
          <w:right w:w="0" w:type="dxa"/>
        </w:tblCellMar>
      </w:tblPr>
      <w:tblGrid>
        <w:gridCol w:w="1715"/>
        <w:gridCol w:w="260"/>
        <w:gridCol w:w="3455"/>
        <w:gridCol w:w="275"/>
      </w:tblGrid>
      <w:tr>
        <w:trPr/>
        <w:tc>
          <w:tcPr>
            <w:tcW w:w="5705" w:type="dxa"/>
            <w:gridSpan w:val="4"/>
            <w:tcBorders/>
            <w:shd w:fill="auto" w:val="clear"/>
            <w:vAlign w:val="center"/>
          </w:tcPr>
          <w:p>
            <w:pPr>
              <w:pStyle w:val="TableContents"/>
              <w:spacing w:before="0" w:after="283"/>
              <w:rPr>
                <w:sz w:val="4"/>
                <w:szCs w:val="4"/>
              </w:rPr>
            </w:pPr>
            <w:r>
              <w:rPr>
                <w:sz w:val="4"/>
                <w:szCs w:val="4"/>
              </w:rPr>
            </w:r>
          </w:p>
        </w:tc>
      </w:tr>
      <w:tr>
        <w:trPr/>
        <w:tc>
          <w:tcPr>
            <w:tcW w:w="171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45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Large accelerated filer</w:t>
            </w:r>
          </w:p>
        </w:tc>
        <w:tc>
          <w:tcPr>
            <w:tcW w:w="260" w:type="dxa"/>
            <w:tcBorders/>
            <w:shd w:fill="auto" w:val="clear"/>
            <w:vAlign w:val="center"/>
          </w:tcPr>
          <w:p>
            <w:pPr>
              <w:pStyle w:val="TableContents"/>
              <w:spacing w:before="0" w:after="0"/>
              <w:ind w:left="0" w:right="0" w:firstLine="30"/>
              <w:jc w:val="left"/>
              <w:rPr/>
            </w:pPr>
            <w:r>
              <w:rPr/>
              <w:t>☐</w:t>
            </w:r>
          </w:p>
        </w:tc>
        <w:tc>
          <w:tcPr>
            <w:tcW w:w="345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Accelerated filer</w:t>
            </w:r>
          </w:p>
        </w:tc>
        <w:tc>
          <w:tcPr>
            <w:tcW w:w="275" w:type="dxa"/>
            <w:tcBorders/>
            <w:shd w:fill="auto" w:val="clear"/>
            <w:vAlign w:val="center"/>
          </w:tcPr>
          <w:p>
            <w:pPr>
              <w:pStyle w:val="TableContents"/>
              <w:spacing w:before="0" w:after="0"/>
              <w:ind w:left="0" w:right="0" w:firstLine="30"/>
              <w:jc w:val="left"/>
              <w:rPr>
                <w:rFonts w:ascii="Wingdings" w:hAnsi="Wingdings"/>
                <w:sz w:val="15"/>
              </w:rPr>
            </w:pPr>
            <w:r>
              <w:rPr>
                <w:rFonts w:ascii="Wingdings" w:hAnsi="Wingdings"/>
                <w:sz w:val="15"/>
              </w:rPr>
              <w:t>x</w:t>
            </w:r>
          </w:p>
        </w:tc>
      </w:tr>
      <w:tr>
        <w:trPr/>
        <w:tc>
          <w:tcPr>
            <w:tcW w:w="17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Non-accelerated filer</w:t>
            </w:r>
          </w:p>
        </w:tc>
        <w:tc>
          <w:tcPr>
            <w:tcW w:w="260" w:type="dxa"/>
            <w:tcBorders/>
            <w:shd w:fill="auto" w:val="clear"/>
            <w:vAlign w:val="center"/>
          </w:tcPr>
          <w:p>
            <w:pPr>
              <w:pStyle w:val="TableContents"/>
              <w:spacing w:before="0" w:after="0"/>
              <w:ind w:left="0" w:right="0" w:firstLine="30"/>
              <w:jc w:val="left"/>
              <w:rPr/>
            </w:pPr>
            <w:r>
              <w:rPr/>
              <w:t>☐</w:t>
            </w:r>
          </w:p>
        </w:tc>
        <w:tc>
          <w:tcPr>
            <w:tcW w:w="345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(Do not check if a smaller reporting company)</w:t>
            </w:r>
          </w:p>
        </w:tc>
        <w:tc>
          <w:tcPr>
            <w:tcW w:w="275" w:type="dxa"/>
            <w:tcBorders/>
            <w:shd w:fill="auto" w:val="clear"/>
            <w:vAlign w:val="center"/>
          </w:tcPr>
          <w:p>
            <w:pPr>
              <w:pStyle w:val="TableContents"/>
              <w:spacing w:before="0" w:after="0"/>
              <w:ind w:left="0" w:right="0" w:firstLine="30"/>
              <w:rPr/>
            </w:pPr>
            <w:r>
              <w:rPr/>
              <w:t> </w:t>
            </w:r>
          </w:p>
        </w:tc>
      </w:tr>
      <w:tr>
        <w:trPr/>
        <w:tc>
          <w:tcPr>
            <w:tcW w:w="1715" w:type="dxa"/>
            <w:tcBorders/>
            <w:shd w:fill="auto" w:val="clear"/>
            <w:vAlign w:val="center"/>
          </w:tcPr>
          <w:p>
            <w:pPr>
              <w:pStyle w:val="TableContents"/>
              <w:spacing w:before="0" w:after="0"/>
              <w:ind w:left="0" w:right="0" w:firstLine="30"/>
              <w:rPr/>
            </w:pPr>
            <w:r>
              <w:rPr/>
              <w:t> </w:t>
            </w:r>
          </w:p>
        </w:tc>
        <w:tc>
          <w:tcPr>
            <w:tcW w:w="260" w:type="dxa"/>
            <w:tcBorders/>
            <w:shd w:fill="auto" w:val="clear"/>
            <w:vAlign w:val="center"/>
          </w:tcPr>
          <w:p>
            <w:pPr>
              <w:pStyle w:val="TableContents"/>
              <w:spacing w:before="0" w:after="0"/>
              <w:ind w:left="0" w:right="0" w:firstLine="30"/>
              <w:rPr/>
            </w:pPr>
            <w:r>
              <w:rPr/>
              <w:t> </w:t>
            </w:r>
          </w:p>
        </w:tc>
        <w:tc>
          <w:tcPr>
            <w:tcW w:w="345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Smaller reporting company</w:t>
            </w:r>
          </w:p>
        </w:tc>
        <w:tc>
          <w:tcPr>
            <w:tcW w:w="275" w:type="dxa"/>
            <w:tcBorders/>
            <w:shd w:fill="auto" w:val="clear"/>
            <w:vAlign w:val="center"/>
          </w:tcPr>
          <w:p>
            <w:pPr>
              <w:pStyle w:val="TableContents"/>
              <w:spacing w:before="0" w:after="0"/>
              <w:ind w:left="0" w:right="0" w:firstLine="30"/>
              <w:jc w:val="left"/>
              <w:rPr/>
            </w:pPr>
            <w:r>
              <w:rPr/>
              <w:t>☐</w:t>
            </w:r>
          </w:p>
        </w:tc>
      </w:tr>
      <w:tr>
        <w:trPr/>
        <w:tc>
          <w:tcPr>
            <w:tcW w:w="1715" w:type="dxa"/>
            <w:tcBorders/>
            <w:shd w:fill="auto" w:val="clear"/>
            <w:vAlign w:val="center"/>
          </w:tcPr>
          <w:p>
            <w:pPr>
              <w:pStyle w:val="TableContents"/>
              <w:spacing w:before="0" w:after="0"/>
              <w:ind w:left="0" w:right="0" w:firstLine="30"/>
              <w:rPr/>
            </w:pPr>
            <w:r>
              <w:rPr/>
              <w:t> </w:t>
            </w:r>
          </w:p>
        </w:tc>
        <w:tc>
          <w:tcPr>
            <w:tcW w:w="260" w:type="dxa"/>
            <w:tcBorders/>
            <w:shd w:fill="auto" w:val="clear"/>
            <w:vAlign w:val="center"/>
          </w:tcPr>
          <w:p>
            <w:pPr>
              <w:pStyle w:val="TableContents"/>
              <w:spacing w:before="0" w:after="0"/>
              <w:ind w:left="0" w:right="0" w:firstLine="30"/>
              <w:rPr/>
            </w:pPr>
            <w:r>
              <w:rPr/>
              <w:t> </w:t>
            </w:r>
          </w:p>
        </w:tc>
        <w:tc>
          <w:tcPr>
            <w:tcW w:w="345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Emerging growth company</w:t>
            </w:r>
          </w:p>
        </w:tc>
        <w:tc>
          <w:tcPr>
            <w:tcW w:w="275" w:type="dxa"/>
            <w:tcBorders/>
            <w:shd w:fill="auto" w:val="clear"/>
            <w:vAlign w:val="center"/>
          </w:tcPr>
          <w:p>
            <w:pPr>
              <w:pStyle w:val="TableContents"/>
              <w:spacing w:before="0" w:after="0"/>
              <w:jc w:val="left"/>
              <w:rPr/>
            </w:pPr>
            <w:r>
              <w:rPr/>
              <w:t>☐</w:t>
            </w:r>
          </w:p>
        </w:tc>
      </w:tr>
    </w:tbl>
    <w:p>
      <w:pPr>
        <w:pStyle w:val="TextBody"/>
        <w:spacing w:lineRule="auto" w:line="288" w:before="0" w:after="0"/>
        <w:rPr>
          <w:sz w:val="15"/>
        </w:rPr>
      </w:pPr>
      <w:r>
        <w:rPr>
          <w:rFonts w:ascii="inherit" w:hAnsi="inherit"/>
          <w:sz w:val="15"/>
        </w:rPr>
        <w:t>If an emerging growth company, indicate by check mark if the registrant has elected not to use the extended transition period for complying with any new or revised financial accounting standards provided pursuant to Section 13(a) of the Exchange Act.    </w:t>
      </w:r>
      <w:r>
        <w:rPr>
          <w:sz w:val="15"/>
        </w:rPr>
        <w:t>☐ </w:t>
      </w:r>
    </w:p>
    <w:p>
      <w:pPr>
        <w:pStyle w:val="TextBody"/>
        <w:spacing w:lineRule="auto" w:line="288" w:before="0" w:after="0"/>
        <w:rPr>
          <w:sz w:val="15"/>
        </w:rPr>
      </w:pPr>
      <w:r>
        <w:rPr>
          <w:rFonts w:ascii="inherit" w:hAnsi="inherit"/>
          <w:sz w:val="15"/>
        </w:rPr>
        <w:t>Indicate by check mark whether the registrant is a shell company (as defined in Rule 12b-2 of the Exchange Act).    Yes  </w:t>
      </w:r>
      <w:r>
        <w:rPr>
          <w:sz w:val="15"/>
        </w:rPr>
        <w:t>☐    </w:t>
      </w:r>
      <w:r>
        <w:rPr>
          <w:rFonts w:ascii="inherit" w:hAnsi="inherit"/>
          <w:sz w:val="15"/>
        </w:rPr>
        <w:t>No  </w:t>
      </w:r>
      <w:r>
        <w:rPr>
          <w:rFonts w:ascii="Wingdings" w:hAnsi="Wingdings"/>
          <w:sz w:val="15"/>
        </w:rPr>
        <w:t>x</w:t>
      </w:r>
    </w:p>
    <w:p>
      <w:pPr>
        <w:pStyle w:val="TextBody"/>
        <w:spacing w:lineRule="auto" w:line="288" w:before="0" w:after="0"/>
        <w:jc w:val="center"/>
        <w:rPr>
          <w:rFonts w:ascii="inherit" w:hAnsi="inherit"/>
          <w:sz w:val="13"/>
        </w:rPr>
      </w:pPr>
      <w:r>
        <w:rPr>
          <w:rFonts w:ascii="inherit" w:hAnsi="inherit"/>
          <w:sz w:val="13"/>
        </w:rPr>
        <w:t>APPLICABLE ONLY TO CORPORATE ISSUERS:</w:t>
      </w:r>
    </w:p>
    <w:p>
      <w:pPr>
        <w:pStyle w:val="TextBody"/>
        <w:spacing w:lineRule="auto" w:line="288" w:before="0" w:after="0"/>
        <w:rPr>
          <w:rFonts w:ascii="inherit" w:hAnsi="inherit"/>
          <w:sz w:val="13"/>
        </w:rPr>
      </w:pPr>
      <w:r>
        <w:rPr>
          <w:rFonts w:ascii="inherit" w:hAnsi="inherit"/>
          <w:sz w:val="13"/>
        </w:rPr>
        <w:t>The only class of voting securities of the registrant issued and outstanding is the Class B Voting Common Stock, par value $.01 per share, all of which is owned by an affiliate of the registrant. There is no trading market for the Class B Voting Common Stock.</w:t>
      </w:r>
    </w:p>
    <w:p>
      <w:pPr>
        <w:pStyle w:val="TextBody"/>
        <w:spacing w:lineRule="auto" w:line="288" w:before="0" w:after="0"/>
        <w:rPr>
          <w:sz w:val="13"/>
        </w:rPr>
      </w:pPr>
      <w:r>
        <w:rPr>
          <w:rFonts w:ascii="inherit" w:hAnsi="inherit"/>
          <w:sz w:val="13"/>
        </w:rPr>
        <w:t>As of April 25, 2018, 51,494,246</w:t>
      </w:r>
      <w:r>
        <w:rPr>
          <w:sz w:val="13"/>
        </w:rPr>
        <w:t xml:space="preserve"> </w:t>
      </w:r>
      <w:r>
        <w:rPr>
          <w:rFonts w:ascii="inherit" w:hAnsi="inherit"/>
          <w:sz w:val="13"/>
        </w:rPr>
        <w:t>shares of the registrant’s Class A Non-voting Common Stock ("Class A Common Stock"), par value $.01 per share, and 2,970,171</w:t>
      </w:r>
      <w:r>
        <w:rPr>
          <w:sz w:val="13"/>
        </w:rPr>
        <w:t xml:space="preserve"> </w:t>
      </w:r>
      <w:r>
        <w:rPr>
          <w:rFonts w:ascii="inherit" w:hAnsi="inherit"/>
          <w:sz w:val="13"/>
        </w:rPr>
        <w:t>shares of the registrant’s Class B Voting Common Stock, par value $.01 per share, were outstanding.</w:t>
      </w:r>
    </w:p>
    <w:p>
      <w:pPr>
        <w:pStyle w:val="TextBody"/>
        <w:rPr/>
      </w:pPr>
      <w:r>
        <w:rPr/>
      </w:r>
      <w:r>
        <w:br w:type="page"/>
      </w:r>
    </w:p>
    <w:p>
      <w:pPr>
        <w:pStyle w:val="TextBody"/>
        <w:spacing w:lineRule="auto" w:line="288" w:before="0" w:after="0"/>
        <w:rPr/>
      </w:pPr>
      <w:hyperlink w:anchor="sA33FD6028AA25395924ED4406F429385">
        <w:bookmarkStart w:id="3" w:name="sA33FD6028AA25395924ED4406F429385"/>
        <w:bookmarkEnd w:id="3"/>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INDEX TO FORM 10-Q</w:t>
      </w:r>
    </w:p>
    <w:tbl>
      <w:tblPr>
        <w:tblW w:w="10205" w:type="dxa"/>
        <w:jc w:val="left"/>
        <w:tblInd w:w="0" w:type="dxa"/>
        <w:tblCellMar>
          <w:top w:w="0" w:type="dxa"/>
          <w:left w:w="0" w:type="dxa"/>
          <w:bottom w:w="0" w:type="dxa"/>
          <w:right w:w="0" w:type="dxa"/>
        </w:tblCellMar>
      </w:tblPr>
      <w:tblGrid>
        <w:gridCol w:w="9350"/>
        <w:gridCol w:w="855"/>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350" w:type="dxa"/>
            <w:tcBorders/>
            <w:shd w:fill="auto" w:val="clear"/>
            <w:vAlign w:val="center"/>
          </w:tcPr>
          <w:p>
            <w:pPr>
              <w:pStyle w:val="TableContents"/>
              <w:spacing w:before="0" w:after="0"/>
              <w:ind w:left="0" w:right="0" w:firstLine="30"/>
              <w:jc w:val="left"/>
              <w:rPr/>
            </w:pPr>
            <w:hyperlink w:anchor="sC8813165C89E58D0AD6D218FA8FA031F">
              <w:r>
                <w:rPr>
                  <w:rStyle w:val="InternetLink"/>
                  <w:rFonts w:ascii="inherit" w:hAnsi="inherit"/>
                  <w:sz w:val="17"/>
                </w:rPr>
                <w:t>PART I — FINANCIAL INFORMATION</w:t>
              </w:r>
            </w:hyperlink>
          </w:p>
        </w:tc>
        <w:tc>
          <w:tcPr>
            <w:tcW w:w="855" w:type="dxa"/>
            <w:tcBorders/>
            <w:shd w:fill="auto" w:val="clear"/>
            <w:vAlign w:val="center"/>
          </w:tcPr>
          <w:p>
            <w:pPr>
              <w:pStyle w:val="TableContents"/>
              <w:spacing w:before="0" w:after="0"/>
              <w:ind w:left="0" w:right="0" w:firstLine="30"/>
              <w:rPr/>
            </w:pPr>
            <w:r>
              <w:rPr/>
              <w:t> </w:t>
            </w:r>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420"/>
              <w:rPr/>
            </w:pPr>
            <w:r>
              <w:rPr/>
              <w:t> </w:t>
            </w:r>
          </w:p>
        </w:tc>
      </w:tr>
      <w:tr>
        <w:trPr/>
        <w:tc>
          <w:tcPr>
            <w:tcW w:w="9350" w:type="dxa"/>
            <w:tcBorders/>
            <w:shd w:fill="auto" w:val="clear"/>
            <w:vAlign w:val="center"/>
          </w:tcPr>
          <w:p>
            <w:pPr>
              <w:pStyle w:val="TableContents"/>
              <w:spacing w:before="0" w:after="0"/>
              <w:ind w:left="0" w:right="0" w:firstLine="30"/>
              <w:rPr/>
            </w:pPr>
            <w:hyperlink w:anchor="sA78133C8857F573FB81BB756A72E5820">
              <w:r>
                <w:rPr>
                  <w:rStyle w:val="InternetLink"/>
                  <w:rFonts w:ascii="inherit" w:hAnsi="inherit"/>
                  <w:i/>
                  <w:sz w:val="17"/>
                </w:rPr>
                <w:t>Item 1. Financial Statements</w:t>
              </w:r>
            </w:hyperlink>
          </w:p>
        </w:tc>
        <w:tc>
          <w:tcPr>
            <w:tcW w:w="855" w:type="dxa"/>
            <w:tcBorders/>
            <w:shd w:fill="auto" w:val="clear"/>
            <w:vAlign w:val="center"/>
          </w:tcPr>
          <w:p>
            <w:pPr>
              <w:pStyle w:val="TableContents"/>
              <w:spacing w:before="0" w:after="0"/>
              <w:ind w:left="0" w:right="0" w:firstLine="30"/>
              <w:rPr/>
            </w:pPr>
            <w:r>
              <w:rPr/>
              <w:t> </w:t>
            </w:r>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780"/>
              <w:rPr/>
            </w:pPr>
            <w:r>
              <w:rPr/>
              <w:t> </w:t>
            </w:r>
          </w:p>
        </w:tc>
      </w:tr>
      <w:tr>
        <w:trPr/>
        <w:tc>
          <w:tcPr>
            <w:tcW w:w="9350" w:type="dxa"/>
            <w:tcBorders/>
            <w:shd w:fill="auto" w:val="clear"/>
            <w:vAlign w:val="center"/>
          </w:tcPr>
          <w:p>
            <w:pPr>
              <w:pStyle w:val="TableContents"/>
              <w:spacing w:before="0" w:after="0"/>
              <w:ind w:left="0" w:right="0" w:firstLine="30"/>
              <w:jc w:val="left"/>
              <w:rPr/>
            </w:pPr>
            <w:hyperlink w:anchor="sF4E96E8F9BDA5575A5BE670192B77DFD">
              <w:r>
                <w:rPr>
                  <w:rStyle w:val="InternetLink"/>
                  <w:rFonts w:ascii="inherit" w:hAnsi="inherit"/>
                  <w:sz w:val="17"/>
                </w:rPr>
                <w:t>Condensed Consolidated Balance Sheets as of March 31, 2018 and 2017 (Unaudited) and September 30, 2017</w:t>
              </w:r>
            </w:hyperlink>
          </w:p>
        </w:tc>
        <w:tc>
          <w:tcPr>
            <w:tcW w:w="855" w:type="dxa"/>
            <w:tcBorders/>
            <w:shd w:fill="auto" w:val="clear"/>
            <w:vAlign w:val="center"/>
          </w:tcPr>
          <w:p>
            <w:pPr>
              <w:pStyle w:val="TableContents"/>
              <w:spacing w:before="0" w:after="0"/>
              <w:ind w:left="0" w:right="0" w:firstLine="30"/>
              <w:jc w:val="right"/>
              <w:rPr/>
            </w:pPr>
            <w:hyperlink w:anchor="sF4E96E8F9BDA5575A5BE670192B77DFD">
              <w:r>
                <w:rPr>
                  <w:rStyle w:val="InternetLink"/>
                  <w:rFonts w:ascii="inherit" w:hAnsi="inherit"/>
                  <w:sz w:val="17"/>
                </w:rPr>
                <w:t>1</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780"/>
              <w:rPr/>
            </w:pPr>
            <w:r>
              <w:rPr/>
              <w:t> </w:t>
            </w:r>
          </w:p>
        </w:tc>
      </w:tr>
      <w:tr>
        <w:trPr/>
        <w:tc>
          <w:tcPr>
            <w:tcW w:w="9350" w:type="dxa"/>
            <w:tcBorders/>
            <w:shd w:fill="auto" w:val="clear"/>
            <w:vAlign w:val="center"/>
          </w:tcPr>
          <w:p>
            <w:pPr>
              <w:pStyle w:val="TableContents"/>
              <w:spacing w:before="0" w:after="0"/>
              <w:ind w:left="0" w:right="0" w:firstLine="30"/>
              <w:jc w:val="left"/>
              <w:rPr/>
            </w:pPr>
            <w:hyperlink w:anchor="sD3B8089ECF13599EB419A62456C317E9">
              <w:r>
                <w:rPr>
                  <w:rStyle w:val="InternetLink"/>
                  <w:rFonts w:ascii="inherit" w:hAnsi="inherit"/>
                  <w:sz w:val="17"/>
                </w:rPr>
                <w:t>Condensed Consolidated Statements of Operations for the Three and Six Months Ended March 31, 2018 and 2017 (Unaudited)</w:t>
              </w:r>
            </w:hyperlink>
          </w:p>
        </w:tc>
        <w:tc>
          <w:tcPr>
            <w:tcW w:w="855" w:type="dxa"/>
            <w:tcBorders/>
            <w:shd w:fill="auto" w:val="clear"/>
            <w:vAlign w:val="center"/>
          </w:tcPr>
          <w:p>
            <w:pPr>
              <w:pStyle w:val="TableContents"/>
              <w:spacing w:before="0" w:after="0"/>
              <w:ind w:left="0" w:right="0" w:firstLine="30"/>
              <w:jc w:val="right"/>
              <w:rPr/>
            </w:pPr>
            <w:hyperlink w:anchor="sD3B8089ECF13599EB419A62456C317E9">
              <w:r>
                <w:rPr>
                  <w:rStyle w:val="InternetLink"/>
                  <w:rFonts w:ascii="inherit" w:hAnsi="inherit"/>
                  <w:sz w:val="17"/>
                </w:rPr>
                <w:t>2</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780"/>
              <w:rPr/>
            </w:pPr>
            <w:r>
              <w:rPr/>
              <w:t> </w:t>
            </w:r>
          </w:p>
        </w:tc>
      </w:tr>
      <w:tr>
        <w:trPr/>
        <w:tc>
          <w:tcPr>
            <w:tcW w:w="9350" w:type="dxa"/>
            <w:tcBorders/>
            <w:shd w:fill="auto" w:val="clear"/>
            <w:vAlign w:val="center"/>
          </w:tcPr>
          <w:p>
            <w:pPr>
              <w:pStyle w:val="TableContents"/>
              <w:spacing w:before="0" w:after="0"/>
              <w:ind w:left="0" w:right="0" w:firstLine="30"/>
              <w:jc w:val="left"/>
              <w:rPr/>
            </w:pPr>
            <w:hyperlink w:anchor="s8FBF0911B1045B51ADEE02CD0D15F7BD">
              <w:r>
                <w:rPr>
                  <w:rStyle w:val="InternetLink"/>
                  <w:rFonts w:ascii="inherit" w:hAnsi="inherit"/>
                  <w:sz w:val="17"/>
                </w:rPr>
                <w:t>Condensed Consolidated Statements of Comprehensive Income for the Three and Six Months Ended March 31, 2018 and 2017 (Unaudited)</w:t>
              </w:r>
            </w:hyperlink>
          </w:p>
        </w:tc>
        <w:tc>
          <w:tcPr>
            <w:tcW w:w="855" w:type="dxa"/>
            <w:tcBorders/>
            <w:shd w:fill="auto" w:val="clear"/>
            <w:vAlign w:val="center"/>
          </w:tcPr>
          <w:p>
            <w:pPr>
              <w:pStyle w:val="TableContents"/>
              <w:spacing w:before="0" w:after="0"/>
              <w:ind w:left="0" w:right="0" w:firstLine="30"/>
              <w:jc w:val="right"/>
              <w:rPr/>
            </w:pPr>
            <w:hyperlink w:anchor="s8FBF0911B1045B51ADEE02CD0D15F7BD">
              <w:r>
                <w:rPr>
                  <w:rStyle w:val="InternetLink"/>
                  <w:rFonts w:ascii="inherit" w:hAnsi="inherit"/>
                  <w:sz w:val="17"/>
                </w:rPr>
                <w:t>3</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780"/>
              <w:rPr/>
            </w:pPr>
            <w:r>
              <w:rPr/>
              <w:t> </w:t>
            </w:r>
          </w:p>
        </w:tc>
      </w:tr>
      <w:tr>
        <w:trPr/>
        <w:tc>
          <w:tcPr>
            <w:tcW w:w="9350" w:type="dxa"/>
            <w:tcBorders/>
            <w:shd w:fill="auto" w:val="clear"/>
            <w:vAlign w:val="center"/>
          </w:tcPr>
          <w:p>
            <w:pPr>
              <w:pStyle w:val="TableContents"/>
              <w:spacing w:before="0" w:after="0"/>
              <w:ind w:left="0" w:right="0" w:firstLine="30"/>
              <w:jc w:val="left"/>
              <w:rPr/>
            </w:pPr>
            <w:hyperlink w:anchor="s8FBF0911B1045B51ADEE02CD0D15F7BD">
              <w:r>
                <w:rPr>
                  <w:rStyle w:val="InternetLink"/>
                  <w:rFonts w:ascii="inherit" w:hAnsi="inherit"/>
                  <w:sz w:val="17"/>
                </w:rPr>
                <w:t>Condensed Consolidated Statements of Stockholders’ Equity for the Six Months Ended March 31, 2018 and 2017 (Unaudited)</w:t>
              </w:r>
            </w:hyperlink>
          </w:p>
        </w:tc>
        <w:tc>
          <w:tcPr>
            <w:tcW w:w="855" w:type="dxa"/>
            <w:tcBorders/>
            <w:shd w:fill="auto" w:val="clear"/>
            <w:vAlign w:val="center"/>
          </w:tcPr>
          <w:p>
            <w:pPr>
              <w:pStyle w:val="TableContents"/>
              <w:spacing w:before="0" w:after="0"/>
              <w:ind w:left="0" w:right="0" w:firstLine="30"/>
              <w:jc w:val="right"/>
              <w:rPr/>
            </w:pPr>
            <w:hyperlink w:anchor="s8FBF0911B1045B51ADEE02CD0D15F7BD">
              <w:r>
                <w:rPr>
                  <w:rStyle w:val="InternetLink"/>
                  <w:rFonts w:ascii="inherit" w:hAnsi="inherit"/>
                  <w:sz w:val="17"/>
                </w:rPr>
                <w:t>3</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780"/>
              <w:rPr/>
            </w:pPr>
            <w:r>
              <w:rPr/>
              <w:t> </w:t>
            </w:r>
          </w:p>
        </w:tc>
      </w:tr>
      <w:tr>
        <w:trPr/>
        <w:tc>
          <w:tcPr>
            <w:tcW w:w="9350" w:type="dxa"/>
            <w:tcBorders/>
            <w:shd w:fill="auto" w:val="clear"/>
            <w:vAlign w:val="center"/>
          </w:tcPr>
          <w:p>
            <w:pPr>
              <w:pStyle w:val="TableContents"/>
              <w:spacing w:before="0" w:after="0"/>
              <w:ind w:left="0" w:right="0" w:firstLine="30"/>
              <w:rPr/>
            </w:pPr>
            <w:hyperlink w:anchor="sB1066D393B825244A529978C214CD6A3">
              <w:r>
                <w:rPr>
                  <w:rStyle w:val="InternetLink"/>
                  <w:rFonts w:ascii="inherit" w:hAnsi="inherit"/>
                  <w:sz w:val="17"/>
                </w:rPr>
                <w:t>Condensed Consolidated Statements of Cash Flows for the Six Months Ended March 31, 2018 and 2017 (Unaudited)</w:t>
              </w:r>
            </w:hyperlink>
          </w:p>
        </w:tc>
        <w:tc>
          <w:tcPr>
            <w:tcW w:w="855" w:type="dxa"/>
            <w:tcBorders/>
            <w:shd w:fill="auto" w:val="clear"/>
            <w:vAlign w:val="center"/>
          </w:tcPr>
          <w:p>
            <w:pPr>
              <w:pStyle w:val="TableContents"/>
              <w:spacing w:before="0" w:after="0"/>
              <w:ind w:left="0" w:right="0" w:firstLine="30"/>
              <w:jc w:val="right"/>
              <w:rPr/>
            </w:pPr>
            <w:hyperlink w:anchor="sB1066D393B825244A529978C214CD6A3">
              <w:r>
                <w:rPr>
                  <w:rStyle w:val="InternetLink"/>
                  <w:rFonts w:ascii="inherit" w:hAnsi="inherit"/>
                  <w:sz w:val="17"/>
                </w:rPr>
                <w:t>4</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780"/>
              <w:rPr/>
            </w:pPr>
            <w:r>
              <w:rPr/>
              <w:t> </w:t>
            </w:r>
          </w:p>
        </w:tc>
      </w:tr>
      <w:tr>
        <w:trPr/>
        <w:tc>
          <w:tcPr>
            <w:tcW w:w="9350" w:type="dxa"/>
            <w:tcBorders/>
            <w:shd w:fill="auto" w:val="clear"/>
            <w:vAlign w:val="center"/>
          </w:tcPr>
          <w:p>
            <w:pPr>
              <w:pStyle w:val="TableContents"/>
              <w:spacing w:before="0" w:after="0"/>
              <w:ind w:left="0" w:right="0" w:firstLine="30"/>
              <w:rPr/>
            </w:pPr>
            <w:hyperlink w:anchor="sEC0D0F5EEEC55B9A90E2D06EE4C79E4E">
              <w:r>
                <w:rPr>
                  <w:rStyle w:val="InternetLink"/>
                  <w:rFonts w:ascii="inherit" w:hAnsi="inherit"/>
                  <w:sz w:val="17"/>
                </w:rPr>
                <w:t>Notes to Interim Condensed Consolidated Financial Statements (Unaudited)</w:t>
              </w:r>
            </w:hyperlink>
          </w:p>
        </w:tc>
        <w:tc>
          <w:tcPr>
            <w:tcW w:w="855" w:type="dxa"/>
            <w:tcBorders/>
            <w:shd w:fill="auto" w:val="clear"/>
            <w:vAlign w:val="center"/>
          </w:tcPr>
          <w:p>
            <w:pPr>
              <w:pStyle w:val="TableContents"/>
              <w:spacing w:before="0" w:after="0"/>
              <w:ind w:left="0" w:right="0" w:firstLine="30"/>
              <w:jc w:val="right"/>
              <w:rPr/>
            </w:pPr>
            <w:hyperlink w:anchor="sEC0D0F5EEEC55B9A90E2D06EE4C79E4E">
              <w:r>
                <w:rPr>
                  <w:rStyle w:val="InternetLink"/>
                  <w:rFonts w:ascii="inherit" w:hAnsi="inherit"/>
                  <w:sz w:val="17"/>
                </w:rPr>
                <w:t>5</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420"/>
              <w:rPr/>
            </w:pPr>
            <w:r>
              <w:rPr/>
              <w:t> </w:t>
            </w:r>
          </w:p>
        </w:tc>
      </w:tr>
      <w:tr>
        <w:trPr/>
        <w:tc>
          <w:tcPr>
            <w:tcW w:w="9350" w:type="dxa"/>
            <w:tcBorders/>
            <w:shd w:fill="auto" w:val="clear"/>
            <w:vAlign w:val="center"/>
          </w:tcPr>
          <w:p>
            <w:pPr>
              <w:pStyle w:val="TableContents"/>
              <w:spacing w:before="0" w:after="0"/>
              <w:ind w:left="0" w:right="0" w:firstLine="30"/>
              <w:rPr/>
            </w:pPr>
            <w:hyperlink w:anchor="s5046763D502E5E65AFBF1FF3B9D86937">
              <w:r>
                <w:rPr>
                  <w:rStyle w:val="InternetLink"/>
                  <w:rFonts w:ascii="inherit" w:hAnsi="inherit"/>
                  <w:i/>
                  <w:sz w:val="17"/>
                </w:rPr>
                <w:t>Item 2. Management’s Discussion and Analysis of Financial Condition and Results of Operations</w:t>
              </w:r>
            </w:hyperlink>
          </w:p>
        </w:tc>
        <w:tc>
          <w:tcPr>
            <w:tcW w:w="855" w:type="dxa"/>
            <w:tcBorders/>
            <w:shd w:fill="auto" w:val="clear"/>
            <w:vAlign w:val="center"/>
          </w:tcPr>
          <w:p>
            <w:pPr>
              <w:pStyle w:val="TableContents"/>
              <w:spacing w:before="0" w:after="0"/>
              <w:ind w:left="0" w:right="0" w:firstLine="30"/>
              <w:jc w:val="right"/>
              <w:rPr/>
            </w:pPr>
            <w:hyperlink w:anchor="s5046763D502E5E65AFBF1FF3B9D86937">
              <w:r>
                <w:rPr>
                  <w:rStyle w:val="InternetLink"/>
                  <w:rFonts w:ascii="inherit" w:hAnsi="inherit"/>
                  <w:sz w:val="17"/>
                </w:rPr>
                <w:t>21</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420"/>
              <w:rPr/>
            </w:pPr>
            <w:r>
              <w:rPr/>
              <w:t> </w:t>
            </w:r>
          </w:p>
        </w:tc>
      </w:tr>
      <w:tr>
        <w:trPr/>
        <w:tc>
          <w:tcPr>
            <w:tcW w:w="9350" w:type="dxa"/>
            <w:tcBorders/>
            <w:shd w:fill="auto" w:val="clear"/>
            <w:vAlign w:val="center"/>
          </w:tcPr>
          <w:p>
            <w:pPr>
              <w:pStyle w:val="TableContents"/>
              <w:spacing w:before="0" w:after="0"/>
              <w:ind w:left="0" w:right="0" w:firstLine="30"/>
              <w:rPr/>
            </w:pPr>
            <w:hyperlink w:anchor="sD36231BBEF7550948668DB90A502B97A">
              <w:r>
                <w:rPr>
                  <w:rStyle w:val="InternetLink"/>
                  <w:rFonts w:ascii="inherit" w:hAnsi="inherit"/>
                  <w:i/>
                  <w:sz w:val="17"/>
                </w:rPr>
                <w:t>Item 3. Quantitative and Qualitative Disclosures about Market Risk</w:t>
              </w:r>
            </w:hyperlink>
          </w:p>
        </w:tc>
        <w:tc>
          <w:tcPr>
            <w:tcW w:w="855" w:type="dxa"/>
            <w:tcBorders/>
            <w:shd w:fill="auto" w:val="clear"/>
            <w:vAlign w:val="center"/>
          </w:tcPr>
          <w:p>
            <w:pPr>
              <w:pStyle w:val="TableContents"/>
              <w:spacing w:before="0" w:after="0"/>
              <w:ind w:left="0" w:right="0" w:firstLine="30"/>
              <w:jc w:val="right"/>
              <w:rPr/>
            </w:pPr>
            <w:hyperlink w:anchor="sD36231BBEF7550948668DB90A502B97A">
              <w:r>
                <w:rPr>
                  <w:rStyle w:val="InternetLink"/>
                  <w:rFonts w:ascii="inherit" w:hAnsi="inherit"/>
                  <w:sz w:val="17"/>
                </w:rPr>
                <w:t>39</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420"/>
              <w:rPr/>
            </w:pPr>
            <w:r>
              <w:rPr/>
              <w:t> </w:t>
            </w:r>
          </w:p>
        </w:tc>
      </w:tr>
      <w:tr>
        <w:trPr/>
        <w:tc>
          <w:tcPr>
            <w:tcW w:w="9350" w:type="dxa"/>
            <w:tcBorders/>
            <w:shd w:fill="auto" w:val="clear"/>
            <w:vAlign w:val="center"/>
          </w:tcPr>
          <w:p>
            <w:pPr>
              <w:pStyle w:val="TableContents"/>
              <w:spacing w:before="0" w:after="0"/>
              <w:ind w:left="0" w:right="0" w:firstLine="30"/>
              <w:rPr/>
            </w:pPr>
            <w:hyperlink w:anchor="s502B6FD536875DF8B6A6902DD0F746EB">
              <w:r>
                <w:rPr>
                  <w:rStyle w:val="InternetLink"/>
                  <w:rFonts w:ascii="inherit" w:hAnsi="inherit"/>
                  <w:i/>
                  <w:sz w:val="17"/>
                </w:rPr>
                <w:t>Item 4. Controls and Procedures</w:t>
              </w:r>
            </w:hyperlink>
          </w:p>
        </w:tc>
        <w:tc>
          <w:tcPr>
            <w:tcW w:w="855" w:type="dxa"/>
            <w:tcBorders/>
            <w:shd w:fill="auto" w:val="clear"/>
            <w:vAlign w:val="center"/>
          </w:tcPr>
          <w:p>
            <w:pPr>
              <w:pStyle w:val="TableContents"/>
              <w:spacing w:before="0" w:after="0"/>
              <w:ind w:left="0" w:right="0" w:firstLine="30"/>
              <w:jc w:val="right"/>
              <w:rPr/>
            </w:pPr>
            <w:hyperlink w:anchor="s502B6FD536875DF8B6A6902DD0F746EB">
              <w:r>
                <w:rPr>
                  <w:rStyle w:val="InternetLink"/>
                  <w:rFonts w:ascii="inherit" w:hAnsi="inherit"/>
                  <w:sz w:val="17"/>
                </w:rPr>
                <w:t>39</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30"/>
              <w:rPr/>
            </w:pPr>
            <w:r>
              <w:rPr/>
              <w:t> </w:t>
            </w:r>
          </w:p>
        </w:tc>
      </w:tr>
      <w:tr>
        <w:trPr/>
        <w:tc>
          <w:tcPr>
            <w:tcW w:w="9350" w:type="dxa"/>
            <w:tcBorders/>
            <w:shd w:fill="auto" w:val="clear"/>
            <w:vAlign w:val="center"/>
          </w:tcPr>
          <w:p>
            <w:pPr>
              <w:pStyle w:val="TableContents"/>
              <w:spacing w:before="0" w:after="0"/>
              <w:ind w:left="0" w:right="0" w:firstLine="30"/>
              <w:rPr/>
            </w:pPr>
            <w:hyperlink w:anchor="sD869217F2B1E5294A71D86E3682F85BD">
              <w:r>
                <w:rPr>
                  <w:rStyle w:val="InternetLink"/>
                  <w:rFonts w:ascii="inherit" w:hAnsi="inherit"/>
                  <w:sz w:val="17"/>
                </w:rPr>
                <w:t>PART II — OTHER INFORMATION</w:t>
              </w:r>
            </w:hyperlink>
          </w:p>
        </w:tc>
        <w:tc>
          <w:tcPr>
            <w:tcW w:w="855" w:type="dxa"/>
            <w:tcBorders/>
            <w:shd w:fill="auto" w:val="clear"/>
            <w:vAlign w:val="center"/>
          </w:tcPr>
          <w:p>
            <w:pPr>
              <w:pStyle w:val="TableContents"/>
              <w:spacing w:before="0" w:after="0"/>
              <w:ind w:left="0" w:right="0" w:firstLine="30"/>
              <w:rPr/>
            </w:pPr>
            <w:r>
              <w:rPr/>
              <w:t> </w:t>
            </w:r>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420"/>
              <w:rPr/>
            </w:pPr>
            <w:r>
              <w:rPr/>
              <w:t> </w:t>
            </w:r>
          </w:p>
        </w:tc>
      </w:tr>
      <w:tr>
        <w:trPr/>
        <w:tc>
          <w:tcPr>
            <w:tcW w:w="9350" w:type="dxa"/>
            <w:tcBorders/>
            <w:shd w:fill="auto" w:val="clear"/>
            <w:vAlign w:val="center"/>
          </w:tcPr>
          <w:p>
            <w:pPr>
              <w:pStyle w:val="TableContents"/>
              <w:spacing w:before="0" w:after="0"/>
              <w:ind w:left="0" w:right="0" w:firstLine="30"/>
              <w:rPr/>
            </w:pPr>
            <w:hyperlink w:anchor="s2A510CB7B260524F8E4D2E6B6D40175B">
              <w:r>
                <w:rPr>
                  <w:rStyle w:val="InternetLink"/>
                  <w:rFonts w:ascii="inherit" w:hAnsi="inherit"/>
                  <w:i/>
                  <w:sz w:val="17"/>
                </w:rPr>
                <w:t>Item 1. Legal Proceedings</w:t>
              </w:r>
            </w:hyperlink>
          </w:p>
        </w:tc>
        <w:tc>
          <w:tcPr>
            <w:tcW w:w="855" w:type="dxa"/>
            <w:tcBorders/>
            <w:shd w:fill="auto" w:val="clear"/>
            <w:vAlign w:val="center"/>
          </w:tcPr>
          <w:p>
            <w:pPr>
              <w:pStyle w:val="TableContents"/>
              <w:spacing w:before="0" w:after="0"/>
              <w:ind w:left="0" w:right="0" w:firstLine="30"/>
              <w:jc w:val="right"/>
              <w:rPr/>
            </w:pPr>
            <w:hyperlink w:anchor="s2A510CB7B260524F8E4D2E6B6D40175B">
              <w:r>
                <w:rPr>
                  <w:rStyle w:val="InternetLink"/>
                  <w:rFonts w:ascii="inherit" w:hAnsi="inherit"/>
                  <w:sz w:val="17"/>
                </w:rPr>
                <w:t>40</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420"/>
              <w:rPr/>
            </w:pPr>
            <w:r>
              <w:rPr/>
              <w:t> </w:t>
            </w:r>
          </w:p>
        </w:tc>
      </w:tr>
      <w:tr>
        <w:trPr/>
        <w:tc>
          <w:tcPr>
            <w:tcW w:w="9350" w:type="dxa"/>
            <w:tcBorders/>
            <w:shd w:fill="auto" w:val="clear"/>
            <w:vAlign w:val="center"/>
          </w:tcPr>
          <w:p>
            <w:pPr>
              <w:pStyle w:val="TableContents"/>
              <w:spacing w:before="0" w:after="0"/>
              <w:ind w:left="0" w:right="0" w:firstLine="30"/>
              <w:rPr/>
            </w:pPr>
            <w:hyperlink w:anchor="s9ABEBCDB207859BA83188ECE0FB3ED68">
              <w:r>
                <w:rPr>
                  <w:rStyle w:val="InternetLink"/>
                  <w:rFonts w:ascii="inherit" w:hAnsi="inherit"/>
                  <w:i/>
                  <w:sz w:val="17"/>
                </w:rPr>
                <w:t>Item 1A. Risk Factors</w:t>
              </w:r>
            </w:hyperlink>
          </w:p>
        </w:tc>
        <w:tc>
          <w:tcPr>
            <w:tcW w:w="855" w:type="dxa"/>
            <w:tcBorders/>
            <w:shd w:fill="auto" w:val="clear"/>
            <w:vAlign w:val="center"/>
          </w:tcPr>
          <w:p>
            <w:pPr>
              <w:pStyle w:val="TableContents"/>
              <w:spacing w:before="0" w:after="0"/>
              <w:ind w:left="0" w:right="0" w:firstLine="30"/>
              <w:jc w:val="right"/>
              <w:rPr/>
            </w:pPr>
            <w:hyperlink w:anchor="s9ABEBCDB207859BA83188ECE0FB3ED68">
              <w:r>
                <w:rPr>
                  <w:rStyle w:val="InternetLink"/>
                  <w:rFonts w:ascii="inherit" w:hAnsi="inherit"/>
                  <w:sz w:val="17"/>
                </w:rPr>
                <w:t>40</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420"/>
              <w:rPr/>
            </w:pPr>
            <w:r>
              <w:rPr/>
              <w:t> </w:t>
            </w:r>
          </w:p>
        </w:tc>
      </w:tr>
      <w:tr>
        <w:trPr/>
        <w:tc>
          <w:tcPr>
            <w:tcW w:w="9350" w:type="dxa"/>
            <w:tcBorders/>
            <w:shd w:fill="auto" w:val="clear"/>
            <w:vAlign w:val="center"/>
          </w:tcPr>
          <w:p>
            <w:pPr>
              <w:pStyle w:val="TableContents"/>
              <w:spacing w:before="0" w:after="0"/>
              <w:ind w:left="0" w:right="0" w:firstLine="30"/>
              <w:rPr/>
            </w:pPr>
            <w:hyperlink w:anchor="sc621556d3f0b4e8488c35f904db2b676">
              <w:r>
                <w:rPr>
                  <w:rStyle w:val="InternetLink"/>
                  <w:rFonts w:ascii="inherit" w:hAnsi="inherit"/>
                  <w:i/>
                  <w:sz w:val="17"/>
                </w:rPr>
                <w:t>Item 5. Other Information</w:t>
              </w:r>
            </w:hyperlink>
          </w:p>
        </w:tc>
        <w:tc>
          <w:tcPr>
            <w:tcW w:w="855" w:type="dxa"/>
            <w:tcBorders/>
            <w:shd w:fill="auto" w:val="clear"/>
            <w:vAlign w:val="center"/>
          </w:tcPr>
          <w:p>
            <w:pPr>
              <w:pStyle w:val="TableContents"/>
              <w:spacing w:before="0" w:after="0"/>
              <w:ind w:left="0" w:right="0" w:firstLine="30"/>
              <w:jc w:val="right"/>
              <w:rPr/>
            </w:pPr>
            <w:hyperlink w:anchor="sc621556d3f0b4e8488c35f904db2b676">
              <w:r>
                <w:rPr>
                  <w:rStyle w:val="InternetLink"/>
                  <w:rFonts w:ascii="inherit" w:hAnsi="inherit"/>
                  <w:sz w:val="17"/>
                </w:rPr>
                <w:t>40</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420"/>
              <w:rPr/>
            </w:pPr>
            <w:r>
              <w:rPr/>
              <w:t> </w:t>
            </w:r>
          </w:p>
        </w:tc>
      </w:tr>
      <w:tr>
        <w:trPr/>
        <w:tc>
          <w:tcPr>
            <w:tcW w:w="9350" w:type="dxa"/>
            <w:tcBorders/>
            <w:shd w:fill="auto" w:val="clear"/>
            <w:vAlign w:val="center"/>
          </w:tcPr>
          <w:p>
            <w:pPr>
              <w:pStyle w:val="TableContents"/>
              <w:spacing w:before="0" w:after="0"/>
              <w:ind w:left="0" w:right="0" w:firstLine="30"/>
              <w:rPr/>
            </w:pPr>
            <w:hyperlink w:anchor="s00E1545D8F4A5E3A89F1AA877CFD30F4">
              <w:r>
                <w:rPr>
                  <w:rStyle w:val="InternetLink"/>
                  <w:rFonts w:ascii="inherit" w:hAnsi="inherit"/>
                  <w:i/>
                  <w:sz w:val="17"/>
                </w:rPr>
                <w:t>Item 6. Exhibits</w:t>
              </w:r>
            </w:hyperlink>
          </w:p>
        </w:tc>
        <w:tc>
          <w:tcPr>
            <w:tcW w:w="855" w:type="dxa"/>
            <w:tcBorders/>
            <w:shd w:fill="auto" w:val="clear"/>
            <w:vAlign w:val="center"/>
          </w:tcPr>
          <w:p>
            <w:pPr>
              <w:pStyle w:val="TableContents"/>
              <w:spacing w:before="0" w:after="0"/>
              <w:ind w:left="0" w:right="0" w:firstLine="30"/>
              <w:jc w:val="right"/>
              <w:rPr/>
            </w:pPr>
            <w:hyperlink w:anchor="s00E1545D8F4A5E3A89F1AA877CFD30F4">
              <w:r>
                <w:rPr>
                  <w:rStyle w:val="InternetLink"/>
                  <w:rFonts w:ascii="inherit" w:hAnsi="inherit"/>
                  <w:sz w:val="17"/>
                </w:rPr>
                <w:t>41</w:t>
              </w:r>
            </w:hyperlink>
          </w:p>
        </w:tc>
      </w:tr>
      <w:tr>
        <w:trPr/>
        <w:tc>
          <w:tcPr>
            <w:tcW w:w="9350" w:type="dxa"/>
            <w:tcBorders/>
            <w:shd w:fill="auto" w:val="clear"/>
            <w:vAlign w:val="center"/>
          </w:tcPr>
          <w:p>
            <w:pPr>
              <w:pStyle w:val="TableContents"/>
              <w:spacing w:before="0" w:after="0"/>
              <w:ind w:left="0" w:right="0" w:firstLine="30"/>
              <w:rPr/>
            </w:pPr>
            <w:r>
              <w:rPr/>
              <w:t> </w:t>
            </w:r>
          </w:p>
        </w:tc>
        <w:tc>
          <w:tcPr>
            <w:tcW w:w="855" w:type="dxa"/>
            <w:tcBorders/>
            <w:shd w:fill="auto" w:val="clear"/>
            <w:vAlign w:val="center"/>
          </w:tcPr>
          <w:p>
            <w:pPr>
              <w:pStyle w:val="TableContents"/>
              <w:spacing w:before="0" w:after="0"/>
              <w:ind w:left="0" w:right="0" w:firstLine="30"/>
              <w:rPr/>
            </w:pPr>
            <w:r>
              <w:rPr/>
              <w:t> </w:t>
            </w:r>
          </w:p>
        </w:tc>
      </w:tr>
      <w:tr>
        <w:trPr/>
        <w:tc>
          <w:tcPr>
            <w:tcW w:w="9350" w:type="dxa"/>
            <w:tcBorders/>
            <w:shd w:fill="auto" w:val="clear"/>
            <w:vAlign w:val="center"/>
          </w:tcPr>
          <w:p>
            <w:pPr>
              <w:pStyle w:val="TableContents"/>
              <w:spacing w:before="0" w:after="0"/>
              <w:ind w:left="0" w:right="0" w:firstLine="30"/>
              <w:rPr/>
            </w:pPr>
            <w:hyperlink w:anchor="sD79079F847B257CA9C7A01B6345F75BA">
              <w:r>
                <w:rPr>
                  <w:rStyle w:val="InternetLink"/>
                  <w:rFonts w:ascii="inherit" w:hAnsi="inherit"/>
                  <w:sz w:val="17"/>
                </w:rPr>
                <w:t>SIGNATURES</w:t>
              </w:r>
            </w:hyperlink>
          </w:p>
        </w:tc>
        <w:tc>
          <w:tcPr>
            <w:tcW w:w="855" w:type="dxa"/>
            <w:tcBorders/>
            <w:shd w:fill="auto" w:val="clear"/>
            <w:vAlign w:val="center"/>
          </w:tcPr>
          <w:p>
            <w:pPr>
              <w:pStyle w:val="TableContents"/>
              <w:spacing w:before="0" w:after="0"/>
              <w:jc w:val="right"/>
              <w:rPr/>
            </w:pPr>
            <w:hyperlink w:anchor="sD79079F847B257CA9C7A01B6345F75BA">
              <w:r>
                <w:rPr>
                  <w:rStyle w:val="InternetLink"/>
                  <w:rFonts w:ascii="inherit" w:hAnsi="inherit"/>
                  <w:sz w:val="17"/>
                </w:rPr>
                <w:t>42</w:t>
              </w:r>
            </w:hyperlink>
          </w:p>
        </w:tc>
      </w:tr>
    </w:tbl>
    <w:p>
      <w:pPr>
        <w:pStyle w:val="TextBody"/>
        <w:rPr/>
      </w:pPr>
      <w:r>
        <w:rPr/>
      </w:r>
      <w:r>
        <w:br w:type="page"/>
      </w:r>
    </w:p>
    <w:p>
      <w:pPr>
        <w:pStyle w:val="TextBody"/>
        <w:spacing w:lineRule="auto" w:line="288" w:before="0" w:after="0"/>
        <w:rPr/>
      </w:pPr>
      <w:hyperlink w:anchor="sA33FD6028AA25395924ED4406F429385">
        <w:bookmarkStart w:id="4" w:name="sC8813165C89E58D0AD6D218FA8FA031F"/>
        <w:bookmarkEnd w:id="4"/>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PART I — FINANCIAL INFORMATION</w:t>
      </w:r>
    </w:p>
    <w:p>
      <w:pPr>
        <w:pStyle w:val="TextBody"/>
        <w:spacing w:lineRule="auto" w:line="288" w:before="0" w:after="0"/>
        <w:rPr>
          <w:rFonts w:ascii="inherit" w:hAnsi="inherit"/>
          <w:b/>
          <w:sz w:val="17"/>
        </w:rPr>
      </w:pPr>
      <w:bookmarkStart w:id="5" w:name="sA78133C8857F573FB81BB756A72E5820"/>
      <w:bookmarkEnd w:id="5"/>
      <w:r>
        <w:rPr>
          <w:rFonts w:ascii="inherit" w:hAnsi="inherit"/>
          <w:b/>
          <w:sz w:val="17"/>
        </w:rPr>
        <w:t>ITEM 1. FINANCIAL STATEMENTS</w:t>
      </w:r>
    </w:p>
    <w:p>
      <w:pPr>
        <w:pStyle w:val="Normal"/>
        <w:spacing w:before="0" w:after="0"/>
        <w:ind w:left="0" w:right="0" w:hanging="0"/>
        <w:rPr>
          <w:sz w:val="4"/>
          <w:szCs w:val="4"/>
        </w:rPr>
      </w:pPr>
      <w:r>
        <w:rPr>
          <w:sz w:val="4"/>
          <w:szCs w:val="4"/>
        </w:rPr>
      </w:r>
      <w:bookmarkStart w:id="6" w:name="sF4E96E8F9BDA5575A5BE670192B77DFD"/>
      <w:bookmarkStart w:id="7" w:name="sF4E96E8F9BDA5575A5BE670192B77DFD"/>
      <w:bookmarkEnd w:id="7"/>
    </w:p>
    <w:tbl>
      <w:tblPr>
        <w:tblW w:w="10205" w:type="dxa"/>
        <w:jc w:val="left"/>
        <w:tblInd w:w="0" w:type="dxa"/>
        <w:tblCellMar>
          <w:top w:w="0" w:type="dxa"/>
          <w:left w:w="0" w:type="dxa"/>
          <w:bottom w:w="0" w:type="dxa"/>
          <w:right w:w="0" w:type="dxa"/>
        </w:tblCellMar>
      </w:tblPr>
      <w:tblGrid>
        <w:gridCol w:w="6515"/>
        <w:gridCol w:w="110"/>
        <w:gridCol w:w="740"/>
        <w:gridCol w:w="110"/>
        <w:gridCol w:w="90"/>
        <w:gridCol w:w="110"/>
        <w:gridCol w:w="605"/>
        <w:gridCol w:w="110"/>
        <w:gridCol w:w="90"/>
        <w:gridCol w:w="110"/>
        <w:gridCol w:w="740"/>
        <w:gridCol w:w="875"/>
      </w:tblGrid>
      <w:tr>
        <w:trPr/>
        <w:tc>
          <w:tcPr>
            <w:tcW w:w="10205" w:type="dxa"/>
            <w:gridSpan w:val="12"/>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 xml:space="preserve">EZCORP, Inc. </w:t>
            </w:r>
          </w:p>
          <w:p>
            <w:pPr>
              <w:pStyle w:val="TableContents"/>
              <w:spacing w:lineRule="auto" w:line="288" w:before="0" w:after="0"/>
              <w:jc w:val="center"/>
              <w:rPr>
                <w:rFonts w:ascii="inherit" w:hAnsi="inherit"/>
                <w:b/>
                <w:sz w:val="15"/>
              </w:rPr>
            </w:pPr>
            <w:r>
              <w:rPr>
                <w:rFonts w:ascii="inherit" w:hAnsi="inherit"/>
                <w:b/>
                <w:sz w:val="15"/>
              </w:rPr>
              <w:t>CONDENSED CONSOLIDATED BALANCE SHEETS</w:t>
            </w:r>
          </w:p>
          <w:p>
            <w:pPr>
              <w:pStyle w:val="TableContents"/>
              <w:spacing w:lineRule="auto" w:line="288" w:before="0" w:after="0"/>
              <w:jc w:val="center"/>
              <w:rPr>
                <w:rFonts w:ascii="inherit" w:hAnsi="inherit"/>
                <w:i/>
                <w:sz w:val="15"/>
              </w:rPr>
            </w:pPr>
            <w:r>
              <w:rPr>
                <w:rFonts w:ascii="inherit" w:hAnsi="inherit"/>
                <w:i/>
                <w:sz w:val="15"/>
              </w:rPr>
              <w:t>(in thousands, except share and per share amounts)</w:t>
            </w:r>
          </w:p>
        </w:tc>
      </w:tr>
      <w:tr>
        <w:trPr/>
        <w:tc>
          <w:tcPr>
            <w:tcW w:w="651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15" w:type="dxa"/>
            <w:tcBorders/>
            <w:shd w:fill="auto" w:val="clear"/>
            <w:vAlign w:val="center"/>
          </w:tcPr>
          <w:p>
            <w:pPr>
              <w:pStyle w:val="TableContents"/>
              <w:spacing w:before="0" w:after="0"/>
              <w:ind w:left="0" w:right="0" w:firstLine="30"/>
              <w:rPr/>
            </w:pPr>
            <w:r>
              <w:rPr/>
              <w:t> </w:t>
            </w:r>
          </w:p>
        </w:tc>
        <w:tc>
          <w:tcPr>
            <w:tcW w:w="9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 xml:space="preserve">March 31, </w:t>
              <w:br/>
              <w:t>2018</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 xml:space="preserve">March 31, </w:t>
              <w:br/>
              <w:t>2017</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 xml:space="preserve">September 30, </w:t>
              <w:br/>
              <w:t>2017</w:t>
            </w:r>
          </w:p>
        </w:tc>
      </w:tr>
      <w:tr>
        <w:trPr/>
        <w:tc>
          <w:tcPr>
            <w:tcW w:w="6515" w:type="dxa"/>
            <w:tcBorders/>
            <w:shd w:fill="auto" w:val="clear"/>
            <w:vAlign w:val="center"/>
          </w:tcPr>
          <w:p>
            <w:pPr>
              <w:pStyle w:val="TableContents"/>
              <w:spacing w:before="0" w:after="0"/>
              <w:ind w:left="0" w:right="0" w:firstLine="30"/>
              <w:rPr/>
            </w:pPr>
            <w:r>
              <w:rPr/>
              <w:t> </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
              <w:rPr/>
            </w:pPr>
            <w:r>
              <w:rPr/>
              <w:t> </w:t>
            </w:r>
          </w:p>
        </w:tc>
      </w:tr>
      <w:tr>
        <w:trPr/>
        <w:tc>
          <w:tcPr>
            <w:tcW w:w="6515" w:type="dxa"/>
            <w:tcBorders/>
            <w:shd w:fill="auto" w:val="clear"/>
            <w:vAlign w:val="center"/>
          </w:tcPr>
          <w:p>
            <w:pPr>
              <w:pStyle w:val="TableContents"/>
              <w:spacing w:before="0" w:after="0"/>
              <w:ind w:left="0" w:right="0" w:firstLine="30"/>
              <w:rPr/>
            </w:pPr>
            <w:r>
              <w:rPr/>
              <w:t> </w:t>
            </w:r>
          </w:p>
        </w:tc>
        <w:tc>
          <w:tcPr>
            <w:tcW w:w="1875" w:type="dxa"/>
            <w:gridSpan w:val="7"/>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(Unaudited)</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
              <w:rPr/>
            </w:pPr>
            <w:r>
              <w:rPr/>
              <w:t> </w:t>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Assets:</w:t>
            </w:r>
          </w:p>
        </w:tc>
        <w:tc>
          <w:tcPr>
            <w:tcW w:w="96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5" w:type="dxa"/>
            <w:gridSpan w:val="3"/>
            <w:tcBorders/>
            <w:shd w:fill="CCEEFF" w:val="clear"/>
            <w:vAlign w:val="center"/>
          </w:tcPr>
          <w:p>
            <w:pPr>
              <w:pStyle w:val="TableContents"/>
              <w:spacing w:before="0" w:after="0"/>
              <w:ind w:left="0" w:right="0" w:firstLine="300"/>
              <w:rPr/>
            </w:pPr>
            <w:r>
              <w:rPr/>
              <w:t> </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assets:</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540"/>
              <w:rPr/>
            </w:pPr>
            <w:r>
              <w:rPr/>
              <w:t> </w:t>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w:t>
            </w:r>
          </w:p>
        </w:tc>
        <w:tc>
          <w:tcPr>
            <w:tcW w:w="11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CCEEFF" w:val="clear"/>
            <w:vAlign w:val="center"/>
          </w:tcPr>
          <w:p>
            <w:pPr>
              <w:pStyle w:val="TableContents"/>
              <w:spacing w:before="0" w:after="0"/>
              <w:jc w:val="right"/>
              <w:rPr>
                <w:rFonts w:ascii="inherit" w:hAnsi="inherit"/>
                <w:sz w:val="13"/>
              </w:rPr>
            </w:pPr>
            <w:r>
              <w:rPr>
                <w:rFonts w:ascii="inherit" w:hAnsi="inherit"/>
                <w:sz w:val="13"/>
              </w:rPr>
              <w:t>159,912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shd w:fill="CCEEFF" w:val="clear"/>
            <w:vAlign w:val="center"/>
          </w:tcPr>
          <w:p>
            <w:pPr>
              <w:pStyle w:val="TableContents"/>
              <w:spacing w:before="0" w:after="0"/>
              <w:jc w:val="right"/>
              <w:rPr>
                <w:rFonts w:ascii="inherit" w:hAnsi="inherit"/>
                <w:sz w:val="13"/>
              </w:rPr>
            </w:pPr>
            <w:r>
              <w:rPr>
                <w:rFonts w:ascii="inherit" w:hAnsi="inherit"/>
                <w:sz w:val="13"/>
              </w:rPr>
              <w:t>120,099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CCEEFF" w:val="clear"/>
            <w:vAlign w:val="center"/>
          </w:tcPr>
          <w:p>
            <w:pPr>
              <w:pStyle w:val="TableContents"/>
              <w:spacing w:before="0" w:after="0"/>
              <w:jc w:val="right"/>
              <w:rPr>
                <w:rFonts w:ascii="inherit" w:hAnsi="inherit"/>
                <w:sz w:val="13"/>
              </w:rPr>
            </w:pPr>
            <w:r>
              <w:rPr>
                <w:rFonts w:ascii="inherit" w:hAnsi="inherit"/>
                <w:sz w:val="13"/>
              </w:rPr>
              <w:t>164,393</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Pawn loans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159,410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143,267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169,242</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 receivable, net</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30,493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27,028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31,548</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158,642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137,008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154,411</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Notes receivable, net</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38,091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29,978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32,598</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and other current assets</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29,222</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31,011</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28,765</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assets</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575,770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488,391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580,957</w:t>
            </w:r>
          </w:p>
        </w:tc>
        <w:tc>
          <w:tcPr>
            <w:tcW w:w="87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Investment in unconsolidated affiliate</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46,509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38,334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43,319</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Property and equipment, net</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64,833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53,630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57,959</w:t>
            </w:r>
          </w:p>
        </w:tc>
        <w:tc>
          <w:tcPr>
            <w:tcW w:w="87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Goodwill</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289,438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254,217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254,760</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Intangible assets, net</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45,728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31,768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32,420</w:t>
            </w:r>
          </w:p>
        </w:tc>
        <w:tc>
          <w:tcPr>
            <w:tcW w:w="87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Non-current notes receivable,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18,660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40,319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28,377</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tax asset, net</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13,842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37,134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16,856</w:t>
            </w:r>
          </w:p>
        </w:tc>
        <w:tc>
          <w:tcPr>
            <w:tcW w:w="87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assets, net</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19,773</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18,174</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9,715</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 xml:space="preserve">Total assets </w:t>
            </w:r>
          </w:p>
        </w:tc>
        <w:tc>
          <w:tcPr>
            <w:tcW w:w="11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1,074,553</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961,967</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1,024,363</w:t>
            </w:r>
          </w:p>
        </w:tc>
        <w:tc>
          <w:tcPr>
            <w:tcW w:w="8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rPr/>
            </w:pPr>
            <w:r>
              <w:rPr/>
              <w:t> </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
              <w:rPr/>
            </w:pPr>
            <w:r>
              <w:rPr/>
              <w:t> </w:t>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Liabilities and equity:</w:t>
            </w:r>
          </w:p>
        </w:tc>
        <w:tc>
          <w:tcPr>
            <w:tcW w:w="96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5" w:type="dxa"/>
            <w:gridSpan w:val="3"/>
            <w:tcBorders/>
            <w:shd w:fill="CCEEFF" w:val="clear"/>
            <w:vAlign w:val="center"/>
          </w:tcPr>
          <w:p>
            <w:pPr>
              <w:pStyle w:val="TableContents"/>
              <w:spacing w:before="0" w:after="0"/>
              <w:ind w:left="0" w:right="0" w:firstLine="300"/>
              <w:rPr/>
            </w:pPr>
            <w:r>
              <w:rPr/>
              <w:t> </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liabilities:</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540"/>
              <w:rPr/>
            </w:pPr>
            <w:r>
              <w:rPr/>
              <w:t> </w:t>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Current maturities of long-term debt, net (Note 6)</w:t>
            </w:r>
          </w:p>
        </w:tc>
        <w:tc>
          <w:tcPr>
            <w:tcW w:w="11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CCEEFF" w:val="clear"/>
            <w:vAlign w:val="center"/>
          </w:tcPr>
          <w:p>
            <w:pPr>
              <w:pStyle w:val="TableContents"/>
              <w:spacing w:before="0" w:after="0"/>
              <w:jc w:val="right"/>
              <w:rPr>
                <w:rFonts w:ascii="inherit" w:hAnsi="inherit"/>
                <w:sz w:val="13"/>
              </w:rPr>
            </w:pPr>
            <w:r>
              <w:rPr>
                <w:rFonts w:ascii="inherit" w:hAnsi="inherit"/>
                <w:sz w:val="13"/>
              </w:rPr>
              <w:t>103,287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CCEEFF" w:val="clear"/>
            <w:vAlign w:val="center"/>
          </w:tcPr>
          <w:p>
            <w:pPr>
              <w:pStyle w:val="TableContents"/>
              <w:spacing w:before="0" w:after="0"/>
              <w:jc w:val="right"/>
              <w:rPr/>
            </w:pPr>
            <w:r>
              <w:rPr/>
              <w:t>—</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accrued expenses and other current liabilities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60,689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62,339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61,543</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12,225</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10,992</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11,032</w:t>
            </w:r>
          </w:p>
        </w:tc>
        <w:tc>
          <w:tcPr>
            <w:tcW w:w="87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liabilities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176,201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73,331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72,575</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Long-term debt, net</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198,338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266,724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284,807</w:t>
            </w:r>
          </w:p>
        </w:tc>
        <w:tc>
          <w:tcPr>
            <w:tcW w:w="87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long-term liabilities</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11,884</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8,448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7,055</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386,423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348,503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364,437</w:t>
            </w:r>
          </w:p>
        </w:tc>
        <w:tc>
          <w:tcPr>
            <w:tcW w:w="87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Commitments and contingencies (Note 8)</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Stockholders’ equity:</w:t>
            </w:r>
          </w:p>
        </w:tc>
        <w:tc>
          <w:tcPr>
            <w:tcW w:w="96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5" w:type="dxa"/>
            <w:gridSpan w:val="3"/>
            <w:tcBorders/>
            <w:shd w:fill="CCEEFF" w:val="clear"/>
            <w:vAlign w:val="center"/>
          </w:tcPr>
          <w:p>
            <w:pPr>
              <w:pStyle w:val="TableContents"/>
              <w:spacing w:before="0" w:after="0"/>
              <w:ind w:left="0" w:right="0" w:firstLine="540"/>
              <w:rPr/>
            </w:pPr>
            <w:r>
              <w:rPr/>
              <w:t> </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Class A Non-voting Common Stock, par value $.01 per share; shares authorized: 100 million; issued and outstanding: 51,494,246 as of March 31, 2018; 51,321,915 as of March 31, 2017; and 51,427,832 as of September 30, 2017</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514</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Class B Voting Common Stock, convertible, par value $.01 per share; shares authorized: 3 million; issued and outstanding: 2,970,171</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Additional paid-in capital</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353,698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321,531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348,532</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Retained earnings</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377,682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334,996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351,666</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Accumulated other comprehensive loss</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(40,463</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(42,544</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(38,367</w:t>
            </w:r>
          </w:p>
        </w:tc>
        <w:tc>
          <w:tcPr>
            <w:tcW w:w="875"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EZCORP, Inc. stockholders’ equity</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691,462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614,526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662,375</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Noncontrolling interest</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(3,332</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(1,062</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(2,449</w:t>
            </w:r>
          </w:p>
        </w:tc>
        <w:tc>
          <w:tcPr>
            <w:tcW w:w="875"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651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equity</w:t>
            </w:r>
          </w:p>
        </w:tc>
        <w:tc>
          <w:tcPr>
            <w:tcW w:w="85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688,130</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613,464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659,926</w:t>
            </w:r>
          </w:p>
        </w:tc>
        <w:tc>
          <w:tcPr>
            <w:tcW w:w="87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 and equity</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1,074,553</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961,967</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1,024,363</w:t>
            </w:r>
          </w:p>
        </w:tc>
        <w:tc>
          <w:tcPr>
            <w:tcW w:w="87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5"/>
        </w:rPr>
      </w:pPr>
      <w:r>
        <w:rPr>
          <w:rFonts w:ascii="inherit" w:hAnsi="inherit"/>
          <w:i/>
          <w:sz w:val="15"/>
        </w:rPr>
        <w:t>See accompanying notes to unaudited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lineRule="auto" w:line="288" w:before="0" w:after="0"/>
        <w:rPr/>
      </w:pPr>
      <w:hyperlink w:anchor="sA33FD6028AA25395924ED4406F429385">
        <w:bookmarkStart w:id="8" w:name="sD3B8089ECF13599EB419A62456C317E9"/>
        <w:bookmarkEnd w:id="8"/>
        <w:r>
          <w:rPr>
            <w:rStyle w:val="InternetLink"/>
            <w:rFonts w:ascii="inherit" w:hAnsi="inherit"/>
            <w:sz w:val="13"/>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444"/>
        <w:gridCol w:w="141"/>
        <w:gridCol w:w="781"/>
        <w:gridCol w:w="141"/>
        <w:gridCol w:w="115"/>
        <w:gridCol w:w="141"/>
        <w:gridCol w:w="781"/>
        <w:gridCol w:w="141"/>
        <w:gridCol w:w="90"/>
        <w:gridCol w:w="110"/>
        <w:gridCol w:w="605"/>
        <w:gridCol w:w="110"/>
        <w:gridCol w:w="90"/>
        <w:gridCol w:w="110"/>
        <w:gridCol w:w="605"/>
        <w:gridCol w:w="800"/>
      </w:tblGrid>
      <w:tr>
        <w:trPr/>
        <w:tc>
          <w:tcPr>
            <w:tcW w:w="10205" w:type="dxa"/>
            <w:gridSpan w:val="16"/>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OPERATIONS</w:t>
            </w:r>
          </w:p>
        </w:tc>
      </w:tr>
      <w:tr>
        <w:trPr/>
        <w:tc>
          <w:tcPr>
            <w:tcW w:w="544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44" w:type="dxa"/>
            <w:tcBorders/>
            <w:shd w:fill="auto" w:val="clear"/>
            <w:vAlign w:val="center"/>
          </w:tcPr>
          <w:p>
            <w:pPr>
              <w:pStyle w:val="TableContents"/>
              <w:spacing w:before="0" w:after="0"/>
              <w:ind w:left="0" w:right="0" w:firstLine="30"/>
              <w:rPr/>
            </w:pPr>
            <w:r>
              <w:rPr/>
              <w:t> </w:t>
            </w:r>
          </w:p>
        </w:tc>
        <w:tc>
          <w:tcPr>
            <w:tcW w:w="224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243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5444" w:type="dxa"/>
            <w:tcBorders/>
            <w:shd w:fill="auto" w:val="clear"/>
            <w:vAlign w:val="center"/>
          </w:tcPr>
          <w:p>
            <w:pPr>
              <w:pStyle w:val="TableContents"/>
              <w:spacing w:before="0" w:after="0"/>
              <w:ind w:left="0" w:right="0" w:firstLine="30"/>
              <w:jc w:val="left"/>
              <w:rPr/>
            </w:pPr>
            <w:r>
              <w:rPr/>
              <w:t> </w:t>
            </w:r>
          </w:p>
        </w:tc>
        <w:tc>
          <w:tcPr>
            <w:tcW w:w="106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15" w:type="dxa"/>
            <w:tcBorders/>
            <w:shd w:fill="auto" w:val="clear"/>
            <w:vAlign w:val="center"/>
          </w:tcPr>
          <w:p>
            <w:pPr>
              <w:pStyle w:val="TableContents"/>
              <w:spacing w:before="0" w:after="0"/>
              <w:ind w:left="0" w:right="0" w:firstLine="30"/>
              <w:rPr/>
            </w:pPr>
            <w:r>
              <w:rPr/>
              <w:t> </w:t>
            </w:r>
          </w:p>
        </w:tc>
        <w:tc>
          <w:tcPr>
            <w:tcW w:w="106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151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r>
      <w:tr>
        <w:trPr/>
        <w:tc>
          <w:tcPr>
            <w:tcW w:w="5444"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5" w:type="dxa"/>
            <w:gridSpan w:val="3"/>
            <w:tcBorders/>
            <w:shd w:fill="auto" w:val="clear"/>
            <w:vAlign w:val="center"/>
          </w:tcPr>
          <w:p>
            <w:pPr>
              <w:pStyle w:val="TableContents"/>
              <w:spacing w:before="0" w:after="0"/>
              <w:ind w:left="0" w:right="0" w:firstLine="30"/>
              <w:rPr/>
            </w:pPr>
            <w:r>
              <w:rPr/>
              <w:t> </w:t>
            </w:r>
          </w:p>
        </w:tc>
      </w:tr>
      <w:tr>
        <w:trPr/>
        <w:tc>
          <w:tcPr>
            <w:tcW w:w="5444" w:type="dxa"/>
            <w:tcBorders/>
            <w:shd w:fill="auto" w:val="clear"/>
            <w:vAlign w:val="center"/>
          </w:tcPr>
          <w:p>
            <w:pPr>
              <w:pStyle w:val="TableContents"/>
              <w:spacing w:before="0" w:after="0"/>
              <w:ind w:left="0" w:right="0" w:firstLine="30"/>
              <w:rPr/>
            </w:pPr>
            <w:r>
              <w:rPr/>
              <w:t> </w:t>
            </w:r>
          </w:p>
        </w:tc>
        <w:tc>
          <w:tcPr>
            <w:tcW w:w="4761"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5444" w:type="dxa"/>
            <w:tcBorders/>
            <w:shd w:fill="auto" w:val="clear"/>
            <w:vAlign w:val="center"/>
          </w:tcPr>
          <w:p>
            <w:pPr>
              <w:pStyle w:val="TableContents"/>
              <w:spacing w:before="0" w:after="0"/>
              <w:ind w:left="0" w:right="0" w:firstLine="30"/>
              <w:jc w:val="left"/>
              <w:rPr/>
            </w:pPr>
            <w:r>
              <w:rPr/>
              <w:t> </w:t>
            </w:r>
          </w:p>
        </w:tc>
        <w:tc>
          <w:tcPr>
            <w:tcW w:w="4761"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Revenues:</w:t>
            </w:r>
          </w:p>
        </w:tc>
        <w:tc>
          <w:tcPr>
            <w:tcW w:w="1063"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15" w:type="dxa"/>
            <w:gridSpan w:val="3"/>
            <w:tcBorders/>
            <w:shd w:fill="CCEEFF" w:val="clear"/>
            <w:vAlign w:val="center"/>
          </w:tcPr>
          <w:p>
            <w:pPr>
              <w:pStyle w:val="TableContents"/>
              <w:spacing w:before="0" w:after="0"/>
              <w:ind w:left="0" w:right="0" w:firstLine="300"/>
              <w:rPr/>
            </w:pPr>
            <w:r>
              <w:rPr/>
              <w:t> </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Merchandise sales</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shd w:fill="auto" w:val="clear"/>
            <w:vAlign w:val="center"/>
          </w:tcPr>
          <w:p>
            <w:pPr>
              <w:pStyle w:val="TableContents"/>
              <w:spacing w:before="0" w:after="0"/>
              <w:jc w:val="right"/>
              <w:rPr>
                <w:rFonts w:ascii="inherit" w:hAnsi="inherit"/>
                <w:sz w:val="15"/>
              </w:rPr>
            </w:pPr>
            <w:r>
              <w:rPr>
                <w:rFonts w:ascii="inherit" w:hAnsi="inherit"/>
                <w:sz w:val="15"/>
              </w:rPr>
              <w:t>114,945</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shd w:fill="auto" w:val="clear"/>
            <w:vAlign w:val="center"/>
          </w:tcPr>
          <w:p>
            <w:pPr>
              <w:pStyle w:val="TableContents"/>
              <w:spacing w:before="0" w:after="0"/>
              <w:jc w:val="right"/>
              <w:rPr>
                <w:rFonts w:ascii="inherit" w:hAnsi="inherit"/>
                <w:sz w:val="15"/>
              </w:rPr>
            </w:pPr>
            <w:r>
              <w:rPr>
                <w:rFonts w:ascii="inherit" w:hAnsi="inherit"/>
                <w:sz w:val="15"/>
              </w:rPr>
              <w:t>110,238</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228,533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221,751</w:t>
            </w:r>
          </w:p>
        </w:tc>
        <w:tc>
          <w:tcPr>
            <w:tcW w:w="80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Jewelry scrapping sales</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11,525</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10,219</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23,738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20,017</w:t>
            </w:r>
          </w:p>
        </w:tc>
        <w:tc>
          <w:tcPr>
            <w:tcW w:w="800"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74,367</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67,092</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150,727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136,105</w:t>
            </w:r>
          </w:p>
        </w:tc>
        <w:tc>
          <w:tcPr>
            <w:tcW w:w="80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revenues</w:t>
            </w:r>
          </w:p>
        </w:tc>
        <w:tc>
          <w:tcPr>
            <w:tcW w:w="9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1,897</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2,079</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4,244</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4,379</w:t>
            </w:r>
          </w:p>
        </w:tc>
        <w:tc>
          <w:tcPr>
            <w:tcW w:w="800"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revenues</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202,734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189,628</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407,242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382,252</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Merchandise cost of goods sold</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72,220</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70,493</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143,387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142,225</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Jewelry scrapping cost of goods sold</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9,574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8,841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19,911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17,185</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cost of revenues</w:t>
            </w:r>
          </w:p>
        </w:tc>
        <w:tc>
          <w:tcPr>
            <w:tcW w:w="9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347</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397</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924</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980</w:t>
            </w:r>
          </w:p>
        </w:tc>
        <w:tc>
          <w:tcPr>
            <w:tcW w:w="800"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revenues</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120,593</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109,897</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243,020</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221,862</w:t>
            </w:r>
          </w:p>
        </w:tc>
        <w:tc>
          <w:tcPr>
            <w:tcW w:w="80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Operating expenses:</w:t>
            </w:r>
          </w:p>
        </w:tc>
        <w:tc>
          <w:tcPr>
            <w:tcW w:w="1063"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15" w:type="dxa"/>
            <w:gridSpan w:val="3"/>
            <w:tcBorders/>
            <w:shd w:fill="CCEEFF" w:val="clear"/>
            <w:vAlign w:val="center"/>
          </w:tcPr>
          <w:p>
            <w:pPr>
              <w:pStyle w:val="TableContents"/>
              <w:spacing w:before="0" w:after="0"/>
              <w:ind w:left="0" w:right="0" w:firstLine="300"/>
              <w:rPr/>
            </w:pPr>
            <w:r>
              <w:rPr/>
              <w:t> </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Operations</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82,160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74,460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165,770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152,106</w:t>
            </w:r>
          </w:p>
        </w:tc>
        <w:tc>
          <w:tcPr>
            <w:tcW w:w="80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Administrative</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13,341</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13,283</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26,659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27,210</w:t>
            </w:r>
          </w:p>
        </w:tc>
        <w:tc>
          <w:tcPr>
            <w:tcW w:w="800"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Depreciation and amortization</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6,451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6,030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12,174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12,403</w:t>
            </w:r>
          </w:p>
        </w:tc>
        <w:tc>
          <w:tcPr>
            <w:tcW w:w="80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Loss (gain) on sale or disposal of assets</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100</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71</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w:t>
            </w:r>
          </w:p>
        </w:tc>
        <w:tc>
          <w:tcPr>
            <w:tcW w:w="800" w:type="dxa"/>
            <w:tcBorders/>
            <w:shd w:fill="CCEEFF" w:val="cle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operating expenses</w:t>
            </w:r>
          </w:p>
        </w:tc>
        <w:tc>
          <w:tcPr>
            <w:tcW w:w="92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102,052</w:t>
            </w:r>
          </w:p>
        </w:tc>
        <w:tc>
          <w:tcPr>
            <w:tcW w:w="1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93,844</w:t>
            </w:r>
          </w:p>
        </w:tc>
        <w:tc>
          <w:tcPr>
            <w:tcW w:w="1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204,742</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191,713</w:t>
            </w:r>
          </w:p>
        </w:tc>
        <w:tc>
          <w:tcPr>
            <w:tcW w:w="80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Operating income</w:t>
            </w:r>
          </w:p>
        </w:tc>
        <w:tc>
          <w:tcPr>
            <w:tcW w:w="92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18,541</w:t>
            </w:r>
          </w:p>
        </w:tc>
        <w:tc>
          <w:tcPr>
            <w:tcW w:w="14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16,053</w:t>
            </w:r>
          </w:p>
        </w:tc>
        <w:tc>
          <w:tcPr>
            <w:tcW w:w="14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38,278</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30,149</w:t>
            </w:r>
          </w:p>
        </w:tc>
        <w:tc>
          <w:tcPr>
            <w:tcW w:w="80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Interest expense</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5,829</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5,628</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11,676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11,193</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Interest income</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(4,268</w:t>
            </w:r>
          </w:p>
        </w:tc>
        <w:tc>
          <w:tcPr>
            <w:tcW w:w="14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(2,240</w:t>
            </w:r>
          </w:p>
        </w:tc>
        <w:tc>
          <w:tcPr>
            <w:tcW w:w="14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(8,538</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(4,856</w:t>
            </w:r>
          </w:p>
        </w:tc>
        <w:tc>
          <w:tcPr>
            <w:tcW w:w="8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Equity in net income of unconsolidated affiliate</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(876</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(1,243</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(2,326</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(2,721</w:t>
            </w:r>
          </w:p>
        </w:tc>
        <w:tc>
          <w:tcPr>
            <w:tcW w:w="8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(income) expense</w:t>
            </w:r>
          </w:p>
        </w:tc>
        <w:tc>
          <w:tcPr>
            <w:tcW w:w="9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w:t>
            </w:r>
          </w:p>
        </w:tc>
        <w:tc>
          <w:tcPr>
            <w:tcW w:w="14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228</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(186</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(195</w:t>
            </w:r>
          </w:p>
        </w:tc>
        <w:tc>
          <w:tcPr>
            <w:tcW w:w="80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before income taxes</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17,860</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13,680</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37,652</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26,728</w:t>
            </w:r>
          </w:p>
        </w:tc>
        <w:tc>
          <w:tcPr>
            <w:tcW w:w="80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tax expense</w:t>
            </w:r>
          </w:p>
        </w:tc>
        <w:tc>
          <w:tcPr>
            <w:tcW w:w="9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5,921</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5,449</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13,358</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10,231</w:t>
            </w:r>
          </w:p>
        </w:tc>
        <w:tc>
          <w:tcPr>
            <w:tcW w:w="8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net of tax</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11,939</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8,231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24,294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16,497</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Loss from discontinued operations, net of tax</w:t>
            </w:r>
          </w:p>
        </w:tc>
        <w:tc>
          <w:tcPr>
            <w:tcW w:w="9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(500</w:t>
            </w:r>
          </w:p>
        </w:tc>
        <w:tc>
          <w:tcPr>
            <w:tcW w:w="14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(375</w:t>
            </w:r>
          </w:p>
        </w:tc>
        <w:tc>
          <w:tcPr>
            <w:tcW w:w="14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(722</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(1,603</w:t>
            </w:r>
          </w:p>
        </w:tc>
        <w:tc>
          <w:tcPr>
            <w:tcW w:w="80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11,439</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7,856</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23,572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14,894</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loss attributable to noncontrolling interest</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(374</w:t>
            </w:r>
          </w:p>
        </w:tc>
        <w:tc>
          <w:tcPr>
            <w:tcW w:w="14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(167</w:t>
            </w:r>
          </w:p>
        </w:tc>
        <w:tc>
          <w:tcPr>
            <w:tcW w:w="14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(989</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(294</w:t>
            </w:r>
          </w:p>
        </w:tc>
        <w:tc>
          <w:tcPr>
            <w:tcW w:w="8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 attributable to EZCORP, Inc.</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11,813</w:t>
            </w:r>
          </w:p>
        </w:tc>
        <w:tc>
          <w:tcPr>
            <w:tcW w:w="14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8,023</w:t>
            </w:r>
          </w:p>
        </w:tc>
        <w:tc>
          <w:tcPr>
            <w:tcW w:w="14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24,561</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15,188</w:t>
            </w:r>
          </w:p>
        </w:tc>
        <w:tc>
          <w:tcPr>
            <w:tcW w:w="80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15" w:type="dxa"/>
            <w:gridSpan w:val="3"/>
            <w:tcBorders/>
            <w:shd w:fill="CCEEFF" w:val="clear"/>
            <w:vAlign w:val="center"/>
          </w:tcPr>
          <w:p>
            <w:pPr>
              <w:pStyle w:val="TableContents"/>
              <w:spacing w:before="0" w:after="0"/>
              <w:ind w:left="0" w:right="0" w:firstLine="30"/>
              <w:rPr/>
            </w:pPr>
            <w:r>
              <w:rPr/>
              <w:t> </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Basic earnings per share attributable to EZCORP, Inc. — continuing operations</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shd w:fill="auto" w:val="clear"/>
            <w:vAlign w:val="center"/>
          </w:tcPr>
          <w:p>
            <w:pPr>
              <w:pStyle w:val="TableContents"/>
              <w:spacing w:before="0" w:after="0"/>
              <w:jc w:val="right"/>
              <w:rPr>
                <w:rFonts w:ascii="inherit" w:hAnsi="inherit"/>
                <w:sz w:val="15"/>
              </w:rPr>
            </w:pPr>
            <w:r>
              <w:rPr>
                <w:rFonts w:ascii="inherit" w:hAnsi="inherit"/>
                <w:sz w:val="15"/>
              </w:rPr>
              <w:t>0.23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shd w:fill="auto" w:val="clear"/>
            <w:vAlign w:val="center"/>
          </w:tcPr>
          <w:p>
            <w:pPr>
              <w:pStyle w:val="TableContents"/>
              <w:spacing w:before="0" w:after="0"/>
              <w:jc w:val="right"/>
              <w:rPr>
                <w:rFonts w:ascii="inherit" w:hAnsi="inherit"/>
                <w:sz w:val="15"/>
              </w:rPr>
            </w:pPr>
            <w:r>
              <w:rPr>
                <w:rFonts w:ascii="inherit" w:hAnsi="inherit"/>
                <w:sz w:val="15"/>
              </w:rPr>
              <w:t>0.15</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0.46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0.31</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Diluted earnings per share attributable to EZCORP, Inc. — continuing operations</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shd w:fill="CCEEFF" w:val="clear"/>
            <w:vAlign w:val="center"/>
          </w:tcPr>
          <w:p>
            <w:pPr>
              <w:pStyle w:val="TableContents"/>
              <w:spacing w:before="0" w:after="0"/>
              <w:jc w:val="right"/>
              <w:rPr>
                <w:rFonts w:ascii="inherit" w:hAnsi="inherit"/>
                <w:sz w:val="15"/>
              </w:rPr>
            </w:pPr>
            <w:r>
              <w:rPr>
                <w:rFonts w:ascii="inherit" w:hAnsi="inherit"/>
                <w:sz w:val="15"/>
              </w:rPr>
              <w:t>0.21</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shd w:fill="CCEEFF" w:val="clear"/>
            <w:vAlign w:val="center"/>
          </w:tcPr>
          <w:p>
            <w:pPr>
              <w:pStyle w:val="TableContents"/>
              <w:spacing w:before="0" w:after="0"/>
              <w:jc w:val="right"/>
              <w:rPr>
                <w:rFonts w:ascii="inherit" w:hAnsi="inherit"/>
                <w:sz w:val="15"/>
              </w:rPr>
            </w:pPr>
            <w:r>
              <w:rPr>
                <w:rFonts w:ascii="inherit" w:hAnsi="inherit"/>
                <w:sz w:val="15"/>
              </w:rPr>
              <w:t>0.15</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0.45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0.31</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5" w:type="dxa"/>
            <w:gridSpan w:val="3"/>
            <w:tcBorders/>
            <w:shd w:fill="auto" w:val="clear"/>
            <w:vAlign w:val="center"/>
          </w:tcPr>
          <w:p>
            <w:pPr>
              <w:pStyle w:val="TableContents"/>
              <w:spacing w:before="0" w:after="0"/>
              <w:ind w:left="0" w:right="0" w:firstLine="30"/>
              <w:rPr/>
            </w:pPr>
            <w:r>
              <w:rPr/>
              <w:t> </w:t>
            </w:r>
          </w:p>
        </w:tc>
      </w:tr>
      <w:tr>
        <w:trPr/>
        <w:tc>
          <w:tcPr>
            <w:tcW w:w="54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Weighted-average basic shares outstanding</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54,464</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54,291</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54,447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54,224</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Weighted-average diluted shares outstanding</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57,624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54,346</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56,642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54,278</w:t>
            </w:r>
          </w:p>
        </w:tc>
        <w:tc>
          <w:tcPr>
            <w:tcW w:w="800"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5"/>
        </w:rPr>
      </w:pPr>
      <w:r>
        <w:rPr>
          <w:rFonts w:ascii="inherit" w:hAnsi="inherit"/>
          <w:i/>
          <w:sz w:val="15"/>
        </w:rPr>
        <w:t>See accompanying notes to unaudited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pPr>
      <w:hyperlink w:anchor="sA33FD6028AA25395924ED4406F429385">
        <w:bookmarkStart w:id="9" w:name="s8FBF0911B1045B51ADEE02CD0D15F7BD"/>
        <w:bookmarkEnd w:id="9"/>
        <w:r>
          <w:rPr>
            <w:rStyle w:val="InternetLink"/>
            <w:rFonts w:ascii="inherit" w:hAnsi="inherit"/>
            <w:sz w:val="13"/>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630"/>
        <w:gridCol w:w="124"/>
        <w:gridCol w:w="581"/>
        <w:gridCol w:w="124"/>
        <w:gridCol w:w="101"/>
        <w:gridCol w:w="124"/>
        <w:gridCol w:w="581"/>
        <w:gridCol w:w="124"/>
        <w:gridCol w:w="90"/>
        <w:gridCol w:w="120"/>
        <w:gridCol w:w="563"/>
        <w:gridCol w:w="120"/>
        <w:gridCol w:w="98"/>
        <w:gridCol w:w="120"/>
        <w:gridCol w:w="563"/>
        <w:gridCol w:w="142"/>
      </w:tblGrid>
      <w:tr>
        <w:trPr/>
        <w:tc>
          <w:tcPr>
            <w:tcW w:w="10205" w:type="dxa"/>
            <w:gridSpan w:val="16"/>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COMPREHENSIVE INCOME</w:t>
            </w:r>
          </w:p>
        </w:tc>
      </w:tr>
      <w:tr>
        <w:trPr/>
        <w:tc>
          <w:tcPr>
            <w:tcW w:w="66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30" w:type="dxa"/>
            <w:tcBorders/>
            <w:shd w:fill="auto" w:val="clear"/>
            <w:vAlign w:val="center"/>
          </w:tcPr>
          <w:p>
            <w:pPr>
              <w:pStyle w:val="TableContents"/>
              <w:spacing w:before="0" w:after="0"/>
              <w:ind w:left="0" w:right="0" w:firstLine="30"/>
              <w:rPr/>
            </w:pPr>
            <w:r>
              <w:rPr/>
              <w:t> </w:t>
            </w:r>
          </w:p>
        </w:tc>
        <w:tc>
          <w:tcPr>
            <w:tcW w:w="175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172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6630" w:type="dxa"/>
            <w:tcBorders/>
            <w:shd w:fill="auto" w:val="clear"/>
            <w:vAlign w:val="center"/>
          </w:tcPr>
          <w:p>
            <w:pPr>
              <w:pStyle w:val="TableContents"/>
              <w:spacing w:before="0" w:after="0"/>
              <w:ind w:left="0" w:right="0" w:firstLine="30"/>
              <w:jc w:val="left"/>
              <w:rPr/>
            </w:pPr>
            <w:r>
              <w:rPr/>
              <w:t> </w:t>
            </w:r>
          </w:p>
        </w:tc>
        <w:tc>
          <w:tcPr>
            <w:tcW w:w="8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01" w:type="dxa"/>
            <w:tcBorders/>
            <w:shd w:fill="auto" w:val="clear"/>
            <w:vAlign w:val="center"/>
          </w:tcPr>
          <w:p>
            <w:pPr>
              <w:pStyle w:val="TableContents"/>
              <w:spacing w:before="0" w:after="0"/>
              <w:ind w:left="0" w:right="0" w:firstLine="30"/>
              <w:rPr/>
            </w:pPr>
            <w:r>
              <w:rPr/>
              <w:t> </w:t>
            </w:r>
          </w:p>
        </w:tc>
        <w:tc>
          <w:tcPr>
            <w:tcW w:w="82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8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8"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r>
      <w:tr>
        <w:trPr/>
        <w:tc>
          <w:tcPr>
            <w:tcW w:w="6630" w:type="dxa"/>
            <w:tcBorders/>
            <w:shd w:fill="auto" w:val="clear"/>
            <w:vAlign w:val="center"/>
          </w:tcPr>
          <w:p>
            <w:pPr>
              <w:pStyle w:val="TableContents"/>
              <w:spacing w:before="0" w:after="0"/>
              <w:ind w:left="0" w:right="0" w:firstLine="30"/>
              <w:rPr/>
            </w:pPr>
            <w:r>
              <w:rPr/>
              <w:t> </w:t>
            </w:r>
          </w:p>
        </w:tc>
        <w:tc>
          <w:tcPr>
            <w:tcW w:w="829" w:type="dxa"/>
            <w:gridSpan w:val="3"/>
            <w:tcBorders/>
            <w:shd w:fill="auto" w:val="clear"/>
            <w:vAlign w:val="center"/>
          </w:tcPr>
          <w:p>
            <w:pPr>
              <w:pStyle w:val="TableContents"/>
              <w:spacing w:before="0" w:after="0"/>
              <w:ind w:left="0" w:right="0" w:firstLine="30"/>
              <w:rPr/>
            </w:pPr>
            <w:r>
              <w:rPr/>
              <w:t> </w:t>
            </w:r>
          </w:p>
        </w:tc>
        <w:tc>
          <w:tcPr>
            <w:tcW w:w="101" w:type="dxa"/>
            <w:tcBorders/>
            <w:shd w:fill="auto" w:val="clear"/>
            <w:vAlign w:val="center"/>
          </w:tcPr>
          <w:p>
            <w:pPr>
              <w:pStyle w:val="TableContents"/>
              <w:spacing w:before="0" w:after="0"/>
              <w:ind w:left="0" w:right="0" w:firstLine="30"/>
              <w:rPr/>
            </w:pPr>
            <w:r>
              <w:rPr/>
              <w:t> </w:t>
            </w:r>
          </w:p>
        </w:tc>
        <w:tc>
          <w:tcPr>
            <w:tcW w:w="82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03" w:type="dxa"/>
            <w:gridSpan w:val="3"/>
            <w:tcBorders/>
            <w:shd w:fill="auto" w:val="clear"/>
            <w:vAlign w:val="center"/>
          </w:tcPr>
          <w:p>
            <w:pPr>
              <w:pStyle w:val="TableContents"/>
              <w:spacing w:before="0" w:after="0"/>
              <w:ind w:left="0" w:right="0" w:firstLine="30"/>
              <w:rPr/>
            </w:pPr>
            <w:r>
              <w:rPr/>
              <w:t> </w:t>
            </w:r>
          </w:p>
        </w:tc>
        <w:tc>
          <w:tcPr>
            <w:tcW w:w="98"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r>
      <w:tr>
        <w:trPr/>
        <w:tc>
          <w:tcPr>
            <w:tcW w:w="6630" w:type="dxa"/>
            <w:tcBorders/>
            <w:shd w:fill="auto" w:val="clear"/>
            <w:vAlign w:val="center"/>
          </w:tcPr>
          <w:p>
            <w:pPr>
              <w:pStyle w:val="TableContents"/>
              <w:spacing w:before="0" w:after="0"/>
              <w:ind w:left="0" w:right="0" w:firstLine="30"/>
              <w:rPr/>
            </w:pPr>
            <w:r>
              <w:rPr/>
              <w:t> </w:t>
            </w:r>
          </w:p>
        </w:tc>
        <w:tc>
          <w:tcPr>
            <w:tcW w:w="3575"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6630" w:type="dxa"/>
            <w:tcBorders/>
            <w:shd w:fill="auto" w:val="clear"/>
            <w:vAlign w:val="center"/>
          </w:tcPr>
          <w:p>
            <w:pPr>
              <w:pStyle w:val="TableContents"/>
              <w:spacing w:before="0" w:after="0"/>
              <w:ind w:left="0" w:right="0" w:firstLine="30"/>
              <w:jc w:val="left"/>
              <w:rPr/>
            </w:pPr>
            <w:r>
              <w:rPr/>
              <w:t> </w:t>
            </w:r>
          </w:p>
        </w:tc>
        <w:tc>
          <w:tcPr>
            <w:tcW w:w="357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6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12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81" w:type="dxa"/>
            <w:tcBorders/>
            <w:shd w:fill="CCEEFF" w:val="clear"/>
            <w:vAlign w:val="center"/>
          </w:tcPr>
          <w:p>
            <w:pPr>
              <w:pStyle w:val="TableContents"/>
              <w:spacing w:before="0" w:after="0"/>
              <w:jc w:val="right"/>
              <w:rPr>
                <w:rFonts w:ascii="inherit" w:hAnsi="inherit"/>
                <w:sz w:val="15"/>
              </w:rPr>
            </w:pPr>
            <w:r>
              <w:rPr>
                <w:rFonts w:ascii="inherit" w:hAnsi="inherit"/>
                <w:sz w:val="15"/>
              </w:rPr>
              <w:t>11,439</w:t>
            </w:r>
          </w:p>
        </w:tc>
        <w:tc>
          <w:tcPr>
            <w:tcW w:w="1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81" w:type="dxa"/>
            <w:tcBorders/>
            <w:shd w:fill="CCEEFF" w:val="clear"/>
            <w:vAlign w:val="center"/>
          </w:tcPr>
          <w:p>
            <w:pPr>
              <w:pStyle w:val="TableContents"/>
              <w:spacing w:before="0" w:after="0"/>
              <w:jc w:val="right"/>
              <w:rPr>
                <w:rFonts w:ascii="inherit" w:hAnsi="inherit"/>
                <w:sz w:val="15"/>
              </w:rPr>
            </w:pPr>
            <w:r>
              <w:rPr>
                <w:rFonts w:ascii="inherit" w:hAnsi="inherit"/>
                <w:sz w:val="15"/>
              </w:rPr>
              <w:t>7,856</w:t>
            </w:r>
          </w:p>
        </w:tc>
        <w:tc>
          <w:tcPr>
            <w:tcW w:w="1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63" w:type="dxa"/>
            <w:tcBorders/>
            <w:shd w:fill="CCEEFF" w:val="clear"/>
            <w:vAlign w:val="center"/>
          </w:tcPr>
          <w:p>
            <w:pPr>
              <w:pStyle w:val="TableContents"/>
              <w:spacing w:before="0" w:after="0"/>
              <w:jc w:val="right"/>
              <w:rPr>
                <w:rFonts w:ascii="inherit" w:hAnsi="inherit"/>
                <w:sz w:val="15"/>
              </w:rPr>
            </w:pPr>
            <w:r>
              <w:rPr>
                <w:rFonts w:ascii="inherit" w:hAnsi="inherit"/>
                <w:sz w:val="15"/>
              </w:rPr>
              <w:t>23,572</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8"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63" w:type="dxa"/>
            <w:tcBorders/>
            <w:shd w:fill="CCEEFF" w:val="clear"/>
            <w:vAlign w:val="center"/>
          </w:tcPr>
          <w:p>
            <w:pPr>
              <w:pStyle w:val="TableContents"/>
              <w:spacing w:before="0" w:after="0"/>
              <w:jc w:val="right"/>
              <w:rPr>
                <w:rFonts w:ascii="inherit" w:hAnsi="inherit"/>
                <w:sz w:val="15"/>
              </w:rPr>
            </w:pPr>
            <w:r>
              <w:rPr>
                <w:rFonts w:ascii="inherit" w:hAnsi="inherit"/>
                <w:sz w:val="15"/>
              </w:rPr>
              <w:t>14,894</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comprehensive gain (loss):</w:t>
            </w:r>
          </w:p>
        </w:tc>
        <w:tc>
          <w:tcPr>
            <w:tcW w:w="829" w:type="dxa"/>
            <w:gridSpan w:val="3"/>
            <w:tcBorders/>
            <w:shd w:fill="auto" w:val="clear"/>
            <w:vAlign w:val="center"/>
          </w:tcPr>
          <w:p>
            <w:pPr>
              <w:pStyle w:val="TableContents"/>
              <w:spacing w:before="0" w:after="0"/>
              <w:ind w:left="0" w:right="0" w:firstLine="30"/>
              <w:rPr/>
            </w:pPr>
            <w:r>
              <w:rPr/>
              <w:t> </w:t>
            </w:r>
          </w:p>
        </w:tc>
        <w:tc>
          <w:tcPr>
            <w:tcW w:w="101" w:type="dxa"/>
            <w:tcBorders/>
            <w:shd w:fill="auto" w:val="clear"/>
            <w:vAlign w:val="center"/>
          </w:tcPr>
          <w:p>
            <w:pPr>
              <w:pStyle w:val="TableContents"/>
              <w:spacing w:before="0" w:after="0"/>
              <w:ind w:left="0" w:right="0" w:firstLine="30"/>
              <w:rPr/>
            </w:pPr>
            <w:r>
              <w:rPr/>
              <w:t> </w:t>
            </w:r>
          </w:p>
        </w:tc>
        <w:tc>
          <w:tcPr>
            <w:tcW w:w="82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03" w:type="dxa"/>
            <w:gridSpan w:val="3"/>
            <w:tcBorders/>
            <w:shd w:fill="auto" w:val="clear"/>
            <w:vAlign w:val="center"/>
          </w:tcPr>
          <w:p>
            <w:pPr>
              <w:pStyle w:val="TableContents"/>
              <w:spacing w:before="0" w:after="0"/>
              <w:ind w:left="0" w:right="0" w:firstLine="30"/>
              <w:rPr/>
            </w:pPr>
            <w:r>
              <w:rPr/>
              <w:t> </w:t>
            </w:r>
          </w:p>
        </w:tc>
        <w:tc>
          <w:tcPr>
            <w:tcW w:w="98"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0"/>
              <w:rPr/>
            </w:pPr>
            <w:r>
              <w:rPr/>
              <w:t> </w:t>
            </w:r>
          </w:p>
        </w:tc>
      </w:tr>
      <w:tr>
        <w:trPr/>
        <w:tc>
          <w:tcPr>
            <w:tcW w:w="66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Foreign currency translation gain (loss), net of income tax (expense) benefit for our investment in unconsolidated affiliate of ($6) and ($211) for the three and six months ended March 31, 2018 respectively, and $974 and $530 for the three and six months ended March 31, 2017, respectively.</w:t>
            </w:r>
          </w:p>
        </w:tc>
        <w:tc>
          <w:tcPr>
            <w:tcW w:w="70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6,040</w:t>
            </w:r>
          </w:p>
        </w:tc>
        <w:tc>
          <w:tcPr>
            <w:tcW w:w="1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70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5,020</w:t>
            </w:r>
          </w:p>
        </w:tc>
        <w:tc>
          <w:tcPr>
            <w:tcW w:w="1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3"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(535</w:t>
            </w:r>
          </w:p>
        </w:tc>
        <w:tc>
          <w:tcPr>
            <w:tcW w:w="1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8" w:type="dxa"/>
            <w:tcBorders/>
            <w:shd w:fill="CCEEFF" w:val="clear"/>
            <w:vAlign w:val="center"/>
          </w:tcPr>
          <w:p>
            <w:pPr>
              <w:pStyle w:val="TableContents"/>
              <w:spacing w:before="0" w:after="0"/>
              <w:ind w:left="0" w:right="0" w:firstLine="30"/>
              <w:rPr/>
            </w:pPr>
            <w:r>
              <w:rPr/>
              <w:t> </w:t>
            </w:r>
          </w:p>
        </w:tc>
        <w:tc>
          <w:tcPr>
            <w:tcW w:w="683"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1,555</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comprehensive gain (loss), net of tax</w:t>
            </w:r>
          </w:p>
        </w:tc>
        <w:tc>
          <w:tcPr>
            <w:tcW w:w="70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6,040</w:t>
            </w:r>
          </w:p>
        </w:tc>
        <w:tc>
          <w:tcPr>
            <w:tcW w:w="12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70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5,020</w:t>
            </w:r>
          </w:p>
        </w:tc>
        <w:tc>
          <w:tcPr>
            <w:tcW w:w="12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(535</w:t>
            </w:r>
          </w:p>
        </w:tc>
        <w:tc>
          <w:tcPr>
            <w:tcW w:w="12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8" w:type="dxa"/>
            <w:tcBorders/>
            <w:shd w:fill="auto" w:val="clear"/>
            <w:vAlign w:val="center"/>
          </w:tcPr>
          <w:p>
            <w:pPr>
              <w:pStyle w:val="TableContents"/>
              <w:spacing w:before="0" w:after="0"/>
              <w:ind w:left="0" w:right="0" w:firstLine="30"/>
              <w:rPr/>
            </w:pPr>
            <w:r>
              <w:rPr/>
              <w:t> </w:t>
            </w:r>
          </w:p>
        </w:tc>
        <w:tc>
          <w:tcPr>
            <w:tcW w:w="68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1,555</w:t>
            </w:r>
          </w:p>
        </w:tc>
        <w:tc>
          <w:tcPr>
            <w:tcW w:w="14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Comprehensive income</w:t>
            </w:r>
          </w:p>
        </w:tc>
        <w:tc>
          <w:tcPr>
            <w:tcW w:w="70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17,479</w:t>
            </w:r>
          </w:p>
        </w:tc>
        <w:tc>
          <w:tcPr>
            <w:tcW w:w="1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70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12,876</w:t>
            </w:r>
          </w:p>
        </w:tc>
        <w:tc>
          <w:tcPr>
            <w:tcW w:w="1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23,037</w:t>
            </w:r>
          </w:p>
        </w:tc>
        <w:tc>
          <w:tcPr>
            <w:tcW w:w="12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8" w:type="dxa"/>
            <w:tcBorders/>
            <w:shd w:fill="CCEEFF" w:val="clear"/>
            <w:vAlign w:val="center"/>
          </w:tcPr>
          <w:p>
            <w:pPr>
              <w:pStyle w:val="TableContents"/>
              <w:spacing w:before="0" w:after="0"/>
              <w:ind w:left="0" w:right="0" w:firstLine="30"/>
              <w:rPr/>
            </w:pPr>
            <w:r>
              <w:rPr/>
              <w:t> </w:t>
            </w:r>
          </w:p>
        </w:tc>
        <w:tc>
          <w:tcPr>
            <w:tcW w:w="68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16,449</w:t>
            </w:r>
          </w:p>
        </w:tc>
        <w:tc>
          <w:tcPr>
            <w:tcW w:w="14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Comprehensive loss attributable to noncontrolling interest</w:t>
            </w:r>
          </w:p>
        </w:tc>
        <w:tc>
          <w:tcPr>
            <w:tcW w:w="70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(228</w:t>
            </w:r>
          </w:p>
        </w:tc>
        <w:tc>
          <w:tcPr>
            <w:tcW w:w="12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1" w:type="dxa"/>
            <w:tcBorders/>
            <w:shd w:fill="auto" w:val="clear"/>
            <w:vAlign w:val="center"/>
          </w:tcPr>
          <w:p>
            <w:pPr>
              <w:pStyle w:val="TableContents"/>
              <w:spacing w:before="0" w:after="0"/>
              <w:ind w:left="0" w:right="0" w:firstLine="30"/>
              <w:jc w:val="right"/>
              <w:rPr>
                <w:rFonts w:ascii="inherit" w:hAnsi="inherit"/>
                <w:sz w:val="15"/>
              </w:rPr>
            </w:pPr>
            <w:r>
              <w:rPr>
                <w:rFonts w:ascii="inherit" w:hAnsi="inherit"/>
                <w:sz w:val="15"/>
              </w:rPr>
            </w:r>
          </w:p>
        </w:tc>
        <w:tc>
          <w:tcPr>
            <w:tcW w:w="70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(180</w:t>
            </w:r>
          </w:p>
        </w:tc>
        <w:tc>
          <w:tcPr>
            <w:tcW w:w="12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6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(883</w:t>
            </w:r>
          </w:p>
        </w:tc>
        <w:tc>
          <w:tcPr>
            <w:tcW w:w="12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8" w:type="dxa"/>
            <w:tcBorders/>
            <w:shd w:fill="auto" w:val="clear"/>
            <w:vAlign w:val="center"/>
          </w:tcPr>
          <w:p>
            <w:pPr>
              <w:pStyle w:val="TableContents"/>
              <w:spacing w:before="0" w:after="0"/>
              <w:ind w:left="0" w:right="0" w:firstLine="30"/>
              <w:jc w:val="right"/>
              <w:rPr>
                <w:rFonts w:ascii="inherit" w:hAnsi="inherit"/>
                <w:sz w:val="15"/>
              </w:rPr>
            </w:pPr>
            <w:r>
              <w:rPr>
                <w:rFonts w:ascii="inherit" w:hAnsi="inherit"/>
                <w:sz w:val="15"/>
              </w:rPr>
            </w:r>
          </w:p>
        </w:tc>
        <w:tc>
          <w:tcPr>
            <w:tcW w:w="6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(284</w:t>
            </w:r>
          </w:p>
        </w:tc>
        <w:tc>
          <w:tcPr>
            <w:tcW w:w="14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66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Comprehensive income attributable to EZCORP, Inc.</w:t>
            </w:r>
          </w:p>
        </w:tc>
        <w:tc>
          <w:tcPr>
            <w:tcW w:w="1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17,707</w:t>
            </w:r>
          </w:p>
        </w:tc>
        <w:tc>
          <w:tcPr>
            <w:tcW w:w="12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13,056</w:t>
            </w:r>
          </w:p>
        </w:tc>
        <w:tc>
          <w:tcPr>
            <w:tcW w:w="12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6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23,920</w:t>
            </w:r>
          </w:p>
        </w:tc>
        <w:tc>
          <w:tcPr>
            <w:tcW w:w="12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8" w:type="dxa"/>
            <w:tcBorders/>
            <w:shd w:fill="CCEEFF" w:val="clear"/>
            <w:vAlign w:val="center"/>
          </w:tcPr>
          <w:p>
            <w:pPr>
              <w:pStyle w:val="TableContents"/>
              <w:spacing w:before="0" w:after="0"/>
              <w:ind w:left="0" w:right="0" w:firstLine="30"/>
              <w:rPr/>
            </w:pPr>
            <w:r>
              <w:rPr/>
              <w:t> </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6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16,733</w:t>
            </w:r>
          </w:p>
        </w:tc>
        <w:tc>
          <w:tcPr>
            <w:tcW w:w="142"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5"/>
        </w:rPr>
      </w:pPr>
      <w:r>
        <w:rPr>
          <w:rFonts w:ascii="inherit" w:hAnsi="inherit"/>
          <w:i/>
          <w:sz w:val="15"/>
        </w:rPr>
        <w:t>See accompanying notes to unaudited interim condensed consolidated financial statements.</w:t>
      </w:r>
    </w:p>
    <w:tbl>
      <w:tblPr>
        <w:tblW w:w="10205" w:type="dxa"/>
        <w:jc w:val="left"/>
        <w:tblInd w:w="0" w:type="dxa"/>
        <w:tblCellMar>
          <w:top w:w="0" w:type="dxa"/>
          <w:left w:w="0" w:type="dxa"/>
          <w:bottom w:w="0" w:type="dxa"/>
          <w:right w:w="0" w:type="dxa"/>
        </w:tblCellMar>
      </w:tblPr>
      <w:tblGrid>
        <w:gridCol w:w="2053"/>
        <w:gridCol w:w="515"/>
        <w:gridCol w:w="30"/>
        <w:gridCol w:w="240"/>
        <w:gridCol w:w="196"/>
        <w:gridCol w:w="519"/>
        <w:gridCol w:w="55"/>
        <w:gridCol w:w="240"/>
        <w:gridCol w:w="110"/>
        <w:gridCol w:w="605"/>
        <w:gridCol w:w="110"/>
        <w:gridCol w:w="240"/>
        <w:gridCol w:w="110"/>
        <w:gridCol w:w="605"/>
        <w:gridCol w:w="30"/>
        <w:gridCol w:w="240"/>
        <w:gridCol w:w="198"/>
        <w:gridCol w:w="1042"/>
        <w:gridCol w:w="201"/>
        <w:gridCol w:w="240"/>
        <w:gridCol w:w="198"/>
        <w:gridCol w:w="876"/>
        <w:gridCol w:w="199"/>
        <w:gridCol w:w="240"/>
        <w:gridCol w:w="110"/>
        <w:gridCol w:w="605"/>
        <w:gridCol w:w="398"/>
      </w:tblGrid>
      <w:tr>
        <w:trPr/>
        <w:tc>
          <w:tcPr>
            <w:tcW w:w="10205" w:type="dxa"/>
            <w:gridSpan w:val="27"/>
            <w:tcBorders/>
            <w:shd w:fill="auto" w:val="clear"/>
            <w:vAlign w:val="center"/>
          </w:tcPr>
          <w:p>
            <w:pPr>
              <w:pStyle w:val="TableContents"/>
              <w:spacing w:lineRule="auto" w:line="288" w:before="0" w:after="0"/>
              <w:ind w:left="0" w:right="0" w:hanging="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STOCKHOLDERS' EQUITY</w:t>
            </w:r>
          </w:p>
        </w:tc>
      </w:tr>
      <w:tr>
        <w:trPr/>
        <w:tc>
          <w:tcPr>
            <w:tcW w:w="205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53" w:type="dxa"/>
            <w:tcBorders/>
            <w:shd w:fill="auto" w:val="clear"/>
            <w:vAlign w:val="center"/>
          </w:tcPr>
          <w:p>
            <w:pPr>
              <w:pStyle w:val="TableContents"/>
              <w:spacing w:before="0" w:after="0"/>
              <w:ind w:left="0" w:right="0" w:firstLine="30"/>
              <w:jc w:val="left"/>
              <w:rPr/>
            </w:pPr>
            <w:r>
              <w:rPr/>
              <w:t> </w:t>
            </w:r>
          </w:p>
        </w:tc>
        <w:tc>
          <w:tcPr>
            <w:tcW w:w="155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Common Stock</w:t>
            </w:r>
          </w:p>
        </w:tc>
        <w:tc>
          <w:tcPr>
            <w:tcW w:w="240" w:type="dxa"/>
            <w:tcBorders/>
            <w:shd w:fill="auto" w:val="clear"/>
            <w:vAlign w:val="center"/>
          </w:tcPr>
          <w:p>
            <w:pPr>
              <w:pStyle w:val="TableContents"/>
              <w:spacing w:before="0" w:after="0"/>
              <w:ind w:left="0" w:right="0" w:firstLine="30"/>
              <w:rPr/>
            </w:pPr>
            <w:r>
              <w:rPr/>
              <w:t> </w:t>
            </w:r>
          </w:p>
        </w:tc>
        <w:tc>
          <w:tcPr>
            <w:tcW w:w="825"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Additional</w:t>
            </w:r>
          </w:p>
          <w:p>
            <w:pPr>
              <w:pStyle w:val="TableContents"/>
              <w:spacing w:before="0" w:after="0"/>
              <w:jc w:val="center"/>
              <w:rPr>
                <w:rFonts w:ascii="inherit" w:hAnsi="inherit"/>
                <w:b/>
                <w:sz w:val="13"/>
              </w:rPr>
            </w:pPr>
            <w:r>
              <w:rPr>
                <w:rFonts w:ascii="inherit" w:hAnsi="inherit"/>
                <w:b/>
                <w:sz w:val="13"/>
              </w:rPr>
              <w:t>Paid-in</w:t>
            </w:r>
          </w:p>
          <w:p>
            <w:pPr>
              <w:pStyle w:val="TableContents"/>
              <w:spacing w:before="0" w:after="0"/>
              <w:ind w:left="0" w:right="0" w:firstLine="30"/>
              <w:jc w:val="center"/>
              <w:rPr>
                <w:rFonts w:ascii="inherit" w:hAnsi="inherit"/>
                <w:b/>
                <w:sz w:val="13"/>
              </w:rPr>
            </w:pPr>
            <w:r>
              <w:rPr>
                <w:rFonts w:ascii="inherit" w:hAnsi="inherit"/>
                <w:b/>
                <w:sz w:val="13"/>
              </w:rPr>
              <w:t>Capital</w:t>
            </w:r>
          </w:p>
        </w:tc>
        <w:tc>
          <w:tcPr>
            <w:tcW w:w="240" w:type="dxa"/>
            <w:vMerge w:val="restart"/>
            <w:tcBorders/>
            <w:shd w:fill="auto" w:val="clear"/>
            <w:vAlign w:val="center"/>
          </w:tcPr>
          <w:p>
            <w:pPr>
              <w:pStyle w:val="TableContents"/>
              <w:spacing w:before="0" w:after="0"/>
              <w:ind w:left="0" w:right="0" w:firstLine="30"/>
              <w:rPr/>
            </w:pPr>
            <w:r>
              <w:rPr/>
              <w:t> </w:t>
            </w:r>
          </w:p>
        </w:tc>
        <w:tc>
          <w:tcPr>
            <w:tcW w:w="745"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Retained</w:t>
            </w:r>
          </w:p>
          <w:p>
            <w:pPr>
              <w:pStyle w:val="TableContents"/>
              <w:spacing w:before="0" w:after="0"/>
              <w:ind w:left="0" w:right="0" w:firstLine="30"/>
              <w:jc w:val="center"/>
              <w:rPr>
                <w:rFonts w:ascii="inherit" w:hAnsi="inherit"/>
                <w:b/>
                <w:sz w:val="13"/>
              </w:rPr>
            </w:pPr>
            <w:r>
              <w:rPr>
                <w:rFonts w:ascii="inherit" w:hAnsi="inherit"/>
                <w:b/>
                <w:sz w:val="13"/>
              </w:rPr>
              <w:t>Earnings</w:t>
            </w:r>
          </w:p>
        </w:tc>
        <w:tc>
          <w:tcPr>
            <w:tcW w:w="240" w:type="dxa"/>
            <w:vMerge w:val="restart"/>
            <w:tcBorders/>
            <w:shd w:fill="auto" w:val="clear"/>
            <w:vAlign w:val="center"/>
          </w:tcPr>
          <w:p>
            <w:pPr>
              <w:pStyle w:val="TableContents"/>
              <w:spacing w:before="0" w:after="0"/>
              <w:ind w:left="0" w:right="0" w:firstLine="30"/>
              <w:rPr/>
            </w:pPr>
            <w:r>
              <w:rPr/>
              <w:t> </w:t>
            </w:r>
          </w:p>
        </w:tc>
        <w:tc>
          <w:tcPr>
            <w:tcW w:w="1441"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Comprehensive (Loss) Income</w:t>
            </w:r>
          </w:p>
        </w:tc>
        <w:tc>
          <w:tcPr>
            <w:tcW w:w="240" w:type="dxa"/>
            <w:vMerge w:val="restart"/>
            <w:tcBorders/>
            <w:shd w:fill="auto" w:val="clear"/>
            <w:vAlign w:val="center"/>
          </w:tcPr>
          <w:p>
            <w:pPr>
              <w:pStyle w:val="TableContents"/>
              <w:spacing w:before="0" w:after="0"/>
              <w:ind w:left="0" w:right="0" w:firstLine="30"/>
              <w:rPr/>
            </w:pPr>
            <w:r>
              <w:rPr/>
              <w:t> </w:t>
            </w:r>
          </w:p>
        </w:tc>
        <w:tc>
          <w:tcPr>
            <w:tcW w:w="1273"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Noncontrolling Interest</w:t>
            </w:r>
          </w:p>
        </w:tc>
        <w:tc>
          <w:tcPr>
            <w:tcW w:w="240" w:type="dxa"/>
            <w:vMerge w:val="restart"/>
            <w:tcBorders/>
            <w:shd w:fill="auto" w:val="clear"/>
            <w:vAlign w:val="center"/>
          </w:tcPr>
          <w:p>
            <w:pPr>
              <w:pStyle w:val="TableContents"/>
              <w:spacing w:before="0" w:after="0"/>
              <w:ind w:left="0" w:right="0" w:firstLine="30"/>
              <w:rPr/>
            </w:pPr>
            <w:r>
              <w:rPr/>
              <w:t> </w:t>
            </w:r>
          </w:p>
        </w:tc>
        <w:tc>
          <w:tcPr>
            <w:tcW w:w="1113"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Equity</w:t>
            </w:r>
          </w:p>
        </w:tc>
      </w:tr>
      <w:tr>
        <w:trPr/>
        <w:tc>
          <w:tcPr>
            <w:tcW w:w="2053" w:type="dxa"/>
            <w:tcBorders/>
            <w:shd w:fill="auto" w:val="clear"/>
            <w:vAlign w:val="center"/>
          </w:tcPr>
          <w:p>
            <w:pPr>
              <w:pStyle w:val="TableContents"/>
              <w:spacing w:before="0" w:after="0"/>
              <w:ind w:left="0" w:right="0" w:firstLine="30"/>
              <w:jc w:val="left"/>
              <w:rPr/>
            </w:pPr>
            <w:r>
              <w:rPr/>
              <w:t> </w:t>
            </w:r>
          </w:p>
        </w:tc>
        <w:tc>
          <w:tcPr>
            <w:tcW w:w="5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240" w:type="dxa"/>
            <w:tcBorders/>
            <w:shd w:fill="auto" w:val="clear"/>
            <w:vAlign w:val="center"/>
          </w:tcPr>
          <w:p>
            <w:pPr>
              <w:pStyle w:val="TableContents"/>
              <w:spacing w:before="0" w:after="0"/>
              <w:ind w:left="0" w:right="0" w:firstLine="30"/>
              <w:rPr/>
            </w:pPr>
            <w:r>
              <w:rPr/>
              <w:t> </w:t>
            </w:r>
          </w:p>
        </w:tc>
        <w:tc>
          <w:tcPr>
            <w:tcW w:w="7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 Value</w:t>
            </w:r>
          </w:p>
        </w:tc>
        <w:tc>
          <w:tcPr>
            <w:tcW w:w="240" w:type="dxa"/>
            <w:tcBorders/>
            <w:shd w:fill="auto" w:val="clear"/>
            <w:vAlign w:val="center"/>
          </w:tcPr>
          <w:p>
            <w:pPr>
              <w:pStyle w:val="TableContents"/>
              <w:spacing w:before="0" w:after="0"/>
              <w:ind w:left="0" w:right="0" w:firstLine="30"/>
              <w:rPr/>
            </w:pPr>
            <w:r>
              <w:rPr/>
              <w:t> </w:t>
            </w:r>
          </w:p>
        </w:tc>
        <w:tc>
          <w:tcPr>
            <w:tcW w:w="825"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745"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1441"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1273"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1113"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053" w:type="dxa"/>
            <w:tcBorders/>
            <w:shd w:fill="auto" w:val="clear"/>
            <w:vAlign w:val="center"/>
          </w:tcPr>
          <w:p>
            <w:pPr>
              <w:pStyle w:val="TableContents"/>
              <w:spacing w:before="0" w:after="0"/>
              <w:ind w:left="0" w:right="0" w:firstLine="30"/>
              <w:rPr/>
            </w:pPr>
            <w:r>
              <w:rPr/>
              <w:t> </w:t>
            </w:r>
          </w:p>
        </w:tc>
        <w:tc>
          <w:tcPr>
            <w:tcW w:w="545" w:type="dxa"/>
            <w:gridSpan w:val="2"/>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770"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1441"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1273"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1113" w:type="dxa"/>
            <w:gridSpan w:val="3"/>
            <w:tcBorders/>
            <w:shd w:fill="auto" w:val="clear"/>
            <w:vAlign w:val="center"/>
          </w:tcPr>
          <w:p>
            <w:pPr>
              <w:pStyle w:val="TableContents"/>
              <w:spacing w:before="0" w:after="0"/>
              <w:ind w:left="0" w:right="0" w:firstLine="30"/>
              <w:rPr/>
            </w:pPr>
            <w:r>
              <w:rPr/>
              <w:t> </w:t>
            </w:r>
          </w:p>
        </w:tc>
      </w:tr>
      <w:tr>
        <w:trPr/>
        <w:tc>
          <w:tcPr>
            <w:tcW w:w="2053" w:type="dxa"/>
            <w:tcBorders/>
            <w:shd w:fill="auto" w:val="clear"/>
            <w:vAlign w:val="center"/>
          </w:tcPr>
          <w:p>
            <w:pPr>
              <w:pStyle w:val="TableContents"/>
              <w:spacing w:before="0" w:after="0"/>
              <w:ind w:left="0" w:right="0" w:firstLine="30"/>
              <w:rPr/>
            </w:pPr>
            <w:r>
              <w:rPr/>
              <w:t> </w:t>
            </w:r>
          </w:p>
        </w:tc>
        <w:tc>
          <w:tcPr>
            <w:tcW w:w="8152" w:type="dxa"/>
            <w:gridSpan w:val="26"/>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 except balances as of September 30, 2016)</w:t>
            </w:r>
          </w:p>
        </w:tc>
      </w:tr>
      <w:tr>
        <w:trPr/>
        <w:tc>
          <w:tcPr>
            <w:tcW w:w="2053" w:type="dxa"/>
            <w:tcBorders/>
            <w:shd w:fill="auto" w:val="clear"/>
            <w:vAlign w:val="center"/>
          </w:tcPr>
          <w:p>
            <w:pPr>
              <w:pStyle w:val="TableContents"/>
              <w:spacing w:before="0" w:after="0"/>
              <w:ind w:left="0" w:right="0" w:firstLine="30"/>
              <w:jc w:val="left"/>
              <w:rPr/>
            </w:pPr>
            <w:r>
              <w:rPr/>
              <w:t> </w:t>
            </w:r>
          </w:p>
        </w:tc>
        <w:tc>
          <w:tcPr>
            <w:tcW w:w="8152" w:type="dxa"/>
            <w:gridSpan w:val="26"/>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053" w:type="dxa"/>
            <w:tcBorders/>
            <w:shd w:fill="CCEEFF" w:val="clear"/>
            <w:vAlign w:val="center"/>
          </w:tcPr>
          <w:p>
            <w:pPr>
              <w:pStyle w:val="TableContents"/>
              <w:spacing w:before="0" w:after="0"/>
              <w:ind w:left="0" w:right="0" w:firstLine="30"/>
              <w:jc w:val="left"/>
              <w:rPr>
                <w:rFonts w:ascii="inherit" w:hAnsi="inherit"/>
                <w:sz w:val="15"/>
                <w:highlight w:val="cyan"/>
              </w:rPr>
            </w:pPr>
            <w:r>
              <w:rPr>
                <w:rFonts w:ascii="inherit" w:hAnsi="inherit"/>
                <w:sz w:val="15"/>
                <w:highlight w:val="cyan"/>
              </w:rPr>
              <w:t>Balances as of September 30, 2016</w:t>
            </w:r>
          </w:p>
        </w:tc>
        <w:tc>
          <w:tcPr>
            <w:tcW w:w="515" w:type="dxa"/>
            <w:tcBorders/>
            <w:shd w:fill="CCEEFF" w:val="clear"/>
            <w:vAlign w:val="center"/>
          </w:tcPr>
          <w:p>
            <w:pPr>
              <w:pStyle w:val="TableContents"/>
              <w:spacing w:before="0" w:after="0"/>
              <w:jc w:val="right"/>
              <w:rPr>
                <w:rFonts w:ascii="inherit" w:hAnsi="inherit"/>
                <w:sz w:val="15"/>
              </w:rPr>
            </w:pPr>
            <w:r>
              <w:rPr>
                <w:rFonts w:ascii="inherit" w:hAnsi="inherit"/>
                <w:sz w:val="15"/>
              </w:rPr>
              <w:t>54,099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19" w:type="dxa"/>
            <w:tcBorders/>
            <w:shd w:fill="CCEEFF" w:val="clear"/>
            <w:vAlign w:val="center"/>
          </w:tcPr>
          <w:p>
            <w:pPr>
              <w:pStyle w:val="TableContents"/>
              <w:spacing w:before="0" w:after="0"/>
              <w:jc w:val="right"/>
              <w:rPr>
                <w:rFonts w:ascii="inherit" w:hAnsi="inherit"/>
                <w:sz w:val="15"/>
              </w:rPr>
            </w:pPr>
            <w:r>
              <w:rPr>
                <w:rFonts w:ascii="inherit" w:hAnsi="inherit"/>
                <w:sz w:val="15"/>
              </w:rPr>
              <w:t>541</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318,723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319,808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042" w:type="dxa"/>
            <w:tcBorders/>
            <w:shd w:fill="CCEEFF" w:val="clear"/>
            <w:vAlign w:val="center"/>
          </w:tcPr>
          <w:p>
            <w:pPr>
              <w:pStyle w:val="TableContents"/>
              <w:spacing w:before="0" w:after="0"/>
              <w:jc w:val="right"/>
              <w:rPr>
                <w:rFonts w:ascii="inherit" w:hAnsi="inherit"/>
                <w:sz w:val="15"/>
              </w:rPr>
            </w:pPr>
            <w:r>
              <w:rPr>
                <w:rFonts w:ascii="inherit" w:hAnsi="inherit"/>
                <w:sz w:val="15"/>
              </w:rPr>
              <w:t>(44,089</w:t>
            </w:r>
          </w:p>
        </w:tc>
        <w:tc>
          <w:tcPr>
            <w:tcW w:w="20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9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76" w:type="dxa"/>
            <w:tcBorders/>
            <w:shd w:fill="CCEEFF" w:val="clear"/>
            <w:vAlign w:val="center"/>
          </w:tcPr>
          <w:p>
            <w:pPr>
              <w:pStyle w:val="TableContents"/>
              <w:spacing w:before="0" w:after="0"/>
              <w:jc w:val="right"/>
              <w:rPr>
                <w:rFonts w:ascii="inherit" w:hAnsi="inherit"/>
                <w:sz w:val="15"/>
              </w:rPr>
            </w:pPr>
            <w:r>
              <w:rPr>
                <w:rFonts w:ascii="inherit" w:hAnsi="inherit"/>
                <w:sz w:val="15"/>
              </w:rPr>
              <w:t>(778</w:t>
            </w:r>
          </w:p>
        </w:tc>
        <w:tc>
          <w:tcPr>
            <w:tcW w:w="19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594,205</w:t>
            </w:r>
          </w:p>
        </w:tc>
        <w:tc>
          <w:tcPr>
            <w:tcW w:w="39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05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Stock compensation</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3,575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240" w:type="dxa"/>
            <w:gridSpan w:val="2"/>
            <w:tcBorders/>
            <w:shd w:fill="auto" w:val="clear"/>
            <w:vAlign w:val="center"/>
          </w:tcPr>
          <w:p>
            <w:pPr>
              <w:pStyle w:val="TableContents"/>
              <w:spacing w:before="0" w:after="0"/>
              <w:jc w:val="right"/>
              <w:rPr/>
            </w:pPr>
            <w:r>
              <w:rPr/>
              <w:t>—</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74"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3,575</w:t>
            </w:r>
          </w:p>
        </w:tc>
        <w:tc>
          <w:tcPr>
            <w:tcW w:w="398"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05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Release of restricted stock</w:t>
            </w:r>
          </w:p>
        </w:tc>
        <w:tc>
          <w:tcPr>
            <w:tcW w:w="515" w:type="dxa"/>
            <w:tcBorders/>
            <w:shd w:fill="CCEEFF" w:val="clear"/>
            <w:vAlign w:val="center"/>
          </w:tcPr>
          <w:p>
            <w:pPr>
              <w:pStyle w:val="TableContents"/>
              <w:spacing w:before="0" w:after="0"/>
              <w:jc w:val="right"/>
              <w:rPr>
                <w:rFonts w:ascii="inherit" w:hAnsi="inherit"/>
                <w:sz w:val="15"/>
              </w:rPr>
            </w:pPr>
            <w:r>
              <w:rPr>
                <w:rFonts w:ascii="inherit" w:hAnsi="inherit"/>
                <w:sz w:val="15"/>
              </w:rPr>
              <w:t>193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240" w:type="dxa"/>
            <w:gridSpan w:val="2"/>
            <w:tcBorders/>
            <w:shd w:fill="CCEEFF" w:val="clear"/>
            <w:vAlign w:val="center"/>
          </w:tcPr>
          <w:p>
            <w:pPr>
              <w:pStyle w:val="TableContents"/>
              <w:spacing w:before="0" w:after="0"/>
              <w:jc w:val="right"/>
              <w:rPr/>
            </w:pPr>
            <w:r>
              <w:rPr/>
              <w:t>—</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74" w:type="dxa"/>
            <w:gridSpan w:val="2"/>
            <w:tcBorders/>
            <w:shd w:fill="CCEEFF" w:val="clear"/>
            <w:vAlign w:val="center"/>
          </w:tcPr>
          <w:p>
            <w:pPr>
              <w:pStyle w:val="TableContents"/>
              <w:spacing w:before="0" w:after="0"/>
              <w:jc w:val="right"/>
              <w:rPr/>
            </w:pPr>
            <w:r>
              <w:rPr/>
              <w:t>—</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39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05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Taxes paid related to net share settlement of equity awards</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(767</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240" w:type="dxa"/>
            <w:gridSpan w:val="2"/>
            <w:tcBorders/>
            <w:shd w:fill="auto" w:val="clear"/>
            <w:vAlign w:val="center"/>
          </w:tcPr>
          <w:p>
            <w:pPr>
              <w:pStyle w:val="TableContents"/>
              <w:spacing w:before="0" w:after="0"/>
              <w:jc w:val="right"/>
              <w:rPr/>
            </w:pPr>
            <w:r>
              <w:rPr/>
              <w:t>—</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74"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(767</w:t>
            </w:r>
          </w:p>
        </w:tc>
        <w:tc>
          <w:tcPr>
            <w:tcW w:w="398"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205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Foreign currency translation adjustment</w:t>
            </w:r>
          </w:p>
        </w:tc>
        <w:tc>
          <w:tcPr>
            <w:tcW w:w="515"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24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1,545</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7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1,555</w:t>
            </w:r>
          </w:p>
        </w:tc>
        <w:tc>
          <w:tcPr>
            <w:tcW w:w="39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05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Net income (loss)</w:t>
            </w:r>
          </w:p>
        </w:tc>
        <w:tc>
          <w:tcPr>
            <w:tcW w:w="515"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15,188</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24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0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7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(294</w:t>
            </w:r>
          </w:p>
        </w:tc>
        <w:tc>
          <w:tcPr>
            <w:tcW w:w="19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14,894</w:t>
            </w:r>
          </w:p>
        </w:tc>
        <w:tc>
          <w:tcPr>
            <w:tcW w:w="3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5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Balances as of March 31, 2017</w:t>
            </w:r>
          </w:p>
        </w:tc>
        <w:tc>
          <w:tcPr>
            <w:tcW w:w="5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54,292</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543</w:t>
            </w:r>
          </w:p>
        </w:tc>
        <w:tc>
          <w:tcPr>
            <w:tcW w:w="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321,531</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334,996</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(42,544</w:t>
            </w:r>
          </w:p>
        </w:tc>
        <w:tc>
          <w:tcPr>
            <w:tcW w:w="20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7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(1,062</w:t>
            </w:r>
          </w:p>
        </w:tc>
        <w:tc>
          <w:tcPr>
            <w:tcW w:w="1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613,464</w:t>
            </w:r>
          </w:p>
        </w:tc>
        <w:tc>
          <w:tcPr>
            <w:tcW w:w="39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2260"/>
        <w:gridCol w:w="515"/>
        <w:gridCol w:w="30"/>
        <w:gridCol w:w="240"/>
        <w:gridCol w:w="196"/>
        <w:gridCol w:w="519"/>
        <w:gridCol w:w="55"/>
        <w:gridCol w:w="240"/>
        <w:gridCol w:w="110"/>
        <w:gridCol w:w="605"/>
        <w:gridCol w:w="110"/>
        <w:gridCol w:w="240"/>
        <w:gridCol w:w="110"/>
        <w:gridCol w:w="605"/>
        <w:gridCol w:w="30"/>
        <w:gridCol w:w="240"/>
        <w:gridCol w:w="173"/>
        <w:gridCol w:w="911"/>
        <w:gridCol w:w="175"/>
        <w:gridCol w:w="240"/>
        <w:gridCol w:w="194"/>
        <w:gridCol w:w="857"/>
        <w:gridCol w:w="195"/>
        <w:gridCol w:w="240"/>
        <w:gridCol w:w="110"/>
        <w:gridCol w:w="605"/>
        <w:gridCol w:w="400"/>
      </w:tblGrid>
      <w:tr>
        <w:trPr/>
        <w:tc>
          <w:tcPr>
            <w:tcW w:w="10205" w:type="dxa"/>
            <w:gridSpan w:val="27"/>
            <w:tcBorders/>
            <w:shd w:fill="auto" w:val="clear"/>
            <w:vAlign w:val="center"/>
          </w:tcPr>
          <w:p>
            <w:pPr>
              <w:pStyle w:val="TableContents"/>
              <w:spacing w:before="0" w:after="283"/>
              <w:rPr>
                <w:sz w:val="4"/>
                <w:szCs w:val="4"/>
              </w:rPr>
            </w:pPr>
            <w:r>
              <w:rPr>
                <w:sz w:val="4"/>
                <w:szCs w:val="4"/>
              </w:rPr>
            </w:r>
          </w:p>
        </w:tc>
      </w:tr>
      <w:tr>
        <w:trPr/>
        <w:tc>
          <w:tcPr>
            <w:tcW w:w="226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60" w:type="dxa"/>
            <w:tcBorders/>
            <w:shd w:fill="auto" w:val="clear"/>
            <w:vAlign w:val="center"/>
          </w:tcPr>
          <w:p>
            <w:pPr>
              <w:pStyle w:val="TableContents"/>
              <w:spacing w:before="0" w:after="0"/>
              <w:ind w:left="0" w:right="0" w:firstLine="30"/>
              <w:jc w:val="left"/>
              <w:rPr/>
            </w:pPr>
            <w:r>
              <w:rPr/>
              <w:t> </w:t>
            </w:r>
          </w:p>
        </w:tc>
        <w:tc>
          <w:tcPr>
            <w:tcW w:w="155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Common Stock</w:t>
            </w:r>
          </w:p>
        </w:tc>
        <w:tc>
          <w:tcPr>
            <w:tcW w:w="240" w:type="dxa"/>
            <w:tcBorders/>
            <w:shd w:fill="auto" w:val="clear"/>
            <w:vAlign w:val="center"/>
          </w:tcPr>
          <w:p>
            <w:pPr>
              <w:pStyle w:val="TableContents"/>
              <w:spacing w:before="0" w:after="0"/>
              <w:ind w:left="0" w:right="0" w:firstLine="30"/>
              <w:rPr/>
            </w:pPr>
            <w:r>
              <w:rPr/>
              <w:t> </w:t>
            </w:r>
          </w:p>
        </w:tc>
        <w:tc>
          <w:tcPr>
            <w:tcW w:w="825"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Additional</w:t>
            </w:r>
          </w:p>
          <w:p>
            <w:pPr>
              <w:pStyle w:val="TableContents"/>
              <w:spacing w:before="0" w:after="0"/>
              <w:jc w:val="center"/>
              <w:rPr>
                <w:rFonts w:ascii="inherit" w:hAnsi="inherit"/>
                <w:b/>
                <w:sz w:val="13"/>
              </w:rPr>
            </w:pPr>
            <w:r>
              <w:rPr>
                <w:rFonts w:ascii="inherit" w:hAnsi="inherit"/>
                <w:b/>
                <w:sz w:val="13"/>
              </w:rPr>
              <w:t>Paid-in</w:t>
            </w:r>
          </w:p>
          <w:p>
            <w:pPr>
              <w:pStyle w:val="TableContents"/>
              <w:spacing w:before="0" w:after="0"/>
              <w:ind w:left="0" w:right="0" w:firstLine="30"/>
              <w:jc w:val="center"/>
              <w:rPr>
                <w:rFonts w:ascii="inherit" w:hAnsi="inherit"/>
                <w:b/>
                <w:sz w:val="13"/>
              </w:rPr>
            </w:pPr>
            <w:r>
              <w:rPr>
                <w:rFonts w:ascii="inherit" w:hAnsi="inherit"/>
                <w:b/>
                <w:sz w:val="13"/>
              </w:rPr>
              <w:t>Capital</w:t>
            </w:r>
          </w:p>
        </w:tc>
        <w:tc>
          <w:tcPr>
            <w:tcW w:w="240" w:type="dxa"/>
            <w:vMerge w:val="restart"/>
            <w:tcBorders/>
            <w:shd w:fill="auto" w:val="clear"/>
            <w:vAlign w:val="center"/>
          </w:tcPr>
          <w:p>
            <w:pPr>
              <w:pStyle w:val="TableContents"/>
              <w:spacing w:before="0" w:after="0"/>
              <w:ind w:left="0" w:right="0" w:firstLine="30"/>
              <w:rPr/>
            </w:pPr>
            <w:r>
              <w:rPr/>
              <w:t> </w:t>
            </w:r>
          </w:p>
        </w:tc>
        <w:tc>
          <w:tcPr>
            <w:tcW w:w="745"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Retained</w:t>
            </w:r>
          </w:p>
          <w:p>
            <w:pPr>
              <w:pStyle w:val="TableContents"/>
              <w:spacing w:before="0" w:after="0"/>
              <w:ind w:left="0" w:right="0" w:firstLine="30"/>
              <w:jc w:val="center"/>
              <w:rPr>
                <w:rFonts w:ascii="inherit" w:hAnsi="inherit"/>
                <w:b/>
                <w:sz w:val="13"/>
              </w:rPr>
            </w:pPr>
            <w:r>
              <w:rPr>
                <w:rFonts w:ascii="inherit" w:hAnsi="inherit"/>
                <w:b/>
                <w:sz w:val="13"/>
              </w:rPr>
              <w:t>Earnings</w:t>
            </w:r>
          </w:p>
        </w:tc>
        <w:tc>
          <w:tcPr>
            <w:tcW w:w="240" w:type="dxa"/>
            <w:vMerge w:val="restart"/>
            <w:tcBorders/>
            <w:shd w:fill="auto" w:val="clear"/>
            <w:vAlign w:val="center"/>
          </w:tcPr>
          <w:p>
            <w:pPr>
              <w:pStyle w:val="TableContents"/>
              <w:spacing w:before="0" w:after="0"/>
              <w:ind w:left="0" w:right="0" w:firstLine="30"/>
              <w:rPr/>
            </w:pPr>
            <w:r>
              <w:rPr/>
              <w:t> </w:t>
            </w:r>
          </w:p>
        </w:tc>
        <w:tc>
          <w:tcPr>
            <w:tcW w:w="1259"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Comprehensive Loss</w:t>
            </w:r>
          </w:p>
        </w:tc>
        <w:tc>
          <w:tcPr>
            <w:tcW w:w="240" w:type="dxa"/>
            <w:vMerge w:val="restart"/>
            <w:tcBorders/>
            <w:shd w:fill="auto" w:val="clear"/>
            <w:vAlign w:val="center"/>
          </w:tcPr>
          <w:p>
            <w:pPr>
              <w:pStyle w:val="TableContents"/>
              <w:spacing w:before="0" w:after="0"/>
              <w:ind w:left="0" w:right="0" w:firstLine="30"/>
              <w:rPr/>
            </w:pPr>
            <w:r>
              <w:rPr/>
              <w:t> </w:t>
            </w:r>
          </w:p>
        </w:tc>
        <w:tc>
          <w:tcPr>
            <w:tcW w:w="1246"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Noncontrolling Interest</w:t>
            </w:r>
          </w:p>
        </w:tc>
        <w:tc>
          <w:tcPr>
            <w:tcW w:w="240" w:type="dxa"/>
            <w:vMerge w:val="restart"/>
            <w:tcBorders/>
            <w:shd w:fill="auto" w:val="clear"/>
            <w:vAlign w:val="center"/>
          </w:tcPr>
          <w:p>
            <w:pPr>
              <w:pStyle w:val="TableContents"/>
              <w:spacing w:before="0" w:after="0"/>
              <w:ind w:left="0" w:right="0" w:firstLine="30"/>
              <w:rPr/>
            </w:pPr>
            <w:r>
              <w:rPr/>
              <w:t> </w:t>
            </w:r>
          </w:p>
        </w:tc>
        <w:tc>
          <w:tcPr>
            <w:tcW w:w="1115"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Equity</w:t>
            </w:r>
          </w:p>
        </w:tc>
      </w:tr>
      <w:tr>
        <w:trPr/>
        <w:tc>
          <w:tcPr>
            <w:tcW w:w="2260" w:type="dxa"/>
            <w:tcBorders/>
            <w:shd w:fill="auto" w:val="clear"/>
            <w:vAlign w:val="center"/>
          </w:tcPr>
          <w:p>
            <w:pPr>
              <w:pStyle w:val="TableContents"/>
              <w:spacing w:before="0" w:after="0"/>
              <w:ind w:left="0" w:right="0" w:firstLine="30"/>
              <w:jc w:val="left"/>
              <w:rPr/>
            </w:pPr>
            <w:r>
              <w:rPr/>
              <w:t> </w:t>
            </w:r>
          </w:p>
        </w:tc>
        <w:tc>
          <w:tcPr>
            <w:tcW w:w="5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240" w:type="dxa"/>
            <w:tcBorders/>
            <w:shd w:fill="auto" w:val="clear"/>
            <w:vAlign w:val="center"/>
          </w:tcPr>
          <w:p>
            <w:pPr>
              <w:pStyle w:val="TableContents"/>
              <w:spacing w:before="0" w:after="0"/>
              <w:ind w:left="0" w:right="0" w:firstLine="30"/>
              <w:rPr/>
            </w:pPr>
            <w:r>
              <w:rPr/>
              <w:t> </w:t>
            </w:r>
          </w:p>
        </w:tc>
        <w:tc>
          <w:tcPr>
            <w:tcW w:w="7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 Value</w:t>
            </w:r>
          </w:p>
        </w:tc>
        <w:tc>
          <w:tcPr>
            <w:tcW w:w="240" w:type="dxa"/>
            <w:tcBorders/>
            <w:shd w:fill="auto" w:val="clear"/>
            <w:vAlign w:val="center"/>
          </w:tcPr>
          <w:p>
            <w:pPr>
              <w:pStyle w:val="TableContents"/>
              <w:spacing w:before="0" w:after="0"/>
              <w:ind w:left="0" w:right="0" w:firstLine="30"/>
              <w:rPr/>
            </w:pPr>
            <w:r>
              <w:rPr/>
              <w:t> </w:t>
            </w:r>
          </w:p>
        </w:tc>
        <w:tc>
          <w:tcPr>
            <w:tcW w:w="825"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745"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1259"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1246"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1115"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260" w:type="dxa"/>
            <w:tcBorders/>
            <w:shd w:fill="auto" w:val="clear"/>
            <w:vAlign w:val="center"/>
          </w:tcPr>
          <w:p>
            <w:pPr>
              <w:pStyle w:val="TableContents"/>
              <w:spacing w:before="0" w:after="0"/>
              <w:ind w:left="0" w:right="0" w:firstLine="30"/>
              <w:rPr/>
            </w:pPr>
            <w:r>
              <w:rPr/>
              <w:t> </w:t>
            </w:r>
          </w:p>
        </w:tc>
        <w:tc>
          <w:tcPr>
            <w:tcW w:w="545" w:type="dxa"/>
            <w:gridSpan w:val="2"/>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770"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1259"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1246"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1115" w:type="dxa"/>
            <w:gridSpan w:val="3"/>
            <w:tcBorders/>
            <w:shd w:fill="auto" w:val="clear"/>
            <w:vAlign w:val="center"/>
          </w:tcPr>
          <w:p>
            <w:pPr>
              <w:pStyle w:val="TableContents"/>
              <w:spacing w:before="0" w:after="0"/>
              <w:ind w:left="0" w:right="0" w:firstLine="30"/>
              <w:rPr/>
            </w:pPr>
            <w:r>
              <w:rPr/>
              <w:t> </w:t>
            </w:r>
          </w:p>
        </w:tc>
      </w:tr>
      <w:tr>
        <w:trPr/>
        <w:tc>
          <w:tcPr>
            <w:tcW w:w="2260" w:type="dxa"/>
            <w:tcBorders/>
            <w:shd w:fill="auto" w:val="clear"/>
            <w:vAlign w:val="center"/>
          </w:tcPr>
          <w:p>
            <w:pPr>
              <w:pStyle w:val="TableContents"/>
              <w:spacing w:before="0" w:after="0"/>
              <w:ind w:left="0" w:right="0" w:firstLine="30"/>
              <w:rPr/>
            </w:pPr>
            <w:r>
              <w:rPr/>
              <w:t> </w:t>
            </w:r>
          </w:p>
        </w:tc>
        <w:tc>
          <w:tcPr>
            <w:tcW w:w="7945" w:type="dxa"/>
            <w:gridSpan w:val="26"/>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 except balances as of September 30, 2017)</w:t>
            </w:r>
          </w:p>
        </w:tc>
      </w:tr>
      <w:tr>
        <w:trPr/>
        <w:tc>
          <w:tcPr>
            <w:tcW w:w="2260" w:type="dxa"/>
            <w:tcBorders/>
            <w:shd w:fill="auto" w:val="clear"/>
            <w:vAlign w:val="center"/>
          </w:tcPr>
          <w:p>
            <w:pPr>
              <w:pStyle w:val="TableContents"/>
              <w:spacing w:before="0" w:after="0"/>
              <w:ind w:left="0" w:right="0" w:firstLine="30"/>
              <w:jc w:val="left"/>
              <w:rPr/>
            </w:pPr>
            <w:r>
              <w:rPr/>
              <w:t> </w:t>
            </w:r>
          </w:p>
        </w:tc>
        <w:tc>
          <w:tcPr>
            <w:tcW w:w="7945" w:type="dxa"/>
            <w:gridSpan w:val="26"/>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260" w:type="dxa"/>
            <w:tcBorders/>
            <w:shd w:fill="CCEEFF" w:val="clear"/>
            <w:vAlign w:val="center"/>
          </w:tcPr>
          <w:p>
            <w:pPr>
              <w:pStyle w:val="TableContents"/>
              <w:spacing w:before="0" w:after="0"/>
              <w:ind w:left="0" w:right="0" w:firstLine="30"/>
              <w:jc w:val="left"/>
              <w:rPr>
                <w:rFonts w:ascii="inherit" w:hAnsi="inherit"/>
                <w:sz w:val="15"/>
                <w:highlight w:val="cyan"/>
              </w:rPr>
            </w:pPr>
            <w:r>
              <w:rPr>
                <w:rFonts w:ascii="inherit" w:hAnsi="inherit"/>
                <w:sz w:val="15"/>
                <w:highlight w:val="cyan"/>
              </w:rPr>
              <w:t>Balances as of September 30, 2017</w:t>
            </w:r>
          </w:p>
        </w:tc>
        <w:tc>
          <w:tcPr>
            <w:tcW w:w="515" w:type="dxa"/>
            <w:tcBorders/>
            <w:shd w:fill="CCEEFF" w:val="clear"/>
            <w:vAlign w:val="center"/>
          </w:tcPr>
          <w:p>
            <w:pPr>
              <w:pStyle w:val="TableContents"/>
              <w:spacing w:before="0" w:after="0"/>
              <w:jc w:val="right"/>
              <w:rPr>
                <w:rFonts w:ascii="inherit" w:hAnsi="inherit"/>
                <w:sz w:val="15"/>
              </w:rPr>
            </w:pPr>
            <w:r>
              <w:rPr>
                <w:rFonts w:ascii="inherit" w:hAnsi="inherit"/>
                <w:sz w:val="15"/>
              </w:rPr>
              <w:t>54,398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19" w:type="dxa"/>
            <w:tcBorders/>
            <w:shd w:fill="CCEEFF" w:val="clear"/>
            <w:vAlign w:val="center"/>
          </w:tcPr>
          <w:p>
            <w:pPr>
              <w:pStyle w:val="TableContents"/>
              <w:spacing w:before="0" w:after="0"/>
              <w:jc w:val="right"/>
              <w:rPr>
                <w:rFonts w:ascii="inherit" w:hAnsi="inherit"/>
                <w:sz w:val="15"/>
              </w:rPr>
            </w:pPr>
            <w:r>
              <w:rPr>
                <w:rFonts w:ascii="inherit" w:hAnsi="inherit"/>
                <w:sz w:val="15"/>
              </w:rPr>
              <w:t>544</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348,532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351,666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11" w:type="dxa"/>
            <w:tcBorders/>
            <w:shd w:fill="CCEEFF" w:val="clear"/>
            <w:vAlign w:val="center"/>
          </w:tcPr>
          <w:p>
            <w:pPr>
              <w:pStyle w:val="TableContents"/>
              <w:spacing w:before="0" w:after="0"/>
              <w:jc w:val="right"/>
              <w:rPr>
                <w:rFonts w:ascii="inherit" w:hAnsi="inherit"/>
                <w:sz w:val="15"/>
              </w:rPr>
            </w:pPr>
            <w:r>
              <w:rPr>
                <w:rFonts w:ascii="inherit" w:hAnsi="inherit"/>
                <w:sz w:val="15"/>
              </w:rPr>
              <w:t>(38,367</w:t>
            </w:r>
          </w:p>
        </w:tc>
        <w:tc>
          <w:tcPr>
            <w:tcW w:w="17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9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57" w:type="dxa"/>
            <w:tcBorders/>
            <w:shd w:fill="CCEEFF" w:val="clear"/>
            <w:vAlign w:val="center"/>
          </w:tcPr>
          <w:p>
            <w:pPr>
              <w:pStyle w:val="TableContents"/>
              <w:spacing w:before="0" w:after="0"/>
              <w:jc w:val="right"/>
              <w:rPr>
                <w:rFonts w:ascii="inherit" w:hAnsi="inherit"/>
                <w:sz w:val="15"/>
              </w:rPr>
            </w:pPr>
            <w:r>
              <w:rPr>
                <w:rFonts w:ascii="inherit" w:hAnsi="inherit"/>
                <w:sz w:val="15"/>
              </w:rPr>
              <w:t>(2,449</w:t>
            </w:r>
          </w:p>
        </w:tc>
        <w:tc>
          <w:tcPr>
            <w:tcW w:w="19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659,926</w:t>
            </w:r>
          </w:p>
        </w:tc>
        <w:tc>
          <w:tcPr>
            <w:tcW w:w="400"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260"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Stock compensation</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5,477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84" w:type="dxa"/>
            <w:gridSpan w:val="2"/>
            <w:tcBorders/>
            <w:shd w:fill="auto" w:val="clear"/>
            <w:vAlign w:val="center"/>
          </w:tcPr>
          <w:p>
            <w:pPr>
              <w:pStyle w:val="TableContents"/>
              <w:spacing w:before="0" w:after="0"/>
              <w:jc w:val="right"/>
              <w:rPr/>
            </w:pPr>
            <w:r>
              <w:rPr/>
              <w:t>—</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51" w:type="dxa"/>
            <w:gridSpan w:val="2"/>
            <w:tcBorders/>
            <w:shd w:fill="auto" w:val="clear"/>
            <w:vAlign w:val="center"/>
          </w:tcPr>
          <w:p>
            <w:pPr>
              <w:pStyle w:val="TableContents"/>
              <w:spacing w:before="0" w:after="0"/>
              <w:jc w:val="right"/>
              <w:rPr/>
            </w:pPr>
            <w:r>
              <w:rPr/>
              <w:t>—</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5,477</w:t>
            </w:r>
          </w:p>
        </w:tc>
        <w:tc>
          <w:tcPr>
            <w:tcW w:w="40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260"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Release of restricted stock</w:t>
            </w:r>
          </w:p>
        </w:tc>
        <w:tc>
          <w:tcPr>
            <w:tcW w:w="515" w:type="dxa"/>
            <w:tcBorders/>
            <w:shd w:fill="CCEEFF" w:val="clear"/>
            <w:vAlign w:val="center"/>
          </w:tcPr>
          <w:p>
            <w:pPr>
              <w:pStyle w:val="TableContents"/>
              <w:spacing w:before="0" w:after="0"/>
              <w:jc w:val="right"/>
              <w:rPr>
                <w:rFonts w:ascii="inherit" w:hAnsi="inherit"/>
                <w:sz w:val="15"/>
              </w:rPr>
            </w:pPr>
            <w:r>
              <w:rPr>
                <w:rFonts w:ascii="inherit" w:hAnsi="inherit"/>
                <w:sz w:val="15"/>
              </w:rPr>
              <w:t>66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84" w:type="dxa"/>
            <w:gridSpan w:val="2"/>
            <w:tcBorders/>
            <w:shd w:fill="CCEEFF" w:val="clear"/>
            <w:vAlign w:val="center"/>
          </w:tcPr>
          <w:p>
            <w:pPr>
              <w:pStyle w:val="TableContents"/>
              <w:spacing w:before="0" w:after="0"/>
              <w:jc w:val="right"/>
              <w:rPr/>
            </w:pPr>
            <w:r>
              <w:rPr/>
              <w:t>—</w:t>
            </w:r>
          </w:p>
        </w:tc>
        <w:tc>
          <w:tcPr>
            <w:tcW w:w="1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51" w:type="dxa"/>
            <w:gridSpan w:val="2"/>
            <w:tcBorders/>
            <w:shd w:fill="CCEEFF" w:val="clear"/>
            <w:vAlign w:val="center"/>
          </w:tcPr>
          <w:p>
            <w:pPr>
              <w:pStyle w:val="TableContents"/>
              <w:spacing w:before="0" w:after="0"/>
              <w:jc w:val="right"/>
              <w:rPr/>
            </w:pPr>
            <w:r>
              <w:rPr/>
              <w:t>—</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400"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260"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Taxes paid related to net share settlement of equity awards</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(311</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84" w:type="dxa"/>
            <w:gridSpan w:val="2"/>
            <w:tcBorders/>
            <w:shd w:fill="auto" w:val="clear"/>
            <w:vAlign w:val="center"/>
          </w:tcPr>
          <w:p>
            <w:pPr>
              <w:pStyle w:val="TableContents"/>
              <w:spacing w:before="0" w:after="0"/>
              <w:jc w:val="right"/>
              <w:rPr/>
            </w:pPr>
            <w:r>
              <w:rPr/>
              <w:t>—</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51" w:type="dxa"/>
            <w:gridSpan w:val="2"/>
            <w:tcBorders/>
            <w:shd w:fill="auto" w:val="clear"/>
            <w:vAlign w:val="center"/>
          </w:tcPr>
          <w:p>
            <w:pPr>
              <w:pStyle w:val="TableContents"/>
              <w:spacing w:before="0" w:after="0"/>
              <w:jc w:val="right"/>
              <w:rPr/>
            </w:pPr>
            <w:r>
              <w:rPr/>
              <w:t>—</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(311</w:t>
            </w:r>
          </w:p>
        </w:tc>
        <w:tc>
          <w:tcPr>
            <w:tcW w:w="400"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2260"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Reclassification of stranded tax effects resulting from the Tax Cuts and Jobs Act</w:t>
            </w:r>
          </w:p>
        </w:tc>
        <w:tc>
          <w:tcPr>
            <w:tcW w:w="515"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1,455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8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(1,455</w:t>
            </w:r>
          </w:p>
        </w:tc>
        <w:tc>
          <w:tcPr>
            <w:tcW w:w="17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180"/>
              <w:rPr/>
            </w:pPr>
            <w:r>
              <w:rPr/>
              <w:t> </w:t>
            </w:r>
          </w:p>
        </w:tc>
        <w:tc>
          <w:tcPr>
            <w:tcW w:w="1051" w:type="dxa"/>
            <w:gridSpan w:val="2"/>
            <w:tcBorders/>
            <w:shd w:fill="CCEEFF" w:val="clear"/>
            <w:vAlign w:val="center"/>
          </w:tcPr>
          <w:p>
            <w:pPr>
              <w:pStyle w:val="TableContents"/>
              <w:spacing w:before="0" w:after="0"/>
              <w:jc w:val="right"/>
              <w:rPr/>
            </w:pPr>
            <w:r>
              <w:rPr/>
              <w:t>—</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400"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260"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Foreign currency translation adjustment</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8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(641</w:t>
            </w:r>
          </w:p>
        </w:tc>
        <w:tc>
          <w:tcPr>
            <w:tcW w:w="17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180"/>
              <w:rPr/>
            </w:pPr>
            <w:r>
              <w:rPr/>
              <w:t> </w:t>
            </w:r>
          </w:p>
        </w:tc>
        <w:tc>
          <w:tcPr>
            <w:tcW w:w="105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106</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(535</w:t>
            </w:r>
          </w:p>
        </w:tc>
        <w:tc>
          <w:tcPr>
            <w:tcW w:w="400"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2260"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Net income (loss)</w:t>
            </w:r>
          </w:p>
        </w:tc>
        <w:tc>
          <w:tcPr>
            <w:tcW w:w="515"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24,561</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5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(989</w:t>
            </w:r>
          </w:p>
        </w:tc>
        <w:tc>
          <w:tcPr>
            <w:tcW w:w="19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23,572</w:t>
            </w:r>
          </w:p>
        </w:tc>
        <w:tc>
          <w:tcPr>
            <w:tcW w:w="4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60"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Balances as of March 31, 2018</w:t>
            </w:r>
          </w:p>
        </w:tc>
        <w:tc>
          <w:tcPr>
            <w:tcW w:w="51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54,464</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545</w:t>
            </w:r>
          </w:p>
        </w:tc>
        <w:tc>
          <w:tcPr>
            <w:tcW w:w="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353,698</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377,682</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7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1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(40,463</w:t>
            </w:r>
          </w:p>
        </w:tc>
        <w:tc>
          <w:tcPr>
            <w:tcW w:w="1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30"/>
              <w:rPr/>
            </w:pPr>
            <w:r>
              <w:rPr/>
              <w:t> </w:t>
            </w:r>
          </w:p>
        </w:tc>
        <w:tc>
          <w:tcPr>
            <w:tcW w:w="1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(3,332</w:t>
            </w:r>
          </w:p>
        </w:tc>
        <w:tc>
          <w:tcPr>
            <w:tcW w:w="1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688,130</w:t>
            </w:r>
          </w:p>
        </w:tc>
        <w:tc>
          <w:tcPr>
            <w:tcW w:w="40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5"/>
        </w:rPr>
      </w:pPr>
      <w:r>
        <w:rPr>
          <w:rFonts w:ascii="inherit" w:hAnsi="inherit"/>
          <w:i/>
          <w:sz w:val="15"/>
        </w:rPr>
        <w:t>See accompanying notes to unaudited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pPr>
      <w:hyperlink w:anchor="sA33FD6028AA25395924ED4406F429385">
        <w:bookmarkStart w:id="10" w:name="sB1066D393B825244A529978C214CD6A3"/>
        <w:bookmarkEnd w:id="10"/>
        <w:r>
          <w:rPr>
            <w:rStyle w:val="InternetLink"/>
            <w:rFonts w:ascii="inherit" w:hAnsi="inherit"/>
            <w:sz w:val="13"/>
          </w:rPr>
          <w:t>Table of Contents</w:t>
        </w:r>
      </w:hyperlink>
    </w:p>
    <w:p>
      <w:pPr>
        <w:pStyle w:val="TextBody"/>
        <w:spacing w:before="0" w:after="0"/>
        <w:rPr/>
      </w:pPr>
      <w:r>
        <w:rPr/>
      </w:r>
    </w:p>
    <w:tbl>
      <w:tblPr>
        <w:tblW w:w="8945" w:type="dxa"/>
        <w:jc w:val="left"/>
        <w:tblInd w:w="0" w:type="dxa"/>
        <w:tblCellMar>
          <w:top w:w="0" w:type="dxa"/>
          <w:left w:w="0" w:type="dxa"/>
          <w:bottom w:w="0" w:type="dxa"/>
          <w:right w:w="0" w:type="dxa"/>
        </w:tblCellMar>
      </w:tblPr>
      <w:tblGrid>
        <w:gridCol w:w="6320"/>
        <w:gridCol w:w="110"/>
        <w:gridCol w:w="605"/>
        <w:gridCol w:w="110"/>
        <w:gridCol w:w="90"/>
        <w:gridCol w:w="110"/>
        <w:gridCol w:w="605"/>
        <w:gridCol w:w="995"/>
      </w:tblGrid>
      <w:tr>
        <w:trPr/>
        <w:tc>
          <w:tcPr>
            <w:tcW w:w="8945" w:type="dxa"/>
            <w:gridSpan w:val="8"/>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CASH FLOWS</w:t>
            </w:r>
          </w:p>
        </w:tc>
      </w:tr>
      <w:tr>
        <w:trPr/>
        <w:tc>
          <w:tcPr>
            <w:tcW w:w="63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ind w:left="0" w:right="0" w:firstLine="420"/>
              <w:rPr>
                <w:sz w:val="4"/>
                <w:szCs w:val="4"/>
              </w:rPr>
            </w:pPr>
            <w:r>
              <w:rPr>
                <w:sz w:val="4"/>
                <w:szCs w:val="4"/>
              </w:rPr>
            </w:r>
          </w:p>
        </w:tc>
      </w:tr>
      <w:tr>
        <w:trPr/>
        <w:tc>
          <w:tcPr>
            <w:tcW w:w="6320" w:type="dxa"/>
            <w:tcBorders/>
            <w:shd w:fill="auto" w:val="clear"/>
            <w:vAlign w:val="center"/>
          </w:tcPr>
          <w:p>
            <w:pPr>
              <w:pStyle w:val="TableContents"/>
              <w:spacing w:before="0" w:after="0"/>
              <w:ind w:left="0" w:right="0" w:firstLine="30"/>
              <w:jc w:val="left"/>
              <w:rPr/>
            </w:pPr>
            <w:r>
              <w:rPr/>
              <w:t> </w:t>
            </w:r>
          </w:p>
        </w:tc>
        <w:tc>
          <w:tcPr>
            <w:tcW w:w="262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6320" w:type="dxa"/>
            <w:tcBorders/>
            <w:shd w:fill="auto" w:val="clear"/>
            <w:vAlign w:val="center"/>
          </w:tcPr>
          <w:p>
            <w:pPr>
              <w:pStyle w:val="TableContents"/>
              <w:spacing w:before="0" w:after="0"/>
              <w:ind w:left="0" w:right="0" w:firstLine="30"/>
              <w:jc w:val="left"/>
              <w:rPr/>
            </w:pPr>
            <w:r>
              <w:rPr/>
              <w:t> </w:t>
            </w:r>
          </w:p>
        </w:tc>
        <w:tc>
          <w:tcPr>
            <w:tcW w:w="8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r>
      <w:tr>
        <w:trPr/>
        <w:tc>
          <w:tcPr>
            <w:tcW w:w="632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shd w:fill="auto" w:val="clear"/>
            <w:vAlign w:val="center"/>
          </w:tcPr>
          <w:p>
            <w:pPr>
              <w:pStyle w:val="TableContents"/>
              <w:spacing w:before="0" w:after="0"/>
              <w:ind w:left="0" w:right="0" w:firstLine="30"/>
              <w:rPr/>
            </w:pPr>
            <w:r>
              <w:rPr/>
              <w:t> </w:t>
            </w:r>
          </w:p>
        </w:tc>
      </w:tr>
      <w:tr>
        <w:trPr/>
        <w:tc>
          <w:tcPr>
            <w:tcW w:w="6320" w:type="dxa"/>
            <w:tcBorders/>
            <w:shd w:fill="auto" w:val="clear"/>
            <w:vAlign w:val="center"/>
          </w:tcPr>
          <w:p>
            <w:pPr>
              <w:pStyle w:val="TableContents"/>
              <w:spacing w:before="0" w:after="0"/>
              <w:ind w:left="0" w:right="0" w:firstLine="30"/>
              <w:rPr/>
            </w:pPr>
            <w:r>
              <w:rPr/>
              <w:t> </w:t>
            </w:r>
          </w:p>
        </w:tc>
        <w:tc>
          <w:tcPr>
            <w:tcW w:w="2625"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6320" w:type="dxa"/>
            <w:tcBorders/>
            <w:shd w:fill="auto" w:val="clear"/>
            <w:vAlign w:val="center"/>
          </w:tcPr>
          <w:p>
            <w:pPr>
              <w:pStyle w:val="TableContents"/>
              <w:spacing w:before="0" w:after="0"/>
              <w:ind w:left="0" w:right="0" w:firstLine="30"/>
              <w:jc w:val="left"/>
              <w:rPr/>
            </w:pPr>
            <w:r>
              <w:rPr/>
              <w:t> </w:t>
            </w:r>
          </w:p>
        </w:tc>
        <w:tc>
          <w:tcPr>
            <w:tcW w:w="262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Operating activities: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10" w:type="dxa"/>
            <w:gridSpan w:val="3"/>
            <w:tcBorders/>
            <w:shd w:fill="CCEEFF" w:val="clear"/>
            <w:vAlign w:val="center"/>
          </w:tcPr>
          <w:p>
            <w:pPr>
              <w:pStyle w:val="TableContents"/>
              <w:spacing w:before="0" w:after="0"/>
              <w:ind w:left="0" w:right="0" w:firstLine="300"/>
              <w:rPr/>
            </w:pPr>
            <w:r>
              <w:rPr/>
              <w:t> </w:t>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23,572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14,894</w:t>
            </w:r>
          </w:p>
        </w:tc>
        <w:tc>
          <w:tcPr>
            <w:tcW w:w="99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Adjustments to reconcile net income to net cash flows from operating activities: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10" w:type="dxa"/>
            <w:gridSpan w:val="3"/>
            <w:tcBorders/>
            <w:shd w:fill="CCEEFF" w:val="clear"/>
            <w:vAlign w:val="center"/>
          </w:tcPr>
          <w:p>
            <w:pPr>
              <w:pStyle w:val="TableContents"/>
              <w:spacing w:before="0" w:after="0"/>
              <w:ind w:left="0" w:right="0" w:firstLine="780"/>
              <w:rPr/>
            </w:pPr>
            <w:r>
              <w:rPr/>
              <w:t> </w:t>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Depreciation and amortization</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12,174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12,403</w:t>
            </w:r>
          </w:p>
        </w:tc>
        <w:tc>
          <w:tcPr>
            <w:tcW w:w="99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Amortization of debt discount and deferred financing costs</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7,439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5,755</w:t>
            </w:r>
          </w:p>
        </w:tc>
        <w:tc>
          <w:tcPr>
            <w:tcW w:w="99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Accretion of notes receivable discount and deferred compensation fee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(5,032</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(1,928</w:t>
            </w:r>
          </w:p>
        </w:tc>
        <w:tc>
          <w:tcPr>
            <w:tcW w:w="995" w:type="dxa"/>
            <w:tcBorders/>
            <w:shd w:fill="auto" w:val="clear"/>
            <w:vAlign w:val="center"/>
          </w:tcPr>
          <w:p>
            <w:pPr>
              <w:pStyle w:val="TableContents"/>
              <w:spacing w:before="0" w:after="0"/>
              <w:ind w:left="0" w:right="0" w:firstLine="780"/>
              <w:jc w:val="left"/>
              <w:rPr>
                <w:rFonts w:ascii="inherit" w:hAnsi="inherit"/>
                <w:sz w:val="15"/>
              </w:rPr>
            </w:pPr>
            <w:r>
              <w:rPr>
                <w:rFonts w:ascii="inherit" w:hAnsi="inherit"/>
                <w:sz w:val="15"/>
              </w:rPr>
              <w:t>)</w:t>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income taxes</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2,801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(664</w:t>
            </w:r>
          </w:p>
        </w:tc>
        <w:tc>
          <w:tcPr>
            <w:tcW w:w="995" w:type="dxa"/>
            <w:tcBorders/>
            <w:shd w:fill="CCEEFF" w:val="clear"/>
            <w:vAlign w:val="center"/>
          </w:tcPr>
          <w:p>
            <w:pPr>
              <w:pStyle w:val="TableContents"/>
              <w:spacing w:before="0" w:after="0"/>
              <w:ind w:left="0" w:right="0" w:firstLine="780"/>
              <w:jc w:val="left"/>
              <w:rPr>
                <w:rFonts w:ascii="inherit" w:hAnsi="inherit"/>
                <w:sz w:val="15"/>
              </w:rPr>
            </w:pPr>
            <w:r>
              <w:rPr>
                <w:rFonts w:ascii="inherit" w:hAnsi="inherit"/>
                <w:sz w:val="15"/>
              </w:rPr>
              <w:t>)</w:t>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adjustments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1,081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911</w:t>
            </w:r>
          </w:p>
        </w:tc>
        <w:tc>
          <w:tcPr>
            <w:tcW w:w="99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Stock compensation expense</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5,534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3,575</w:t>
            </w:r>
          </w:p>
        </w:tc>
        <w:tc>
          <w:tcPr>
            <w:tcW w:w="99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investment in unconsolidated affiliate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(2,326</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(2,721</w:t>
            </w:r>
          </w:p>
        </w:tc>
        <w:tc>
          <w:tcPr>
            <w:tcW w:w="995"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Changes in operating assets and liabilities, net of business acquisitions: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10" w:type="dxa"/>
            <w:gridSpan w:val="3"/>
            <w:tcBorders/>
            <w:shd w:fill="CCEEFF" w:val="clear"/>
            <w:vAlign w:val="center"/>
          </w:tcPr>
          <w:p>
            <w:pPr>
              <w:pStyle w:val="TableContents"/>
              <w:spacing w:before="0" w:after="0"/>
              <w:ind w:left="0" w:right="0" w:firstLine="540"/>
              <w:rPr/>
            </w:pPr>
            <w:r>
              <w:rPr/>
              <w:t> </w:t>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Service charges and fees receivable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3,964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4,151</w:t>
            </w:r>
          </w:p>
        </w:tc>
        <w:tc>
          <w:tcPr>
            <w:tcW w:w="99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Inventory</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(628</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708</w:t>
            </w:r>
          </w:p>
        </w:tc>
        <w:tc>
          <w:tcPr>
            <w:tcW w:w="99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other current assets and other assets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(3,245</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5,898</w:t>
            </w:r>
          </w:p>
        </w:tc>
        <w:tc>
          <w:tcPr>
            <w:tcW w:w="99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accrued expenses and other liabilities</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(5,006</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(30,120</w:t>
            </w:r>
          </w:p>
        </w:tc>
        <w:tc>
          <w:tcPr>
            <w:tcW w:w="995" w:type="dxa"/>
            <w:tcBorders/>
            <w:shd w:fill="CCEEFF" w:val="cle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Customer layaway deposits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1,128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240</w:t>
            </w:r>
          </w:p>
        </w:tc>
        <w:tc>
          <w:tcPr>
            <w:tcW w:w="99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taxes, net of excess tax benefit from stock compensation</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4,085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7,590</w:t>
            </w:r>
          </w:p>
        </w:tc>
        <w:tc>
          <w:tcPr>
            <w:tcW w:w="995" w:type="dxa"/>
            <w:tcBorders/>
            <w:shd w:fill="CCEEFF" w:val="cle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cash provided by operating activities</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45,541</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20,692</w:t>
            </w:r>
          </w:p>
        </w:tc>
        <w:tc>
          <w:tcPr>
            <w:tcW w:w="99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Investing activities: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10" w:type="dxa"/>
            <w:gridSpan w:val="3"/>
            <w:tcBorders/>
            <w:shd w:fill="CCEEFF" w:val="clear"/>
            <w:vAlign w:val="center"/>
          </w:tcPr>
          <w:p>
            <w:pPr>
              <w:pStyle w:val="TableContents"/>
              <w:spacing w:before="0" w:after="0"/>
              <w:ind w:left="0" w:right="0" w:firstLine="300"/>
              <w:rPr/>
            </w:pPr>
            <w:r>
              <w:rPr/>
              <w:t> </w:t>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Loans made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(330,732</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(300,604</w:t>
            </w:r>
          </w:p>
        </w:tc>
        <w:tc>
          <w:tcPr>
            <w:tcW w:w="995"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Loans repaid</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220,267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199,080</w:t>
            </w:r>
          </w:p>
        </w:tc>
        <w:tc>
          <w:tcPr>
            <w:tcW w:w="99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Recovery of pawn loan principal through sale of forfeited collateral</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134,870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128,238</w:t>
            </w:r>
          </w:p>
        </w:tc>
        <w:tc>
          <w:tcPr>
            <w:tcW w:w="99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Additions to property and equipment and capitalized labor, net</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(19,251</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(8,020</w:t>
            </w:r>
          </w:p>
        </w:tc>
        <w:tc>
          <w:tcPr>
            <w:tcW w:w="995" w:type="dxa"/>
            <w:tcBorders/>
            <w:shd w:fill="CCEEFF"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Acquisitions, net of cash acquired</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(63,780</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99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Principal collections on notes receivable</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9,152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15,051</w:t>
            </w:r>
          </w:p>
        </w:tc>
        <w:tc>
          <w:tcPr>
            <w:tcW w:w="995" w:type="dxa"/>
            <w:tcBorders/>
            <w:shd w:fill="CCEEFF" w:val="cle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cash (used in) provided by investing activities</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(49,474</w:t>
            </w:r>
          </w:p>
        </w:tc>
        <w:tc>
          <w:tcPr>
            <w:tcW w:w="11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33,745</w:t>
            </w:r>
          </w:p>
        </w:tc>
        <w:tc>
          <w:tcPr>
            <w:tcW w:w="99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Financing activities: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10" w:type="dxa"/>
            <w:gridSpan w:val="3"/>
            <w:tcBorders/>
            <w:shd w:fill="CCEEFF" w:val="clear"/>
            <w:vAlign w:val="center"/>
          </w:tcPr>
          <w:p>
            <w:pPr>
              <w:pStyle w:val="TableContents"/>
              <w:spacing w:before="0" w:after="0"/>
              <w:ind w:left="0" w:right="0" w:firstLine="300"/>
              <w:rPr/>
            </w:pPr>
            <w:r>
              <w:rPr/>
              <w:t> </w:t>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Taxes paid related to net share settlement of equity awards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(311</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(767</w:t>
            </w:r>
          </w:p>
        </w:tc>
        <w:tc>
          <w:tcPr>
            <w:tcW w:w="995" w:type="dxa"/>
            <w:tcBorders/>
            <w:shd w:fill="auto" w:val="clear"/>
            <w:vAlign w:val="center"/>
          </w:tcPr>
          <w:p>
            <w:pPr>
              <w:pStyle w:val="TableContents"/>
              <w:spacing w:before="0" w:after="0"/>
              <w:ind w:left="0" w:right="0" w:firstLine="900"/>
              <w:jc w:val="left"/>
              <w:rPr>
                <w:rFonts w:ascii="inherit" w:hAnsi="inherit"/>
                <w:sz w:val="15"/>
              </w:rPr>
            </w:pPr>
            <w:r>
              <w:rPr>
                <w:rFonts w:ascii="inherit" w:hAnsi="inherit"/>
                <w:sz w:val="15"/>
              </w:rPr>
              <w:t>)</w:t>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 xml:space="preserve">Net cash used in financing activities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(311</w:t>
            </w:r>
          </w:p>
        </w:tc>
        <w:tc>
          <w:tcPr>
            <w:tcW w:w="11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(767</w:t>
            </w:r>
          </w:p>
        </w:tc>
        <w:tc>
          <w:tcPr>
            <w:tcW w:w="99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Effect of exchange rate changes on cash and cash equivalents</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(237</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692</w:t>
            </w:r>
          </w:p>
        </w:tc>
        <w:tc>
          <w:tcPr>
            <w:tcW w:w="9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(decrease) increase in cash and cash equivalents</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(4,481</w:t>
            </w:r>
          </w:p>
        </w:tc>
        <w:tc>
          <w:tcPr>
            <w:tcW w:w="11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54,362</w:t>
            </w:r>
          </w:p>
        </w:tc>
        <w:tc>
          <w:tcPr>
            <w:tcW w:w="9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 at beginning of period</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164,393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65,737</w:t>
            </w:r>
          </w:p>
        </w:tc>
        <w:tc>
          <w:tcPr>
            <w:tcW w:w="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 at end of period</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159,912</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120,099</w:t>
            </w:r>
          </w:p>
        </w:tc>
        <w:tc>
          <w:tcPr>
            <w:tcW w:w="99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2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shd w:fill="auto" w:val="clear"/>
            <w:vAlign w:val="center"/>
          </w:tcPr>
          <w:p>
            <w:pPr>
              <w:pStyle w:val="TableContents"/>
              <w:spacing w:before="0" w:after="0"/>
              <w:ind w:left="0" w:right="0" w:firstLine="30"/>
              <w:rPr/>
            </w:pPr>
            <w:r>
              <w:rPr/>
              <w:t> </w:t>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Non-cash investing and financing activities: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10" w:type="dxa"/>
            <w:gridSpan w:val="3"/>
            <w:tcBorders/>
            <w:shd w:fill="CCEEFF" w:val="clear"/>
            <w:vAlign w:val="center"/>
          </w:tcPr>
          <w:p>
            <w:pPr>
              <w:pStyle w:val="TableContents"/>
              <w:spacing w:before="0" w:after="0"/>
              <w:ind w:left="0" w:right="0" w:firstLine="300"/>
              <w:rPr/>
            </w:pPr>
            <w:r>
              <w:rPr/>
              <w:t> </w:t>
            </w:r>
          </w:p>
        </w:tc>
      </w:tr>
      <w:tr>
        <w:trPr/>
        <w:tc>
          <w:tcPr>
            <w:tcW w:w="63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loans forfeited and transferred to inventory</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134,952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125,165</w:t>
            </w:r>
          </w:p>
        </w:tc>
        <w:tc>
          <w:tcPr>
            <w:tcW w:w="99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Dividend reinvestment acquisition of additional ownership in unconsolidated affiliate</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1,153</w:t>
            </w:r>
          </w:p>
        </w:tc>
        <w:tc>
          <w:tcPr>
            <w:tcW w:w="99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5"/>
        </w:rPr>
      </w:pPr>
      <w:r>
        <w:rPr>
          <w:rFonts w:ascii="inherit" w:hAnsi="inherit"/>
          <w:i/>
          <w:sz w:val="15"/>
        </w:rPr>
        <w:t>See accompanying notes to unaudited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pPr>
      <w:hyperlink w:anchor="sA33FD6028AA25395924ED4406F429385">
        <w:bookmarkStart w:id="11" w:name="sEC0D0F5EEEC55B9A90E2D06EE4C79E4E"/>
        <w:bookmarkEnd w:id="11"/>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Notes to Interim Condensed Consolidated Financial Statements (Unaudited)</w:t>
      </w:r>
    </w:p>
    <w:p>
      <w:pPr>
        <w:pStyle w:val="TextBody"/>
        <w:spacing w:lineRule="auto" w:line="288" w:before="0" w:after="0"/>
        <w:jc w:val="center"/>
        <w:rPr>
          <w:rFonts w:ascii="inherit" w:hAnsi="inherit"/>
          <w:b/>
          <w:sz w:val="17"/>
        </w:rPr>
      </w:pPr>
      <w:r>
        <w:rPr>
          <w:rFonts w:ascii="inherit" w:hAnsi="inherit"/>
          <w:b/>
          <w:sz w:val="17"/>
        </w:rPr>
        <w:t>March 31, 2018</w:t>
      </w:r>
    </w:p>
    <w:p>
      <w:pPr>
        <w:pStyle w:val="TextBody"/>
        <w:spacing w:lineRule="auto" w:line="288" w:before="0" w:after="0"/>
        <w:rPr>
          <w:sz w:val="17"/>
        </w:rPr>
      </w:pPr>
      <w:bookmarkStart w:id="12" w:name="sF4314A6D39B4523E9959AACDEDFD3F99"/>
      <w:bookmarkEnd w:id="12"/>
      <w:r>
        <w:rPr>
          <w:rFonts w:ascii="inherit" w:hAnsi="inherit"/>
          <w:b/>
          <w:sz w:val="17"/>
        </w:rPr>
        <w:t>NOTE 1: ORGANIZATION AND SUMMARY OF SIGNIFICANT ACCOUNTING POLICIES</w:t>
      </w:r>
      <w:r>
        <w:rPr>
          <w:sz w:val="17"/>
        </w:rPr>
        <w:t xml:space="preserve"> </w:t>
      </w:r>
    </w:p>
    <w:p>
      <w:pPr>
        <w:pStyle w:val="TextBody"/>
        <w:spacing w:lineRule="auto" w:line="288" w:before="0" w:after="0"/>
        <w:rPr>
          <w:rFonts w:ascii="inherit" w:hAnsi="inherit"/>
          <w:b/>
          <w:i/>
          <w:sz w:val="17"/>
        </w:rPr>
      </w:pPr>
      <w:r>
        <w:rPr>
          <w:rFonts w:ascii="inherit" w:hAnsi="inherit"/>
          <w:b/>
          <w:i/>
          <w:sz w:val="17"/>
        </w:rPr>
        <w:t>Description of Business</w:t>
      </w:r>
    </w:p>
    <w:p>
      <w:pPr>
        <w:pStyle w:val="TextBody"/>
        <w:spacing w:lineRule="auto" w:line="288" w:before="0" w:after="0"/>
        <w:rPr>
          <w:rFonts w:ascii="inherit" w:hAnsi="inherit"/>
          <w:sz w:val="17"/>
        </w:rPr>
      </w:pPr>
      <w:r>
        <w:rPr>
          <w:rFonts w:ascii="inherit" w:hAnsi="inherit"/>
          <w:sz w:val="17"/>
        </w:rPr>
        <w:t>When used in this report, the terms “we,” “us,” “our,” “EZCORP” and the “Company” mean EZCORP, Inc. and its consolidated subsidiaries, collectively.</w:t>
      </w:r>
    </w:p>
    <w:p>
      <w:pPr>
        <w:pStyle w:val="TextBody"/>
        <w:spacing w:lineRule="auto" w:line="288" w:before="0" w:after="0"/>
        <w:rPr>
          <w:rFonts w:ascii="inherit" w:hAnsi="inherit"/>
          <w:sz w:val="17"/>
        </w:rPr>
      </w:pPr>
      <w:r>
        <w:rPr>
          <w:rFonts w:ascii="inherit" w:hAnsi="inherit"/>
          <w:sz w:val="17"/>
        </w:rPr>
        <w:t>We are a leading provider of pawn loans in the United States and Latin America.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pStyle w:val="TextBody"/>
        <w:spacing w:lineRule="auto" w:line="288" w:before="0" w:after="0"/>
        <w:rPr>
          <w:rFonts w:ascii="inherit" w:hAnsi="inherit"/>
          <w:b/>
          <w:i/>
          <w:sz w:val="17"/>
        </w:rPr>
      </w:pPr>
      <w:r>
        <w:rPr>
          <w:rFonts w:ascii="inherit" w:hAnsi="inherit"/>
          <w:b/>
          <w:i/>
          <w:sz w:val="17"/>
        </w:rPr>
        <w:t>Basis of Presentation</w:t>
      </w:r>
    </w:p>
    <w:p>
      <w:pPr>
        <w:pStyle w:val="TextBody"/>
        <w:spacing w:lineRule="auto" w:line="288" w:before="0" w:after="0"/>
        <w:rPr>
          <w:rFonts w:ascii="inherit" w:hAnsi="inherit"/>
          <w:sz w:val="17"/>
        </w:rPr>
      </w:pPr>
      <w:r>
        <w:rPr>
          <w:rFonts w:ascii="inherit" w:hAnsi="inherit"/>
          <w:sz w:val="17"/>
        </w:rPr>
        <w:t>The accompanying unaudited interim condensed consolidated financial statements have been prepared in accordance with accounting principles generally accepted in the United States (“GAAP”)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which are of a normal, recurring nature. All intercompany accounts and transactions have been eliminated in consolidation.</w:t>
      </w:r>
    </w:p>
    <w:p>
      <w:pPr>
        <w:pStyle w:val="TextBody"/>
        <w:spacing w:lineRule="auto" w:line="288" w:before="0" w:after="0"/>
        <w:rPr>
          <w:sz w:val="17"/>
        </w:rPr>
      </w:pPr>
      <w:r>
        <w:rPr>
          <w:rFonts w:ascii="inherit" w:hAnsi="inherit"/>
          <w:sz w:val="17"/>
        </w:rPr>
        <w:t>The accompanying financial statements should be read in conjunction with the consolidated financial statements and notes included in our Annual Report on Form 10-K for the year ended September 30, 2017. The balance sheet as of September 30, 2017</w:t>
      </w:r>
      <w:r>
        <w:rPr>
          <w:sz w:val="17"/>
        </w:rPr>
        <w:t xml:space="preserve"> </w:t>
      </w:r>
      <w:r>
        <w:rPr>
          <w:rFonts w:ascii="inherit" w:hAnsi="inherit"/>
          <w:sz w:val="17"/>
        </w:rPr>
        <w:t xml:space="preserve">has been derived from the audited financial statements at that date but does not include all of the information and footnotes required by GAAP for complete financial statements. </w:t>
      </w:r>
    </w:p>
    <w:p>
      <w:pPr>
        <w:pStyle w:val="TextBody"/>
        <w:spacing w:lineRule="auto" w:line="288" w:before="0" w:after="0"/>
        <w:rPr>
          <w:sz w:val="17"/>
        </w:rPr>
      </w:pPr>
      <w:r>
        <w:rPr>
          <w:rFonts w:ascii="inherit" w:hAnsi="inherit"/>
          <w:sz w:val="17"/>
        </w:rPr>
        <w:t>Our business is subject to seasonal variations, and operating results for the three and six</w:t>
      </w:r>
      <w:r>
        <w:rPr>
          <w:sz w:val="17"/>
        </w:rPr>
        <w:t xml:space="preserve"> </w:t>
      </w:r>
      <w:r>
        <w:rPr>
          <w:rFonts w:ascii="inherit" w:hAnsi="inherit"/>
          <w:sz w:val="17"/>
        </w:rPr>
        <w:t>months ended March 31, 2018</w:t>
      </w:r>
      <w:r>
        <w:rPr>
          <w:sz w:val="17"/>
        </w:rPr>
        <w:t xml:space="preserve"> </w:t>
      </w:r>
      <w:r>
        <w:rPr>
          <w:rFonts w:ascii="inherit" w:hAnsi="inherit"/>
          <w:sz w:val="17"/>
        </w:rPr>
        <w:t>and 2017</w:t>
      </w:r>
      <w:r>
        <w:rPr>
          <w:sz w:val="17"/>
        </w:rPr>
        <w:t xml:space="preserve"> </w:t>
      </w:r>
      <w:r>
        <w:rPr>
          <w:rFonts w:ascii="inherit" w:hAnsi="inherit"/>
          <w:sz w:val="17"/>
        </w:rPr>
        <w:t>(the "current quarter" and "current six-months" and "prior-year quarter" and "prior-year six-months," respectively) are not necessarily indicative of the results of operations for the full fiscal year.</w:t>
      </w:r>
    </w:p>
    <w:p>
      <w:pPr>
        <w:pStyle w:val="TextBody"/>
        <w:spacing w:lineRule="auto" w:line="288" w:before="0" w:after="0"/>
        <w:rPr>
          <w:rFonts w:ascii="inherit" w:hAnsi="inherit"/>
          <w:sz w:val="17"/>
        </w:rPr>
      </w:pPr>
      <w:r>
        <w:rPr>
          <w:rFonts w:ascii="inherit" w:hAnsi="inherit"/>
          <w:sz w:val="17"/>
        </w:rPr>
        <w:t>There have been no changes in significant accounting policies as described in our Annual Report on Form 10-K for the year ended September 30, 2017.</w:t>
      </w:r>
    </w:p>
    <w:p>
      <w:pPr>
        <w:pStyle w:val="TextBody"/>
        <w:spacing w:lineRule="auto" w:line="288" w:before="0" w:after="0"/>
        <w:rPr>
          <w:rFonts w:ascii="inherit" w:hAnsi="inherit"/>
          <w:b/>
          <w:i/>
          <w:sz w:val="17"/>
        </w:rPr>
      </w:pPr>
      <w:r>
        <w:rPr>
          <w:rFonts w:ascii="inherit" w:hAnsi="inherit"/>
          <w:b/>
          <w:i/>
          <w:sz w:val="17"/>
        </w:rPr>
        <w:t>Reclassifications to Prior Period Financial Statements</w:t>
      </w:r>
    </w:p>
    <w:p>
      <w:pPr>
        <w:pStyle w:val="TextBody"/>
        <w:spacing w:lineRule="auto" w:line="288" w:before="0" w:after="0"/>
        <w:rPr>
          <w:rFonts w:ascii="inherit" w:hAnsi="inherit"/>
          <w:sz w:val="17"/>
        </w:rPr>
      </w:pPr>
      <w:r>
        <w:rPr>
          <w:rFonts w:ascii="inherit" w:hAnsi="inherit"/>
          <w:sz w:val="17"/>
        </w:rPr>
        <w:t>Certain reclassifications of prior period amounts have been made. These reclassifications were made to conform to the current period presentation.</w:t>
      </w:r>
    </w:p>
    <w:p>
      <w:pPr>
        <w:pStyle w:val="TextBody"/>
        <w:spacing w:lineRule="auto" w:line="288" w:before="0" w:after="0"/>
        <w:rPr>
          <w:rFonts w:ascii="inherit" w:hAnsi="inherit"/>
          <w:b/>
          <w:i/>
          <w:sz w:val="17"/>
        </w:rPr>
      </w:pPr>
      <w:r>
        <w:rPr>
          <w:rFonts w:ascii="inherit" w:hAnsi="inherit"/>
          <w:b/>
          <w:i/>
          <w:sz w:val="17"/>
        </w:rPr>
        <w:t>Use of Estimates and Assumptions</w:t>
      </w:r>
    </w:p>
    <w:p>
      <w:pPr>
        <w:pStyle w:val="TextBody"/>
        <w:spacing w:lineRule="auto" w:line="288" w:before="0" w:after="0"/>
        <w:rPr>
          <w:rFonts w:ascii="inherit" w:hAnsi="inherit"/>
          <w:sz w:val="17"/>
        </w:rPr>
      </w:pPr>
      <w:r>
        <w:rPr>
          <w:rFonts w:ascii="inherit" w:hAnsi="inherit"/>
          <w:sz w:val="17"/>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inventories,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pStyle w:val="TextBody"/>
        <w:spacing w:lineRule="auto" w:line="288" w:before="0" w:after="0"/>
        <w:rPr>
          <w:rFonts w:ascii="inherit" w:hAnsi="inherit"/>
          <w:b/>
          <w:i/>
          <w:sz w:val="17"/>
        </w:rPr>
      </w:pPr>
      <w:r>
        <w:rPr>
          <w:rFonts w:ascii="inherit" w:hAnsi="inherit"/>
          <w:b/>
          <w:i/>
          <w:sz w:val="17"/>
        </w:rPr>
        <w:t>Income Taxes</w:t>
      </w:r>
    </w:p>
    <w:p>
      <w:pPr>
        <w:pStyle w:val="TextBody"/>
        <w:spacing w:lineRule="auto" w:line="288" w:before="0" w:after="0"/>
        <w:rPr>
          <w:sz w:val="17"/>
        </w:rPr>
      </w:pPr>
      <w:r>
        <w:rPr>
          <w:rFonts w:ascii="inherit" w:hAnsi="inherit"/>
          <w:sz w:val="17"/>
        </w:rPr>
        <w:t>On December 22, 2017, the Tax Cuts and Jobs Act of 2017 (the "Act") was signed into law. Among other things, the Act reduces the U.S. federal corporate tax rate from 35%</w:t>
      </w:r>
      <w:r>
        <w:rPr>
          <w:sz w:val="17"/>
        </w:rPr>
        <w:t xml:space="preserve"> </w:t>
      </w:r>
      <w:r>
        <w:rPr>
          <w:rFonts w:ascii="inherit" w:hAnsi="inherit"/>
          <w:sz w:val="17"/>
        </w:rPr>
        <w:t>to 21%, requires companies to pay a one-time transition tax on earnings of certain foreign subsidiaries that were previously tax deferred and creates new taxes on certain foreign sourced earnings. The corporate tax rate reduction was effective as of January 1, 2018 and, accordingly, reduced our current fiscal year federal statutory rate to a blended rate of 24.5%, and will further reduce it to 21%</w:t>
      </w:r>
      <w:r>
        <w:rPr>
          <w:sz w:val="17"/>
        </w:rPr>
        <w:t xml:space="preserve"> </w:t>
      </w:r>
      <w:r>
        <w:rPr>
          <w:rFonts w:ascii="inherit" w:hAnsi="inherit"/>
          <w:sz w:val="17"/>
        </w:rPr>
        <w:t>beginning in fiscal 2019. As of March 31, 2018, while we are able to make reasonable estimates of the impact of the reduction in the corporate rate and the deemed repatriation transition tax, the final impact of the Act may differ from these estimates, due to, among other things, changes in our interpretations and assumptions, additional guidance that may be issued by the Internal Revenue Service, and actions we may take. We are continuing to gather additional information to determine the final impact of the Act. We recognized $2.8 million</w:t>
      </w:r>
      <w:r>
        <w:rPr>
          <w:sz w:val="17"/>
        </w:rPr>
        <w:t xml:space="preserv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during the quarter ended December 31, 2017, as discussed below, for the revaluation of our deferred tax assets and liabilities upon enactment of the Act, which is included as a component of "Income tax expense" in our condensed consolidated statements of operations.</w:t>
      </w:r>
    </w:p>
    <w:p>
      <w:pPr>
        <w:pStyle w:val="TextBody"/>
        <w:spacing w:lineRule="auto" w:line="288" w:before="0" w:after="0"/>
        <w:rPr>
          <w:rFonts w:ascii="inherit" w:hAnsi="inherit"/>
          <w:i/>
          <w:sz w:val="17"/>
        </w:rPr>
      </w:pPr>
      <w:r>
        <w:rPr>
          <w:rFonts w:ascii="inherit" w:hAnsi="inherit"/>
          <w:i/>
          <w:sz w:val="17"/>
        </w:rPr>
        <w:t xml:space="preserve">Provisional amounts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sz w:val="17"/>
              </w:rPr>
            </w:pPr>
            <w:r>
              <w:rPr>
                <w:rFonts w:ascii="inherit" w:hAnsi="inherit"/>
                <w:sz w:val="17"/>
              </w:rPr>
              <w:t>Deferred tax assets and liabilities: We remeasured certain deferred tax assets and liabilities based on the rates at which they are expected to reverse in the future, which is generally either 24.5%</w:t>
            </w:r>
            <w:r>
              <w:rPr>
                <w:sz w:val="17"/>
              </w:rPr>
              <w:t xml:space="preserve"> </w:t>
            </w:r>
            <w:r>
              <w:rPr>
                <w:rFonts w:ascii="inherit" w:hAnsi="inherit"/>
                <w:sz w:val="17"/>
              </w:rPr>
              <w:t>or 21%, depending on whether they are expected to reverse in fiscal 2018 or in future fiscal years. We also recorded a valuation allowance against certain foreign tax credit carryforwards which management does not believe will be realized based on changes in the taxation of dividends of foreign subsidiaries in the Act. The amount recorded related to the remeasurement of our deferred tax balances was $2.8 million. This amount was recorded in the quarter ended December 31, 2017 with no further adjustment in the current quarter.</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Foreign tax effects: The one-time transition tax is based on our total post-1986 earnings and profits ("E&amp;P") for which we have previously deferred U.S. income taxes. We do not believe that we will owe any transition tax as we have foreign tax credits sufficient to cover the tax that we estimate will be due on the deferred earnings of our foreign subsidiaries. No additional income taxes have been provided for any remaining undistributed foreign earnings not subject to the transition tax and any additional outside basis difference inherent in these entities as these amounts continue to be indefinitely reinvested in foreign operations.</w:t>
            </w:r>
          </w:p>
        </w:tc>
      </w:tr>
    </w:tbl>
    <w:p>
      <w:pPr>
        <w:pStyle w:val="TextBody"/>
        <w:spacing w:lineRule="auto" w:line="288" w:before="0" w:after="0"/>
        <w:rPr>
          <w:rFonts w:ascii="inherit" w:hAnsi="inherit"/>
          <w:b/>
          <w:i/>
          <w:sz w:val="17"/>
        </w:rPr>
      </w:pPr>
      <w:r>
        <w:rPr>
          <w:rFonts w:ascii="inherit" w:hAnsi="inherit"/>
          <w:b/>
          <w:i/>
          <w:sz w:val="17"/>
        </w:rPr>
        <w:t>Recently Adopted Accounting Policies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 March 2018, the Financial Accounting Standards Board ("FASB") issued Accounting Standards Update ("ASU") 2018-05, Income Taxes — (Topic 740): Amendments to SEC (U.S. Securities and Exchange Commission) Paragraphs Pursuant to SEC Staff Accounting Bulletin No. 118. This ASU adds various paragraphs to the accounting standards codification from SEC Staff Accounting Bulletin No. 118. The provisions of this ASU are effective immediately. The discussion above of the impacts of the Act have incorporated the provisions of this ASU and SEC Staff Accounting Bulletin No. 118.</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In February 2018, the FASB issued ASU 2018-02, Income Statement — Reporting Comprehensive Income (Topic 220): Reclassification of Certain Tax Effects from Accumulated Other Comprehensive Income. This ASU allows entities to reclassify from accumulated other comprehensive income to retained earnings the stranded tax effects resulting from the Act. The provisions of this ASU are effective for fiscal years, and interim periods within those fiscal years, beginning after December 15, 2018. As allowed, we early adopted ASU 2018-02 on a prospective basis as of January 1, 2018 and reclassified $1.5 million</w:t>
            </w:r>
            <w:r>
              <w:rPr>
                <w:sz w:val="17"/>
              </w:rPr>
              <w:t xml:space="preserve"> </w:t>
            </w:r>
            <w:r>
              <w:rPr>
                <w:rFonts w:ascii="inherit" w:hAnsi="inherit"/>
                <w:sz w:val="17"/>
              </w:rPr>
              <w:t>of accumulated foreign currency translation associated with our unconsolidated affiliate Cash Converters International Limited (“Cash Converters International”), resulting from the stranded tax effects from the reduction of our effective tax rate, from accumulated other comprehensive loss to retained earnings.</w:t>
            </w:r>
          </w:p>
        </w:tc>
      </w:tr>
    </w:tbl>
    <w:p>
      <w:pPr>
        <w:pStyle w:val="TextBody"/>
        <w:spacing w:lineRule="auto" w:line="288" w:before="0" w:after="0"/>
        <w:jc w:val="left"/>
        <w:rPr>
          <w:rFonts w:ascii="inherit" w:hAnsi="inherit"/>
          <w:b/>
          <w:i/>
          <w:sz w:val="17"/>
        </w:rPr>
      </w:pPr>
      <w:r>
        <w:rPr>
          <w:rFonts w:ascii="inherit" w:hAnsi="inherit"/>
          <w:b/>
          <w:i/>
          <w:sz w:val="17"/>
        </w:rPr>
        <w:t>Recently Issued Accounting Pronouncements and Significant Accounting Policies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June 2016, the FASB issued ASU 2016-13, Financial Instruments — Credit Losses (Topic 326): Measurement of Credit Losses on Financial Instruments. This ASU requires financial assets (or groups of financial assets) measured at amortized cost basis to be presented at the net amount expected to be collected, among other provisions. The provisions of this ASU are effective for fiscal years, and interim periods within those fiscal years, beginning after December 15, 2019. Early adoption is permitted for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periods in which the amendment is effective. We have not identified any impacts to our financial statements that we believe will be material as a result of the adoption of the ASU, although we continue to evaluate the impact of adoption. We believe we are following an appropriate timeline to allow for proper recognition, presentation and disclosure upon adoption of the ASU which is effective for our fiscal 2021.</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In February 2016, the FASB issued ASU 2016-02, Leases (Topic 842). This ASU requires companies to generally recognize on the balance sheet operating and financing lease liabilities and corresponding right-of-use assets. The provisions of this ASU are effective for fiscal years beginning after December 15, 2018, and interim periods within those fiscal years. Early adoption is permitted based upon guidance issued within the ASU. We are in the process of evaluating the impact of adopting ASU 2016-02 on our consolidated financial position, results of operations and cash flows, and anticipate a material impact on our consolidated financial position. Additionally, we are evaluating the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ind w:left="0" w:right="0" w:firstLine="720"/>
        <w:jc w:val="left"/>
        <w:rPr>
          <w:rFonts w:ascii="inherit" w:hAnsi="inherit"/>
          <w:sz w:val="17"/>
        </w:rPr>
      </w:pPr>
      <w:r>
        <w:rPr>
          <w:rFonts w:ascii="inherit" w:hAnsi="inherit"/>
          <w:sz w:val="17"/>
        </w:rPr>
        <w:t>disclosure requirements under this ASU and are identifying and preparing to implement changes to our accounting policies, practices and controls to support adoption of the ASU and have completed upgrades to our third party software solution to support adoption. We will complete our implementation to allow for proper recognition, presentation and disclosure upon adoption of the ASU which is effective for our fiscal 2020.</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 May 2014, the FASB issued ASU 2014-09, Revenue from Contracts with Customers (Topic 606). In August 2015, the FASB issued ASU 2015-14, Revenue from Contracts with Customers (Topic 606) to defer the effective date to December 15, 2017 for annual reporting periods beginning after that date, with early adoption permitted, but not before the original effective date of December 15, 2016. The core principle of ASU 2014-09, and the subsequently issued ASUs modifying or clarifying ASU 2014-09, is that an entity should recognize revenue to depict the transfer of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new standard allows for two methods of adoption: (a) full retrospective adoption, meaning the standard is applied to all periods presented, or (b) modified retrospective adoption, meaning the cumulative effect of applying the new standard is recognized as an adjustment to the opening retained earnings balance.</w:t>
            </w:r>
          </w:p>
        </w:tc>
      </w:tr>
    </w:tbl>
    <w:p>
      <w:pPr>
        <w:pStyle w:val="TextBody"/>
        <w:spacing w:lineRule="auto" w:line="288" w:before="0" w:after="0"/>
        <w:ind w:left="0" w:right="0" w:firstLine="720"/>
        <w:rPr>
          <w:rFonts w:ascii="inherit" w:hAnsi="inherit"/>
          <w:sz w:val="17"/>
        </w:rPr>
      </w:pPr>
      <w:r>
        <w:rPr>
          <w:rFonts w:ascii="inherit" w:hAnsi="inherit"/>
          <w:sz w:val="17"/>
        </w:rPr>
        <w:t>We are evaluating the impact that will result from adopting ASU 2014-09 on our consolidated financial position, results of operations, cash flows and disclosure requirements. We currently anticipate adopting the ASU using the modified retrospective method. We do not believe the adoption will have an impact on our pawn service charges recognition as we do not believe such charges are within the scope of the ASU. Further, we have not identified any impacts to our financial statements that we believe will be material as a result of the adoption of the ASU for other revenue streams, although we continue to evaluate the impact of adoption. We believe we are following an appropriate timeline to allow for proper recognition, presentation and disclosure upon adoption of the ASU which is effective for our fiscal 2019.</w:t>
      </w:r>
    </w:p>
    <w:p>
      <w:pPr>
        <w:pStyle w:val="TextBody"/>
        <w:spacing w:lineRule="auto" w:line="288" w:before="0" w:after="0"/>
        <w:rPr>
          <w:sz w:val="17"/>
        </w:rPr>
      </w:pPr>
      <w:r>
        <w:rPr>
          <w:rFonts w:ascii="inherit" w:hAnsi="inherit"/>
          <w:sz w:val="17"/>
        </w:rPr>
        <w:t>Please refer to Note 1, Summary of Significant Accounting Policies, of Notes to Consolidated Financial Statements included in "Part II, Item 8 — Financial Statements and Supplementary Data" of our Annual Report on Form 10-K for the year ended September 30, 2017</w:t>
      </w:r>
      <w:r>
        <w:rPr>
          <w:sz w:val="17"/>
        </w:rPr>
        <w:t xml:space="preserve"> </w:t>
      </w:r>
      <w:r>
        <w:rPr>
          <w:rFonts w:ascii="inherit" w:hAnsi="inherit"/>
          <w:sz w:val="17"/>
        </w:rPr>
        <w:t>for discussion of our significant accounting policies and other accounting pronouncements issued but not yet adopted.</w:t>
      </w:r>
    </w:p>
    <w:p>
      <w:pPr>
        <w:pStyle w:val="TextBody"/>
        <w:spacing w:lineRule="auto" w:line="288" w:before="0" w:after="0"/>
        <w:rPr>
          <w:rFonts w:ascii="inherit" w:hAnsi="inherit"/>
          <w:b/>
          <w:sz w:val="17"/>
        </w:rPr>
      </w:pPr>
      <w:bookmarkStart w:id="13" w:name="s0140F928D8FA56B0B50F8D56C2B09CFA"/>
      <w:bookmarkEnd w:id="13"/>
      <w:r>
        <w:rPr>
          <w:rFonts w:ascii="inherit" w:hAnsi="inherit"/>
          <w:b/>
          <w:sz w:val="17"/>
        </w:rPr>
        <w:t>NOTE 2: ACQUISITIONS</w:t>
      </w:r>
    </w:p>
    <w:p>
      <w:pPr>
        <w:pStyle w:val="TextBody"/>
        <w:spacing w:lineRule="auto" w:line="288" w:before="0" w:after="0"/>
        <w:jc w:val="left"/>
        <w:rPr>
          <w:sz w:val="17"/>
        </w:rPr>
      </w:pPr>
      <w:r>
        <w:rPr>
          <w:rFonts w:ascii="inherit" w:hAnsi="inherit"/>
          <w:sz w:val="17"/>
        </w:rPr>
        <w:t>On October 6, 2017, we completed the acquisition of 100%</w:t>
      </w:r>
      <w:r>
        <w:rPr>
          <w:sz w:val="17"/>
        </w:rPr>
        <w:t> </w:t>
      </w:r>
      <w:r>
        <w:rPr>
          <w:rFonts w:ascii="inherit" w:hAnsi="inherit"/>
          <w:sz w:val="17"/>
        </w:rPr>
        <w:t>of the outstanding stock of Camira Administration Corp. and subsidiaries (“GPMX”), a business that owns and operates 112</w:t>
      </w:r>
      <w:r>
        <w:rPr>
          <w:sz w:val="17"/>
        </w:rPr>
        <w:t> </w:t>
      </w:r>
      <w:r>
        <w:rPr>
          <w:rFonts w:ascii="inherit" w:hAnsi="inherit"/>
          <w:sz w:val="17"/>
        </w:rPr>
        <w:t>stores located in Guatemala, El Salvador, Honduras and Peru. The GPMX acquisition significantly expands our store base into Latin American countries outside of Mexico and provides us with a platform for further growth in the region. Under the terms of the stock purchase agreement ("SPA"), we paid $53.4 million</w:t>
      </w:r>
      <w:r>
        <w:rPr>
          <w:sz w:val="17"/>
        </w:rPr>
        <w:t> </w:t>
      </w:r>
      <w:r>
        <w:rPr>
          <w:rFonts w:ascii="inherit" w:hAnsi="inherit"/>
          <w:sz w:val="17"/>
        </w:rPr>
        <w:t>in cash upon closing and, subsequent to the closing, paid $6.7 million</w:t>
      </w:r>
      <w:r>
        <w:rPr>
          <w:sz w:val="17"/>
        </w:rPr>
        <w:t xml:space="preserve"> </w:t>
      </w:r>
      <w:r>
        <w:rPr>
          <w:rFonts w:ascii="inherit" w:hAnsi="inherit"/>
          <w:sz w:val="17"/>
        </w:rPr>
        <w:t>to satisfy the acquired company's indebtedness to members of the seller’s affiliated group. The SPA specified a further $2.25 million</w:t>
      </w:r>
      <w:r>
        <w:rPr>
          <w:sz w:val="17"/>
        </w:rPr>
        <w:t> </w:t>
      </w:r>
      <w:r>
        <w:rPr>
          <w:rFonts w:ascii="inherit" w:hAnsi="inherit"/>
          <w:sz w:val="17"/>
        </w:rPr>
        <w:t>to be paid contingent upon performance of GPMX’s business during a period up to 24</w:t>
      </w:r>
      <w:r>
        <w:rPr>
          <w:sz w:val="17"/>
        </w:rPr>
        <w:t xml:space="preserve"> </w:t>
      </w:r>
      <w:r>
        <w:rPr>
          <w:rFonts w:ascii="inherit" w:hAnsi="inherit"/>
          <w:sz w:val="17"/>
        </w:rPr>
        <w:t>months following the closing date, and the business achieved the specified performance goal during the first quarter of fiscal 2018. Consequently, we made a final payment of $1.6 million</w:t>
      </w:r>
      <w:r>
        <w:rPr>
          <w:sz w:val="17"/>
        </w:rPr>
        <w:t xml:space="preserve"> </w:t>
      </w:r>
      <w:r>
        <w:rPr>
          <w:rFonts w:ascii="inherit" w:hAnsi="inherit"/>
          <w:sz w:val="17"/>
        </w:rPr>
        <w:t>in January 2018 in satisfaction of the contingent purchase price obligation, after reduction for certain adjustments under the SPA, yielding a total purchase price of $61.7 million.</w:t>
      </w:r>
    </w:p>
    <w:p>
      <w:pPr>
        <w:pStyle w:val="TextBody"/>
        <w:spacing w:lineRule="auto" w:line="288" w:before="0" w:after="0"/>
        <w:jc w:val="left"/>
        <w:rPr>
          <w:sz w:val="17"/>
        </w:rPr>
      </w:pPr>
      <w:r>
        <w:rPr>
          <w:rFonts w:ascii="inherit" w:hAnsi="inherit"/>
          <w:sz w:val="17"/>
        </w:rPr>
        <w:t>On December 4, 2017, we acquired 21</w:t>
      </w:r>
      <w:r>
        <w:rPr>
          <w:sz w:val="17"/>
        </w:rPr>
        <w:t xml:space="preserve"> </w:t>
      </w:r>
      <w:r>
        <w:rPr>
          <w:rFonts w:ascii="inherit" w:hAnsi="inherit"/>
          <w:sz w:val="17"/>
        </w:rPr>
        <w:t>pawn stores located in the Mexican state of Sinaloa and operating under the name "Bazareño," further expanding our geographic footprint within Mexico. The Bazareño stores make up the largest chain of pawn stores in Culiacan, the capital city of Sinaloa, giving EZCORP the number one position in that market with more than double the store count of the nearest competitor and an important strategic presence in the northwest region of Mexico. The majority of the purchase price was paid in cash, subject to finalization of deferred amounts.</w:t>
      </w:r>
    </w:p>
    <w:p>
      <w:pPr>
        <w:pStyle w:val="TextBody"/>
        <w:spacing w:lineRule="auto" w:line="288" w:before="0" w:after="0"/>
        <w:jc w:val="left"/>
        <w:rPr>
          <w:rFonts w:ascii="inherit" w:hAnsi="inherit"/>
          <w:sz w:val="17"/>
        </w:rPr>
      </w:pPr>
      <w:r>
        <w:rPr>
          <w:rFonts w:ascii="inherit" w:hAnsi="inherit"/>
          <w:sz w:val="17"/>
        </w:rPr>
        <w:t xml:space="preserve">With the completion of the GPMX acquisition, we have combined the results of that business with the results of our Mexico pawn business, and that reporting segment is now referred to as "Latin America Pawn." See Note 9, Segment Information, below. The acquisitions described above were both attributable to our Latin America Pawn segment and have been aggregated below. The allocation of the consideration for the net acquired assets from these business combinations was as follows, in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thousands:</w:t>
      </w:r>
    </w:p>
    <w:tbl>
      <w:tblPr>
        <w:tblW w:w="6695" w:type="dxa"/>
        <w:jc w:val="left"/>
        <w:tblInd w:w="0" w:type="dxa"/>
        <w:tblCellMar>
          <w:top w:w="0" w:type="dxa"/>
          <w:left w:w="0" w:type="dxa"/>
          <w:bottom w:w="0" w:type="dxa"/>
          <w:right w:w="0" w:type="dxa"/>
        </w:tblCellMar>
      </w:tblPr>
      <w:tblGrid>
        <w:gridCol w:w="5495"/>
        <w:gridCol w:w="90"/>
        <w:gridCol w:w="125"/>
        <w:gridCol w:w="590"/>
        <w:gridCol w:w="395"/>
      </w:tblGrid>
      <w:tr>
        <w:trPr/>
        <w:tc>
          <w:tcPr>
            <w:tcW w:w="6695" w:type="dxa"/>
            <w:gridSpan w:val="5"/>
            <w:tcBorders/>
            <w:shd w:fill="auto" w:val="clear"/>
            <w:vAlign w:val="center"/>
          </w:tcPr>
          <w:p>
            <w:pPr>
              <w:pStyle w:val="TableContents"/>
              <w:spacing w:before="0" w:after="283"/>
              <w:rPr>
                <w:sz w:val="4"/>
                <w:szCs w:val="4"/>
              </w:rPr>
            </w:pPr>
            <w:r>
              <w:rPr>
                <w:sz w:val="4"/>
                <w:szCs w:val="4"/>
              </w:rPr>
            </w:r>
          </w:p>
        </w:tc>
      </w:tr>
      <w:tr>
        <w:trPr/>
        <w:tc>
          <w:tcPr>
            <w:tcW w:w="54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2,560</w:t>
            </w:r>
          </w:p>
        </w:tc>
        <w:tc>
          <w:tcPr>
            <w:tcW w:w="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Earning assets</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19,594</w:t>
            </w:r>
          </w:p>
        </w:tc>
        <w:tc>
          <w:tcPr>
            <w:tcW w:w="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assets</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3,899</w:t>
            </w:r>
          </w:p>
        </w:tc>
        <w:tc>
          <w:tcPr>
            <w:tcW w:w="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intangible assets and other assets, net*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13,153</w:t>
            </w:r>
          </w:p>
        </w:tc>
        <w:tc>
          <w:tcPr>
            <w:tcW w:w="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34,784</w:t>
            </w:r>
          </w:p>
        </w:tc>
        <w:tc>
          <w:tcPr>
            <w:tcW w:w="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deferred taxes and other liabilities</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(7,349</w:t>
            </w:r>
          </w:p>
        </w:tc>
        <w:tc>
          <w:tcPr>
            <w:tcW w:w="39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4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consideration</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66,641</w:t>
            </w:r>
          </w:p>
        </w:tc>
        <w:tc>
          <w:tcPr>
            <w:tcW w:w="39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7585" w:type="dxa"/>
        <w:jc w:val="left"/>
        <w:tblInd w:w="0" w:type="dxa"/>
        <w:tblCellMar>
          <w:top w:w="0" w:type="dxa"/>
          <w:left w:w="0" w:type="dxa"/>
          <w:bottom w:w="0" w:type="dxa"/>
          <w:right w:w="0" w:type="dxa"/>
        </w:tblCellMar>
      </w:tblPr>
      <w:tblGrid>
        <w:gridCol w:w="110"/>
        <w:gridCol w:w="7475"/>
      </w:tblGrid>
      <w:tr>
        <w:trPr/>
        <w:tc>
          <w:tcPr>
            <w:tcW w:w="110" w:type="dxa"/>
            <w:tcBorders/>
            <w:shd w:fill="auto" w:val="clear"/>
            <w:vAlign w:val="center"/>
          </w:tcPr>
          <w:p>
            <w:pPr>
              <w:pStyle w:val="TableContents"/>
              <w:spacing w:before="0" w:after="283"/>
              <w:rPr>
                <w:sz w:val="4"/>
                <w:szCs w:val="4"/>
              </w:rPr>
            </w:pPr>
            <w:r>
              <w:rPr>
                <w:sz w:val="4"/>
                <w:szCs w:val="4"/>
              </w:rPr>
            </w:r>
          </w:p>
        </w:tc>
        <w:tc>
          <w:tcPr>
            <w:tcW w:w="7475" w:type="dxa"/>
            <w:tcBorders/>
            <w:shd w:fill="auto" w:val="clear"/>
            <w:vAlign w:val="center"/>
          </w:tcPr>
          <w:p>
            <w:pPr>
              <w:pStyle w:val="TableContents"/>
              <w:spacing w:before="0" w:after="283"/>
              <w:rPr>
                <w:sz w:val="4"/>
                <w:szCs w:val="4"/>
              </w:rPr>
            </w:pPr>
            <w:r>
              <w:rPr>
                <w:sz w:val="4"/>
                <w:szCs w:val="4"/>
              </w:rPr>
            </w:r>
          </w:p>
        </w:tc>
      </w:tr>
      <w:tr>
        <w:trPr/>
        <w:tc>
          <w:tcPr>
            <w:tcW w:w="110"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w:t>
            </w:r>
          </w:p>
        </w:tc>
        <w:tc>
          <w:tcPr>
            <w:tcW w:w="7475" w:type="dxa"/>
            <w:tcBorders/>
            <w:shd w:fill="auto" w:val="clear"/>
            <w:vAlign w:val="center"/>
          </w:tcPr>
          <w:p>
            <w:pPr>
              <w:pStyle w:val="TableContents"/>
              <w:spacing w:lineRule="auto" w:line="288" w:before="0" w:after="0"/>
              <w:rPr>
                <w:sz w:val="13"/>
              </w:rPr>
            </w:pPr>
            <w:r>
              <w:rPr>
                <w:rFonts w:ascii="inherit" w:hAnsi="inherit"/>
                <w:sz w:val="13"/>
              </w:rPr>
              <w:t>Intangible assets consist primarily of $11.1 million</w:t>
            </w:r>
            <w:r>
              <w:rPr>
                <w:sz w:val="13"/>
              </w:rPr>
              <w:t xml:space="preserve"> </w:t>
            </w:r>
            <w:r>
              <w:rPr>
                <w:rFonts w:ascii="inherit" w:hAnsi="inherit"/>
                <w:sz w:val="13"/>
              </w:rPr>
              <w:t>in trade names acquired with indefinite useful lives.</w:t>
            </w:r>
          </w:p>
        </w:tc>
      </w:tr>
    </w:tbl>
    <w:p>
      <w:pPr>
        <w:pStyle w:val="TextBody"/>
        <w:spacing w:lineRule="auto" w:line="288" w:before="0" w:after="0"/>
        <w:jc w:val="left"/>
        <w:rPr>
          <w:rFonts w:ascii="inherit" w:hAnsi="inherit"/>
          <w:sz w:val="17"/>
        </w:rPr>
      </w:pPr>
      <w:r>
        <w:rPr>
          <w:rFonts w:ascii="inherit" w:hAnsi="inherit"/>
          <w:sz w:val="17"/>
        </w:rPr>
        <w:t>The factors contributing to the recognition of goodwill, which is recorded in our Latin America Pawn segment, were based on several strategic and synergistic benefits we expect to realize from the acquisition, including expansion of our store base as well as the ability to further leverage our pawn expertise, investments in information technology and other back office and support functions of our existing Mexico pawn business. We expect none of the goodwill resulting from these business combinations will be deductible for tax purposes.</w:t>
      </w:r>
    </w:p>
    <w:p>
      <w:pPr>
        <w:pStyle w:val="TextBody"/>
        <w:spacing w:lineRule="auto" w:line="288" w:before="0" w:after="0"/>
        <w:jc w:val="left"/>
        <w:rPr>
          <w:sz w:val="17"/>
        </w:rPr>
      </w:pPr>
      <w:r>
        <w:rPr>
          <w:rFonts w:ascii="inherit" w:hAnsi="inherit"/>
          <w:sz w:val="17"/>
        </w:rPr>
        <w:t>The results of GPMX have been included in our condensed consolidated financial statements from October 7, 2017, and the results of the Bazareño stores have been included in our condensed consolidated financial statements from December 5, 2017, both in our Latin America Pawn segment. During the three and six</w:t>
      </w:r>
      <w:r>
        <w:rPr>
          <w:sz w:val="17"/>
        </w:rPr>
        <w:t xml:space="preserve"> </w:t>
      </w:r>
      <w:r>
        <w:rPr>
          <w:rFonts w:ascii="inherit" w:hAnsi="inherit"/>
          <w:sz w:val="17"/>
        </w:rPr>
        <w:t>months ended March 31, 2018, revenue from GPMX since completion of the acquisition was $11.0 million</w:t>
      </w:r>
      <w:r>
        <w:rPr>
          <w:sz w:val="17"/>
        </w:rPr>
        <w:t xml:space="preserve"> </w:t>
      </w:r>
      <w:r>
        <w:rPr>
          <w:rFonts w:ascii="inherit" w:hAnsi="inherit"/>
          <w:sz w:val="17"/>
        </w:rPr>
        <w:t>and $23.3 million, respectively, and net income from GPMX was $1.8 million</w:t>
      </w:r>
      <w:r>
        <w:rPr>
          <w:sz w:val="17"/>
        </w:rPr>
        <w:t xml:space="preserve"> </w:t>
      </w:r>
      <w:r>
        <w:rPr>
          <w:rFonts w:ascii="inherit" w:hAnsi="inherit"/>
          <w:sz w:val="17"/>
        </w:rPr>
        <w:t>and $3.8 million, respectively. Such net income does not include acquisition-related costs, which were included under “Administrative” expense.</w:t>
      </w:r>
    </w:p>
    <w:p>
      <w:pPr>
        <w:pStyle w:val="TextBody"/>
        <w:spacing w:lineRule="auto" w:line="288" w:before="0" w:after="0"/>
        <w:jc w:val="left"/>
        <w:rPr>
          <w:sz w:val="17"/>
        </w:rPr>
      </w:pPr>
      <w:r>
        <w:rPr>
          <w:rFonts w:ascii="inherit" w:hAnsi="inherit"/>
          <w:sz w:val="17"/>
        </w:rPr>
        <w:t>We incurred nil</w:t>
      </w:r>
      <w:r>
        <w:rPr>
          <w:sz w:val="17"/>
        </w:rPr>
        <w:t xml:space="preserve"> </w:t>
      </w:r>
      <w:r>
        <w:rPr>
          <w:rFonts w:ascii="inherit" w:hAnsi="inherit"/>
          <w:sz w:val="17"/>
        </w:rPr>
        <w:t>and $0.4 million</w:t>
      </w:r>
      <w:r>
        <w:rPr>
          <w:sz w:val="17"/>
        </w:rPr>
        <w:t xml:space="preserve"> </w:t>
      </w:r>
      <w:r>
        <w:rPr>
          <w:rFonts w:ascii="inherit" w:hAnsi="inherit"/>
          <w:sz w:val="17"/>
        </w:rPr>
        <w:t>in acquisition-related costs during the three and six</w:t>
      </w:r>
      <w:r>
        <w:rPr>
          <w:sz w:val="17"/>
        </w:rPr>
        <w:t xml:space="preserve"> </w:t>
      </w:r>
      <w:r>
        <w:rPr>
          <w:rFonts w:ascii="inherit" w:hAnsi="inherit"/>
          <w:sz w:val="17"/>
        </w:rPr>
        <w:t>months ended March 31, 2018, respectively, which were expensed as incurred and included under “Administrative” expense in our condensed consolidated statements of operations.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rPr/>
      </w:pPr>
      <w:hyperlink w:anchor="sA33FD6028AA25395924ED4406F429385">
        <w:bookmarkStart w:id="14" w:name="s9D0CD83DB9C85DEEBAC0D319BD55E822"/>
        <w:bookmarkEnd w:id="14"/>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NOTE 3: EARNINGS PER SHARE</w:t>
      </w:r>
    </w:p>
    <w:p>
      <w:pPr>
        <w:pStyle w:val="TextBody"/>
        <w:spacing w:lineRule="auto" w:line="288" w:before="0" w:after="0"/>
        <w:rPr>
          <w:rFonts w:ascii="inherit" w:hAnsi="inherit"/>
          <w:sz w:val="17"/>
        </w:rPr>
      </w:pPr>
      <w:r>
        <w:rPr>
          <w:rFonts w:ascii="inherit" w:hAnsi="inherit"/>
          <w:sz w:val="17"/>
        </w:rPr>
        <w:t>Components of basic and diluted earnings per share and excluded antidilutive potential common shares are as follows:</w:t>
      </w:r>
    </w:p>
    <w:tbl>
      <w:tblPr>
        <w:tblW w:w="10205" w:type="dxa"/>
        <w:jc w:val="left"/>
        <w:tblInd w:w="0" w:type="dxa"/>
        <w:tblCellMar>
          <w:top w:w="0" w:type="dxa"/>
          <w:left w:w="0" w:type="dxa"/>
          <w:bottom w:w="0" w:type="dxa"/>
          <w:right w:w="0" w:type="dxa"/>
        </w:tblCellMar>
      </w:tblPr>
      <w:tblGrid>
        <w:gridCol w:w="5977"/>
        <w:gridCol w:w="142"/>
        <w:gridCol w:w="676"/>
        <w:gridCol w:w="125"/>
        <w:gridCol w:w="102"/>
        <w:gridCol w:w="142"/>
        <w:gridCol w:w="555"/>
        <w:gridCol w:w="125"/>
        <w:gridCol w:w="90"/>
        <w:gridCol w:w="125"/>
        <w:gridCol w:w="590"/>
        <w:gridCol w:w="110"/>
        <w:gridCol w:w="90"/>
        <w:gridCol w:w="125"/>
        <w:gridCol w:w="590"/>
        <w:gridCol w:w="641"/>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597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77" w:type="dxa"/>
            <w:tcBorders/>
            <w:shd w:fill="auto" w:val="clear"/>
            <w:vAlign w:val="center"/>
          </w:tcPr>
          <w:p>
            <w:pPr>
              <w:pStyle w:val="TableContents"/>
              <w:spacing w:before="0" w:after="0"/>
              <w:ind w:left="0" w:right="0" w:firstLine="30"/>
              <w:rPr/>
            </w:pPr>
            <w:r>
              <w:rPr/>
              <w:t> </w:t>
            </w:r>
          </w:p>
        </w:tc>
        <w:tc>
          <w:tcPr>
            <w:tcW w:w="186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227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5977" w:type="dxa"/>
            <w:tcBorders/>
            <w:shd w:fill="auto" w:val="clear"/>
            <w:vAlign w:val="center"/>
          </w:tcPr>
          <w:p>
            <w:pPr>
              <w:pStyle w:val="TableContents"/>
              <w:spacing w:before="0" w:after="0"/>
              <w:ind w:left="0" w:right="0" w:firstLine="30"/>
              <w:jc w:val="left"/>
              <w:rPr/>
            </w:pPr>
            <w:r>
              <w:rPr/>
              <w:t> </w:t>
            </w:r>
          </w:p>
        </w:tc>
        <w:tc>
          <w:tcPr>
            <w:tcW w:w="94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02" w:type="dxa"/>
            <w:tcBorders/>
            <w:shd w:fill="auto" w:val="clear"/>
            <w:vAlign w:val="center"/>
          </w:tcPr>
          <w:p>
            <w:pPr>
              <w:pStyle w:val="TableContents"/>
              <w:spacing w:before="0" w:after="0"/>
              <w:ind w:left="0" w:right="0" w:firstLine="30"/>
              <w:rPr/>
            </w:pPr>
            <w:r>
              <w:rPr/>
              <w:t> </w:t>
            </w:r>
          </w:p>
        </w:tc>
        <w:tc>
          <w:tcPr>
            <w:tcW w:w="82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5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r>
      <w:tr>
        <w:trPr/>
        <w:tc>
          <w:tcPr>
            <w:tcW w:w="5977" w:type="dxa"/>
            <w:tcBorders/>
            <w:shd w:fill="auto" w:val="clear"/>
            <w:vAlign w:val="center"/>
          </w:tcPr>
          <w:p>
            <w:pPr>
              <w:pStyle w:val="TableContents"/>
              <w:spacing w:before="0" w:after="0"/>
              <w:ind w:left="0" w:right="0" w:firstLine="30"/>
              <w:rPr/>
            </w:pPr>
            <w:r>
              <w:rPr/>
              <w:t> </w:t>
            </w:r>
          </w:p>
        </w:tc>
        <w:tc>
          <w:tcPr>
            <w:tcW w:w="943" w:type="dxa"/>
            <w:gridSpan w:val="3"/>
            <w:tcBorders/>
            <w:shd w:fill="auto" w:val="clear"/>
            <w:vAlign w:val="center"/>
          </w:tcPr>
          <w:p>
            <w:pPr>
              <w:pStyle w:val="TableContents"/>
              <w:spacing w:before="0" w:after="0"/>
              <w:ind w:left="0" w:right="0" w:firstLine="30"/>
              <w:rPr/>
            </w:pPr>
            <w:r>
              <w:rPr/>
              <w:t> </w:t>
            </w:r>
          </w:p>
        </w:tc>
        <w:tc>
          <w:tcPr>
            <w:tcW w:w="102" w:type="dxa"/>
            <w:tcBorders/>
            <w:shd w:fill="auto" w:val="clear"/>
            <w:vAlign w:val="center"/>
          </w:tcPr>
          <w:p>
            <w:pPr>
              <w:pStyle w:val="TableContents"/>
              <w:spacing w:before="0" w:after="0"/>
              <w:ind w:left="0" w:right="0" w:firstLine="30"/>
              <w:rPr/>
            </w:pPr>
            <w:r>
              <w:rPr/>
              <w:t> </w:t>
            </w:r>
          </w:p>
        </w:tc>
        <w:tc>
          <w:tcPr>
            <w:tcW w:w="82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6" w:type="dxa"/>
            <w:gridSpan w:val="3"/>
            <w:tcBorders/>
            <w:shd w:fill="auto" w:val="clear"/>
            <w:vAlign w:val="center"/>
          </w:tcPr>
          <w:p>
            <w:pPr>
              <w:pStyle w:val="TableContents"/>
              <w:spacing w:before="0" w:after="0"/>
              <w:ind w:left="0" w:right="0" w:firstLine="30"/>
              <w:rPr/>
            </w:pPr>
            <w:r>
              <w:rPr/>
              <w:t> </w:t>
            </w:r>
          </w:p>
        </w:tc>
      </w:tr>
      <w:tr>
        <w:trPr/>
        <w:tc>
          <w:tcPr>
            <w:tcW w:w="5977" w:type="dxa"/>
            <w:tcBorders/>
            <w:shd w:fill="auto" w:val="clear"/>
            <w:vAlign w:val="center"/>
          </w:tcPr>
          <w:p>
            <w:pPr>
              <w:pStyle w:val="TableContents"/>
              <w:spacing w:before="0" w:after="0"/>
              <w:ind w:left="0" w:right="0" w:firstLine="30"/>
              <w:jc w:val="left"/>
              <w:rPr/>
            </w:pPr>
            <w:r>
              <w:rPr/>
              <w:t> </w:t>
            </w:r>
          </w:p>
        </w:tc>
        <w:tc>
          <w:tcPr>
            <w:tcW w:w="422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59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EZCORP (A)</w:t>
            </w:r>
          </w:p>
        </w:tc>
        <w:tc>
          <w:tcPr>
            <w:tcW w:w="14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76" w:type="dxa"/>
            <w:tcBorders/>
            <w:shd w:fill="CCEEFF" w:val="clear"/>
            <w:vAlign w:val="center"/>
          </w:tcPr>
          <w:p>
            <w:pPr>
              <w:pStyle w:val="TableContents"/>
              <w:spacing w:before="0" w:after="0"/>
              <w:jc w:val="right"/>
              <w:rPr>
                <w:rFonts w:ascii="inherit" w:hAnsi="inherit"/>
                <w:sz w:val="17"/>
              </w:rPr>
            </w:pPr>
            <w:r>
              <w:rPr>
                <w:rFonts w:ascii="inherit" w:hAnsi="inherit"/>
                <w:sz w:val="17"/>
              </w:rPr>
              <w:t>12,313</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4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55" w:type="dxa"/>
            <w:tcBorders/>
            <w:shd w:fill="CCEEFF" w:val="clear"/>
            <w:vAlign w:val="center"/>
          </w:tcPr>
          <w:p>
            <w:pPr>
              <w:pStyle w:val="TableContents"/>
              <w:spacing w:before="0" w:after="0"/>
              <w:jc w:val="right"/>
              <w:rPr>
                <w:rFonts w:ascii="inherit" w:hAnsi="inherit"/>
                <w:sz w:val="17"/>
              </w:rPr>
            </w:pPr>
            <w:r>
              <w:rPr>
                <w:rFonts w:ascii="inherit" w:hAnsi="inherit"/>
                <w:sz w:val="17"/>
              </w:rPr>
              <w:t>8,398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25,283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16,791</w:t>
            </w:r>
          </w:p>
        </w:tc>
        <w:tc>
          <w:tcPr>
            <w:tcW w:w="6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 (B)</w:t>
            </w:r>
          </w:p>
        </w:tc>
        <w:tc>
          <w:tcPr>
            <w:tcW w:w="8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(500</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6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(375</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(722</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(1,603</w:t>
            </w:r>
          </w:p>
        </w:tc>
        <w:tc>
          <w:tcPr>
            <w:tcW w:w="641" w:type="dxa"/>
            <w:tcBorders>
              <w:bottom w:val="single" w:sz="2" w:space="0" w:color="000000"/>
            </w:tcBorders>
            <w:shd w:fill="auto" w:val="clear"/>
            <w:tcMar>
              <w:bottom w:w="30" w:type="dxa"/>
            </w:tcM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9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(C)</w:t>
            </w:r>
          </w:p>
        </w:tc>
        <w:tc>
          <w:tcPr>
            <w:tcW w:w="14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11,813</w:t>
            </w:r>
          </w:p>
        </w:tc>
        <w:tc>
          <w:tcPr>
            <w:tcW w:w="12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4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5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8,023</w:t>
            </w:r>
          </w:p>
        </w:tc>
        <w:tc>
          <w:tcPr>
            <w:tcW w:w="12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24,561</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15,188</w:t>
            </w:r>
          </w:p>
        </w:tc>
        <w:tc>
          <w:tcPr>
            <w:tcW w:w="6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77" w:type="dxa"/>
            <w:tcBorders/>
            <w:shd w:fill="auto" w:val="clear"/>
            <w:vAlign w:val="center"/>
          </w:tcPr>
          <w:p>
            <w:pPr>
              <w:pStyle w:val="TableContents"/>
              <w:spacing w:before="0" w:after="0"/>
              <w:ind w:left="0" w:right="0" w:firstLine="30"/>
              <w:rPr/>
            </w:pPr>
            <w:r>
              <w:rPr/>
              <w:t> </w:t>
            </w:r>
          </w:p>
        </w:tc>
        <w:tc>
          <w:tcPr>
            <w:tcW w:w="943" w:type="dxa"/>
            <w:gridSpan w:val="3"/>
            <w:tcBorders/>
            <w:shd w:fill="auto" w:val="clear"/>
            <w:vAlign w:val="center"/>
          </w:tcPr>
          <w:p>
            <w:pPr>
              <w:pStyle w:val="TableContents"/>
              <w:spacing w:before="0" w:after="0"/>
              <w:ind w:left="0" w:right="0" w:firstLine="30"/>
              <w:rPr/>
            </w:pPr>
            <w:r>
              <w:rPr/>
              <w:t> </w:t>
            </w:r>
          </w:p>
        </w:tc>
        <w:tc>
          <w:tcPr>
            <w:tcW w:w="102" w:type="dxa"/>
            <w:tcBorders/>
            <w:shd w:fill="auto" w:val="clear"/>
            <w:vAlign w:val="center"/>
          </w:tcPr>
          <w:p>
            <w:pPr>
              <w:pStyle w:val="TableContents"/>
              <w:spacing w:before="0" w:after="0"/>
              <w:ind w:left="0" w:right="0" w:firstLine="30"/>
              <w:rPr/>
            </w:pPr>
            <w:r>
              <w:rPr/>
              <w:t> </w:t>
            </w:r>
          </w:p>
        </w:tc>
        <w:tc>
          <w:tcPr>
            <w:tcW w:w="82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6" w:type="dxa"/>
            <w:gridSpan w:val="3"/>
            <w:tcBorders/>
            <w:shd w:fill="auto" w:val="clear"/>
            <w:vAlign w:val="center"/>
          </w:tcPr>
          <w:p>
            <w:pPr>
              <w:pStyle w:val="TableContents"/>
              <w:spacing w:before="0" w:after="0"/>
              <w:ind w:left="0" w:right="0" w:firstLine="30"/>
              <w:rPr/>
            </w:pPr>
            <w:r>
              <w:rPr/>
              <w:t> </w:t>
            </w:r>
          </w:p>
        </w:tc>
      </w:tr>
      <w:tr>
        <w:trPr/>
        <w:tc>
          <w:tcPr>
            <w:tcW w:w="59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Weighted-average outstanding shares of common stock (D)</w:t>
            </w:r>
          </w:p>
        </w:tc>
        <w:tc>
          <w:tcPr>
            <w:tcW w:w="8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54,464</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6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54,291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54,447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54,224</w:t>
            </w:r>
          </w:p>
        </w:tc>
        <w:tc>
          <w:tcPr>
            <w:tcW w:w="6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Dilutive effect of restricted stock and 2024 Convertible Notes*</w:t>
            </w:r>
          </w:p>
        </w:tc>
        <w:tc>
          <w:tcPr>
            <w:tcW w:w="8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3,160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6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2,195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w:t>
            </w:r>
          </w:p>
        </w:tc>
        <w:tc>
          <w:tcPr>
            <w:tcW w:w="64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Weighted-average common stock and common stock equivalents (E)</w:t>
            </w:r>
          </w:p>
        </w:tc>
        <w:tc>
          <w:tcPr>
            <w:tcW w:w="818"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57,624</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697"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54,346</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715"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56,642</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715"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54,278</w:t>
            </w:r>
          </w:p>
        </w:tc>
        <w:tc>
          <w:tcPr>
            <w:tcW w:w="64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77" w:type="dxa"/>
            <w:tcBorders/>
            <w:shd w:fill="auto" w:val="clear"/>
            <w:vAlign w:val="center"/>
          </w:tcPr>
          <w:p>
            <w:pPr>
              <w:pStyle w:val="TableContents"/>
              <w:spacing w:before="0" w:after="0"/>
              <w:ind w:left="0" w:right="0" w:firstLine="30"/>
              <w:rPr/>
            </w:pPr>
            <w:r>
              <w:rPr/>
              <w:t> </w:t>
            </w:r>
          </w:p>
        </w:tc>
        <w:tc>
          <w:tcPr>
            <w:tcW w:w="943"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02" w:type="dxa"/>
            <w:tcBorders/>
            <w:shd w:fill="auto" w:val="clear"/>
            <w:vAlign w:val="center"/>
          </w:tcPr>
          <w:p>
            <w:pPr>
              <w:pStyle w:val="TableContents"/>
              <w:spacing w:before="0" w:after="0"/>
              <w:ind w:left="0" w:right="0" w:firstLine="30"/>
              <w:rPr/>
            </w:pPr>
            <w:r>
              <w:rPr/>
              <w:t> </w:t>
            </w:r>
          </w:p>
        </w:tc>
        <w:tc>
          <w:tcPr>
            <w:tcW w:w="822"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6"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r>
      <w:tr>
        <w:trPr/>
        <w:tc>
          <w:tcPr>
            <w:tcW w:w="59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earnings per share attributable to EZCORP:</w:t>
            </w:r>
          </w:p>
        </w:tc>
        <w:tc>
          <w:tcPr>
            <w:tcW w:w="943" w:type="dxa"/>
            <w:gridSpan w:val="3"/>
            <w:tcBorders/>
            <w:shd w:fill="CCEEFF" w:val="clear"/>
            <w:vAlign w:val="center"/>
          </w:tcPr>
          <w:p>
            <w:pPr>
              <w:pStyle w:val="TableContents"/>
              <w:spacing w:before="0" w:after="0"/>
              <w:ind w:left="0" w:right="0" w:firstLine="30"/>
              <w:rPr/>
            </w:pPr>
            <w:r>
              <w:rPr/>
              <w:t> </w:t>
            </w:r>
          </w:p>
        </w:tc>
        <w:tc>
          <w:tcPr>
            <w:tcW w:w="102" w:type="dxa"/>
            <w:tcBorders/>
            <w:shd w:fill="CCEEFF" w:val="clear"/>
            <w:vAlign w:val="center"/>
          </w:tcPr>
          <w:p>
            <w:pPr>
              <w:pStyle w:val="TableContents"/>
              <w:spacing w:before="0" w:after="0"/>
              <w:ind w:left="0" w:right="0" w:firstLine="30"/>
              <w:rPr/>
            </w:pPr>
            <w:r>
              <w:rPr/>
              <w:t> </w:t>
            </w:r>
          </w:p>
        </w:tc>
        <w:tc>
          <w:tcPr>
            <w:tcW w:w="82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56" w:type="dxa"/>
            <w:gridSpan w:val="3"/>
            <w:tcBorders/>
            <w:shd w:fill="CCEEFF" w:val="clear"/>
            <w:vAlign w:val="center"/>
          </w:tcPr>
          <w:p>
            <w:pPr>
              <w:pStyle w:val="TableContents"/>
              <w:spacing w:before="0" w:after="0"/>
              <w:ind w:left="0" w:right="0" w:firstLine="300"/>
              <w:rPr/>
            </w:pPr>
            <w:r>
              <w:rPr/>
              <w:t> </w:t>
            </w:r>
          </w:p>
        </w:tc>
      </w:tr>
      <w:tr>
        <w:trPr/>
        <w:tc>
          <w:tcPr>
            <w:tcW w:w="59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Continuing operations (A / D)</w:t>
            </w:r>
          </w:p>
        </w:tc>
        <w:tc>
          <w:tcPr>
            <w:tcW w:w="14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76" w:type="dxa"/>
            <w:tcBorders/>
            <w:shd w:fill="auto" w:val="clear"/>
            <w:vAlign w:val="center"/>
          </w:tcPr>
          <w:p>
            <w:pPr>
              <w:pStyle w:val="TableContents"/>
              <w:spacing w:before="0" w:after="0"/>
              <w:jc w:val="right"/>
              <w:rPr>
                <w:rFonts w:ascii="inherit" w:hAnsi="inherit"/>
                <w:sz w:val="17"/>
              </w:rPr>
            </w:pPr>
            <w:r>
              <w:rPr>
                <w:rFonts w:ascii="inherit" w:hAnsi="inherit"/>
                <w:sz w:val="17"/>
              </w:rPr>
              <w:t>0.23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14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55" w:type="dxa"/>
            <w:tcBorders/>
            <w:shd w:fill="auto" w:val="clear"/>
            <w:vAlign w:val="center"/>
          </w:tcPr>
          <w:p>
            <w:pPr>
              <w:pStyle w:val="TableContents"/>
              <w:spacing w:before="0" w:after="0"/>
              <w:jc w:val="right"/>
              <w:rPr>
                <w:rFonts w:ascii="inherit" w:hAnsi="inherit"/>
                <w:sz w:val="17"/>
              </w:rPr>
            </w:pPr>
            <w:r>
              <w:rPr>
                <w:rFonts w:ascii="inherit" w:hAnsi="inherit"/>
                <w:sz w:val="17"/>
              </w:rPr>
              <w:t>0.15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0.46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0.31</w:t>
            </w:r>
          </w:p>
        </w:tc>
        <w:tc>
          <w:tcPr>
            <w:tcW w:w="64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 (B / D)</w:t>
            </w:r>
          </w:p>
        </w:tc>
        <w:tc>
          <w:tcPr>
            <w:tcW w:w="8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6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(0.01</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(0.03</w:t>
            </w:r>
          </w:p>
        </w:tc>
        <w:tc>
          <w:tcPr>
            <w:tcW w:w="641" w:type="dxa"/>
            <w:tcBorders>
              <w:bottom w:val="single" w:sz="2" w:space="0" w:color="000000"/>
            </w:tcBorders>
            <w:shd w:fill="CCEEFF" w:val="clear"/>
            <w:tcMar>
              <w:bottom w:w="30" w:type="dxa"/>
            </w:tcM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59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earnings per share (C / D)</w:t>
            </w:r>
          </w:p>
        </w:tc>
        <w:tc>
          <w:tcPr>
            <w:tcW w:w="1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0.22</w:t>
            </w:r>
          </w:p>
        </w:tc>
        <w:tc>
          <w:tcPr>
            <w:tcW w:w="12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1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0.14</w:t>
            </w:r>
          </w:p>
        </w:tc>
        <w:tc>
          <w:tcPr>
            <w:tcW w:w="12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0.45</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0.28</w:t>
            </w:r>
          </w:p>
        </w:tc>
        <w:tc>
          <w:tcPr>
            <w:tcW w:w="64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77" w:type="dxa"/>
            <w:tcBorders/>
            <w:shd w:fill="CCEEFF" w:val="clear"/>
            <w:vAlign w:val="center"/>
          </w:tcPr>
          <w:p>
            <w:pPr>
              <w:pStyle w:val="TableContents"/>
              <w:spacing w:before="0" w:after="0"/>
              <w:ind w:left="0" w:right="0" w:firstLine="30"/>
              <w:rPr/>
            </w:pPr>
            <w:r>
              <w:rPr/>
              <w:t> </w:t>
            </w:r>
          </w:p>
        </w:tc>
        <w:tc>
          <w:tcPr>
            <w:tcW w:w="943" w:type="dxa"/>
            <w:gridSpan w:val="3"/>
            <w:tcBorders/>
            <w:shd w:fill="CCEEFF" w:val="clear"/>
            <w:vAlign w:val="center"/>
          </w:tcPr>
          <w:p>
            <w:pPr>
              <w:pStyle w:val="TableContents"/>
              <w:spacing w:before="0" w:after="0"/>
              <w:ind w:left="0" w:right="0" w:firstLine="30"/>
              <w:rPr/>
            </w:pPr>
            <w:r>
              <w:rPr/>
              <w:t> </w:t>
            </w:r>
          </w:p>
        </w:tc>
        <w:tc>
          <w:tcPr>
            <w:tcW w:w="102" w:type="dxa"/>
            <w:tcBorders/>
            <w:shd w:fill="CCEEFF" w:val="clear"/>
            <w:vAlign w:val="center"/>
          </w:tcPr>
          <w:p>
            <w:pPr>
              <w:pStyle w:val="TableContents"/>
              <w:spacing w:before="0" w:after="0"/>
              <w:ind w:left="0" w:right="0" w:firstLine="30"/>
              <w:rPr/>
            </w:pPr>
            <w:r>
              <w:rPr/>
              <w:t> </w:t>
            </w:r>
          </w:p>
        </w:tc>
        <w:tc>
          <w:tcPr>
            <w:tcW w:w="82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56" w:type="dxa"/>
            <w:gridSpan w:val="3"/>
            <w:tcBorders/>
            <w:shd w:fill="CCEEFF" w:val="clear"/>
            <w:vAlign w:val="center"/>
          </w:tcPr>
          <w:p>
            <w:pPr>
              <w:pStyle w:val="TableContents"/>
              <w:spacing w:before="0" w:after="0"/>
              <w:ind w:left="0" w:right="0" w:firstLine="30"/>
              <w:rPr/>
            </w:pPr>
            <w:r>
              <w:rPr/>
              <w:t> </w:t>
            </w:r>
          </w:p>
        </w:tc>
      </w:tr>
      <w:tr>
        <w:trPr/>
        <w:tc>
          <w:tcPr>
            <w:tcW w:w="59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 earnings per share attributable to EZCORP:</w:t>
            </w:r>
          </w:p>
        </w:tc>
        <w:tc>
          <w:tcPr>
            <w:tcW w:w="943" w:type="dxa"/>
            <w:gridSpan w:val="3"/>
            <w:tcBorders/>
            <w:shd w:fill="auto" w:val="clear"/>
            <w:vAlign w:val="center"/>
          </w:tcPr>
          <w:p>
            <w:pPr>
              <w:pStyle w:val="TableContents"/>
              <w:spacing w:before="0" w:after="0"/>
              <w:ind w:left="0" w:right="0" w:firstLine="30"/>
              <w:rPr/>
            </w:pPr>
            <w:r>
              <w:rPr/>
              <w:t> </w:t>
            </w:r>
          </w:p>
        </w:tc>
        <w:tc>
          <w:tcPr>
            <w:tcW w:w="102" w:type="dxa"/>
            <w:tcBorders/>
            <w:shd w:fill="auto" w:val="clear"/>
            <w:vAlign w:val="center"/>
          </w:tcPr>
          <w:p>
            <w:pPr>
              <w:pStyle w:val="TableContents"/>
              <w:spacing w:before="0" w:after="0"/>
              <w:ind w:left="0" w:right="0" w:firstLine="30"/>
              <w:rPr/>
            </w:pPr>
            <w:r>
              <w:rPr/>
              <w:t> </w:t>
            </w:r>
          </w:p>
        </w:tc>
        <w:tc>
          <w:tcPr>
            <w:tcW w:w="82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6" w:type="dxa"/>
            <w:gridSpan w:val="3"/>
            <w:tcBorders/>
            <w:shd w:fill="auto" w:val="clear"/>
            <w:vAlign w:val="center"/>
          </w:tcPr>
          <w:p>
            <w:pPr>
              <w:pStyle w:val="TableContents"/>
              <w:spacing w:before="0" w:after="0"/>
              <w:ind w:left="0" w:right="0" w:firstLine="300"/>
              <w:rPr/>
            </w:pPr>
            <w:r>
              <w:rPr/>
              <w:t> </w:t>
            </w:r>
          </w:p>
        </w:tc>
      </w:tr>
      <w:tr>
        <w:trPr/>
        <w:tc>
          <w:tcPr>
            <w:tcW w:w="59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Continuing operations (A / E)</w:t>
            </w:r>
          </w:p>
        </w:tc>
        <w:tc>
          <w:tcPr>
            <w:tcW w:w="14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76" w:type="dxa"/>
            <w:tcBorders/>
            <w:shd w:fill="CCEEFF" w:val="clear"/>
            <w:vAlign w:val="center"/>
          </w:tcPr>
          <w:p>
            <w:pPr>
              <w:pStyle w:val="TableContents"/>
              <w:spacing w:before="0" w:after="0"/>
              <w:jc w:val="right"/>
              <w:rPr>
                <w:rFonts w:ascii="inherit" w:hAnsi="inherit"/>
                <w:sz w:val="17"/>
              </w:rPr>
            </w:pPr>
            <w:r>
              <w:rPr>
                <w:rFonts w:ascii="inherit" w:hAnsi="inherit"/>
                <w:sz w:val="17"/>
              </w:rPr>
              <w:t>0.21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4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55" w:type="dxa"/>
            <w:tcBorders/>
            <w:shd w:fill="CCEEFF" w:val="clear"/>
            <w:vAlign w:val="center"/>
          </w:tcPr>
          <w:p>
            <w:pPr>
              <w:pStyle w:val="TableContents"/>
              <w:spacing w:before="0" w:after="0"/>
              <w:jc w:val="right"/>
              <w:rPr>
                <w:rFonts w:ascii="inherit" w:hAnsi="inherit"/>
                <w:sz w:val="17"/>
              </w:rPr>
            </w:pPr>
            <w:r>
              <w:rPr>
                <w:rFonts w:ascii="inherit" w:hAnsi="inherit"/>
                <w:sz w:val="17"/>
              </w:rPr>
              <w:t>0.15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0.45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0.31</w:t>
            </w:r>
          </w:p>
        </w:tc>
        <w:tc>
          <w:tcPr>
            <w:tcW w:w="64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 (B / E)</w:t>
            </w:r>
          </w:p>
        </w:tc>
        <w:tc>
          <w:tcPr>
            <w:tcW w:w="8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6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(0.03</w:t>
            </w:r>
          </w:p>
        </w:tc>
        <w:tc>
          <w:tcPr>
            <w:tcW w:w="641" w:type="dxa"/>
            <w:tcBorders>
              <w:bottom w:val="single" w:sz="2" w:space="0" w:color="000000"/>
            </w:tcBorders>
            <w:shd w:fill="auto" w:val="clear"/>
            <w:tcMar>
              <w:bottom w:w="30" w:type="dxa"/>
            </w:tcM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59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Diluted earnings per share (C / E)</w:t>
            </w:r>
          </w:p>
        </w:tc>
        <w:tc>
          <w:tcPr>
            <w:tcW w:w="1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0.20</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0.14</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0.44</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0.28</w:t>
            </w:r>
          </w:p>
        </w:tc>
        <w:tc>
          <w:tcPr>
            <w:tcW w:w="64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77" w:type="dxa"/>
            <w:tcBorders/>
            <w:shd w:fill="auto" w:val="clear"/>
            <w:vAlign w:val="center"/>
          </w:tcPr>
          <w:p>
            <w:pPr>
              <w:pStyle w:val="TableContents"/>
              <w:spacing w:before="0" w:after="0"/>
              <w:ind w:left="0" w:right="0" w:firstLine="30"/>
              <w:rPr/>
            </w:pPr>
            <w:r>
              <w:rPr/>
              <w:t> </w:t>
            </w:r>
          </w:p>
        </w:tc>
        <w:tc>
          <w:tcPr>
            <w:tcW w:w="943"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02" w:type="dxa"/>
            <w:tcBorders/>
            <w:shd w:fill="auto" w:val="clear"/>
            <w:vAlign w:val="center"/>
          </w:tcPr>
          <w:p>
            <w:pPr>
              <w:pStyle w:val="TableContents"/>
              <w:spacing w:before="0" w:after="0"/>
              <w:ind w:left="0" w:right="0" w:firstLine="30"/>
              <w:rPr/>
            </w:pPr>
            <w:r>
              <w:rPr/>
              <w:t> </w:t>
            </w:r>
          </w:p>
        </w:tc>
        <w:tc>
          <w:tcPr>
            <w:tcW w:w="82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6" w:type="dxa"/>
            <w:gridSpan w:val="3"/>
            <w:tcBorders/>
            <w:shd w:fill="auto" w:val="clear"/>
            <w:vAlign w:val="center"/>
          </w:tcPr>
          <w:p>
            <w:pPr>
              <w:pStyle w:val="TableContents"/>
              <w:spacing w:before="0" w:after="0"/>
              <w:ind w:left="0" w:right="0" w:firstLine="30"/>
              <w:rPr/>
            </w:pPr>
            <w:r>
              <w:rPr/>
              <w:t> </w:t>
            </w:r>
          </w:p>
        </w:tc>
      </w:tr>
      <w:tr>
        <w:trPr/>
        <w:tc>
          <w:tcPr>
            <w:tcW w:w="59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Potential common shares excluded from the calculation of diluted earnings per share above, exclusive of the additional potential impact of the 2024 Convertible Notes:</w:t>
            </w:r>
          </w:p>
        </w:tc>
        <w:tc>
          <w:tcPr>
            <w:tcW w:w="943" w:type="dxa"/>
            <w:gridSpan w:val="3"/>
            <w:tcBorders/>
            <w:shd w:fill="CCEEFF" w:val="clear"/>
            <w:vAlign w:val="center"/>
          </w:tcPr>
          <w:p>
            <w:pPr>
              <w:pStyle w:val="TableContents"/>
              <w:spacing w:before="0" w:after="0"/>
              <w:ind w:left="0" w:right="0" w:firstLine="30"/>
              <w:rPr/>
            </w:pPr>
            <w:r>
              <w:rPr/>
              <w:t> </w:t>
            </w:r>
          </w:p>
        </w:tc>
        <w:tc>
          <w:tcPr>
            <w:tcW w:w="102" w:type="dxa"/>
            <w:tcBorders/>
            <w:shd w:fill="CCEEFF" w:val="clear"/>
            <w:vAlign w:val="center"/>
          </w:tcPr>
          <w:p>
            <w:pPr>
              <w:pStyle w:val="TableContents"/>
              <w:spacing w:before="0" w:after="0"/>
              <w:ind w:left="0" w:right="0" w:firstLine="30"/>
              <w:rPr/>
            </w:pPr>
            <w:r>
              <w:rPr/>
              <w:t> </w:t>
            </w:r>
          </w:p>
        </w:tc>
        <w:tc>
          <w:tcPr>
            <w:tcW w:w="82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56" w:type="dxa"/>
            <w:gridSpan w:val="3"/>
            <w:tcBorders/>
            <w:shd w:fill="CCEEFF" w:val="clear"/>
            <w:vAlign w:val="center"/>
          </w:tcPr>
          <w:p>
            <w:pPr>
              <w:pStyle w:val="TableContents"/>
              <w:spacing w:before="0" w:after="0"/>
              <w:ind w:left="0" w:right="0" w:firstLine="300"/>
              <w:rPr/>
            </w:pPr>
            <w:r>
              <w:rPr/>
              <w:t> </w:t>
            </w:r>
          </w:p>
        </w:tc>
      </w:tr>
      <w:tr>
        <w:trPr/>
        <w:tc>
          <w:tcPr>
            <w:tcW w:w="59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stock**</w:t>
            </w:r>
          </w:p>
        </w:tc>
        <w:tc>
          <w:tcPr>
            <w:tcW w:w="8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3,596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6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2,602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3,278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2,443</w:t>
            </w:r>
          </w:p>
        </w:tc>
        <w:tc>
          <w:tcPr>
            <w:tcW w:w="64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 Warrants***</w:t>
            </w:r>
          </w:p>
        </w:tc>
        <w:tc>
          <w:tcPr>
            <w:tcW w:w="8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12,138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6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14,317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12,138</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14,317</w:t>
            </w:r>
          </w:p>
        </w:tc>
        <w:tc>
          <w:tcPr>
            <w:tcW w:w="64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9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potential common shares excluded</w:t>
            </w:r>
          </w:p>
        </w:tc>
        <w:tc>
          <w:tcPr>
            <w:tcW w:w="818" w:type="dxa"/>
            <w:gridSpan w:val="2"/>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15,734</w:t>
            </w:r>
          </w:p>
        </w:tc>
        <w:tc>
          <w:tcPr>
            <w:tcW w:w="12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697" w:type="dxa"/>
            <w:gridSpan w:val="2"/>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16,919</w:t>
            </w:r>
          </w:p>
        </w:tc>
        <w:tc>
          <w:tcPr>
            <w:tcW w:w="12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15,416</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16,760</w:t>
            </w:r>
          </w:p>
        </w:tc>
        <w:tc>
          <w:tcPr>
            <w:tcW w:w="64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283"/>
              <w:rPr>
                <w:sz w:val="4"/>
                <w:szCs w:val="4"/>
              </w:rPr>
            </w:pPr>
            <w:r>
              <w:rPr>
                <w:sz w:val="4"/>
                <w:szCs w:val="4"/>
              </w:rPr>
            </w:r>
          </w:p>
        </w:tc>
        <w:tc>
          <w:tcPr>
            <w:tcW w:w="10095" w:type="dxa"/>
            <w:tcBorders/>
            <w:shd w:fill="auto" w:val="clear"/>
            <w:vAlign w:val="center"/>
          </w:tcPr>
          <w:p>
            <w:pPr>
              <w:pStyle w:val="TableContents"/>
              <w:spacing w:before="0" w:after="283"/>
              <w:rPr>
                <w:sz w:val="4"/>
                <w:szCs w:val="4"/>
              </w:rPr>
            </w:pPr>
            <w:r>
              <w:rPr>
                <w:sz w:val="4"/>
                <w:szCs w:val="4"/>
              </w:rPr>
            </w:r>
          </w:p>
        </w:tc>
      </w:tr>
      <w:tr>
        <w:trPr/>
        <w:tc>
          <w:tcPr>
            <w:tcW w:w="110"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w:t>
            </w:r>
          </w:p>
        </w:tc>
        <w:tc>
          <w:tcPr>
            <w:tcW w:w="10095" w:type="dxa"/>
            <w:tcBorders/>
            <w:shd w:fill="auto" w:val="clear"/>
            <w:vAlign w:val="center"/>
          </w:tcPr>
          <w:p>
            <w:pPr>
              <w:pStyle w:val="TableContents"/>
              <w:spacing w:lineRule="auto" w:line="288" w:before="0" w:after="0"/>
              <w:rPr>
                <w:sz w:val="13"/>
              </w:rPr>
            </w:pPr>
            <w:r>
              <w:rPr>
                <w:rFonts w:ascii="inherit" w:hAnsi="inherit"/>
                <w:sz w:val="13"/>
              </w:rPr>
              <w:t>Includes the dilutive impact of share-based awards as well as the 2.875%</w:t>
            </w:r>
            <w:r>
              <w:rPr>
                <w:sz w:val="13"/>
              </w:rPr>
              <w:t> </w:t>
            </w:r>
            <w:r>
              <w:rPr>
                <w:rFonts w:ascii="inherit" w:hAnsi="inherit"/>
                <w:sz w:val="13"/>
              </w:rPr>
              <w:t>Convertible Senior Notes Due 2024 (the “2024 Convertible Notes”), the terms and conditions of which are discussed in Note 6.</w:t>
            </w:r>
          </w:p>
        </w:tc>
      </w:tr>
    </w:tbl>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83"/>
              <w:rPr>
                <w:sz w:val="4"/>
                <w:szCs w:val="4"/>
              </w:rPr>
            </w:pPr>
            <w:r>
              <w:rPr>
                <w:sz w:val="4"/>
                <w:szCs w:val="4"/>
              </w:rPr>
            </w:r>
          </w:p>
        </w:tc>
        <w:tc>
          <w:tcPr>
            <w:tcW w:w="10056" w:type="dxa"/>
            <w:tcBorders/>
            <w:shd w:fill="auto" w:val="clear"/>
            <w:vAlign w:val="center"/>
          </w:tcPr>
          <w:p>
            <w:pPr>
              <w:pStyle w:val="TableContents"/>
              <w:spacing w:before="0" w:after="283"/>
              <w:rPr>
                <w:sz w:val="4"/>
                <w:szCs w:val="4"/>
              </w:rPr>
            </w:pPr>
            <w:r>
              <w:rPr>
                <w:sz w:val="4"/>
                <w:szCs w:val="4"/>
              </w:rPr>
            </w:r>
          </w:p>
        </w:tc>
      </w:tr>
      <w:tr>
        <w:trPr/>
        <w:tc>
          <w:tcPr>
            <w:tcW w:w="149"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w:t>
            </w:r>
          </w:p>
        </w:tc>
        <w:tc>
          <w:tcPr>
            <w:tcW w:w="10056" w:type="dxa"/>
            <w:tcBorders/>
            <w:shd w:fill="auto" w:val="clear"/>
            <w:vAlign w:val="center"/>
          </w:tcPr>
          <w:p>
            <w:pPr>
              <w:pStyle w:val="TableContents"/>
              <w:spacing w:lineRule="auto" w:line="288" w:before="0" w:after="0"/>
              <w:rPr>
                <w:rFonts w:ascii="inherit" w:hAnsi="inherit"/>
                <w:sz w:val="13"/>
              </w:rPr>
            </w:pPr>
            <w:r>
              <w:rPr>
                <w:rFonts w:ascii="inherit" w:hAnsi="inherit"/>
                <w:sz w:val="13"/>
              </w:rPr>
              <w:t>Includes antidilutive share-based awards as well as performance-based and market conditioned share-based awards that are contingently issuable, but for which the condition for issuance has not been met as of the end of the reporting period.</w:t>
            </w:r>
          </w:p>
        </w:tc>
      </w:tr>
    </w:tbl>
    <w:tbl>
      <w:tblPr>
        <w:tblW w:w="6715" w:type="dxa"/>
        <w:jc w:val="left"/>
        <w:tblInd w:w="0" w:type="dxa"/>
        <w:tblCellMar>
          <w:top w:w="0" w:type="dxa"/>
          <w:left w:w="0" w:type="dxa"/>
          <w:bottom w:w="0" w:type="dxa"/>
          <w:right w:w="0" w:type="dxa"/>
        </w:tblCellMar>
      </w:tblPr>
      <w:tblGrid>
        <w:gridCol w:w="260"/>
        <w:gridCol w:w="6455"/>
      </w:tblGrid>
      <w:tr>
        <w:trPr/>
        <w:tc>
          <w:tcPr>
            <w:tcW w:w="260" w:type="dxa"/>
            <w:tcBorders/>
            <w:shd w:fill="auto" w:val="clear"/>
            <w:vAlign w:val="center"/>
          </w:tcPr>
          <w:p>
            <w:pPr>
              <w:pStyle w:val="TableContents"/>
              <w:spacing w:before="0" w:after="283"/>
              <w:rPr>
                <w:sz w:val="4"/>
                <w:szCs w:val="4"/>
              </w:rPr>
            </w:pPr>
            <w:r>
              <w:rPr>
                <w:sz w:val="4"/>
                <w:szCs w:val="4"/>
              </w:rPr>
            </w:r>
          </w:p>
        </w:tc>
        <w:tc>
          <w:tcPr>
            <w:tcW w:w="6455"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w:t>
            </w:r>
          </w:p>
        </w:tc>
        <w:tc>
          <w:tcPr>
            <w:tcW w:w="6455" w:type="dxa"/>
            <w:tcBorders/>
            <w:shd w:fill="auto" w:val="clear"/>
            <w:vAlign w:val="center"/>
          </w:tcPr>
          <w:p>
            <w:pPr>
              <w:pStyle w:val="TableContents"/>
              <w:spacing w:lineRule="auto" w:line="288" w:before="0" w:after="0"/>
              <w:rPr>
                <w:sz w:val="13"/>
              </w:rPr>
            </w:pPr>
            <w:r>
              <w:rPr>
                <w:rFonts w:ascii="inherit" w:hAnsi="inherit"/>
                <w:sz w:val="13"/>
              </w:rPr>
              <w:t>See Note 6</w:t>
            </w:r>
            <w:r>
              <w:rPr>
                <w:sz w:val="13"/>
              </w:rPr>
              <w:t xml:space="preserve"> </w:t>
            </w:r>
            <w:r>
              <w:rPr>
                <w:rFonts w:ascii="inherit" w:hAnsi="inherit"/>
                <w:sz w:val="13"/>
              </w:rPr>
              <w:t>for discussion of the terms and conditions of these potential common shares.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rPr/>
      </w:pPr>
      <w:hyperlink w:anchor="sA33FD6028AA25395924ED4406F429385">
        <w:bookmarkStart w:id="15" w:name="sB1309D76D8275C0CA599D1B339BCBE8B"/>
        <w:bookmarkEnd w:id="1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4: STRATEGIC INVESTMENTS</w:t>
      </w:r>
    </w:p>
    <w:p>
      <w:pPr>
        <w:pStyle w:val="TextBody"/>
        <w:spacing w:lineRule="auto" w:line="288" w:before="0" w:after="0"/>
        <w:rPr>
          <w:sz w:val="17"/>
        </w:rPr>
      </w:pPr>
      <w:r>
        <w:rPr>
          <w:rFonts w:ascii="inherit" w:hAnsi="inherit"/>
          <w:sz w:val="17"/>
        </w:rPr>
        <w:t>As of March 31, 2018, we owned 156,552,484</w:t>
      </w:r>
      <w:r>
        <w:rPr>
          <w:sz w:val="17"/>
        </w:rPr>
        <w:t xml:space="preserve"> </w:t>
      </w:r>
      <w:r>
        <w:rPr>
          <w:rFonts w:ascii="inherit" w:hAnsi="inherit"/>
          <w:sz w:val="17"/>
        </w:rPr>
        <w:t>shares, or approximately 32%, of our unconsolidated affiliate Cash Converters International. The following tables present summary financial information for Cash Converters International’s most recently reported results as of March 31, 2018</w:t>
      </w:r>
      <w:r>
        <w:rPr>
          <w:sz w:val="17"/>
        </w:rPr>
        <w:t xml:space="preserve"> </w:t>
      </w:r>
      <w:r>
        <w:rPr>
          <w:rFonts w:ascii="inherit" w:hAnsi="inherit"/>
          <w:sz w:val="17"/>
        </w:rPr>
        <w:t>after translation to U.S. dollars:</w:t>
      </w:r>
    </w:p>
    <w:tbl>
      <w:tblPr>
        <w:tblW w:w="5470" w:type="dxa"/>
        <w:jc w:val="left"/>
        <w:tblInd w:w="0" w:type="dxa"/>
        <w:tblCellMar>
          <w:top w:w="0" w:type="dxa"/>
          <w:left w:w="0" w:type="dxa"/>
          <w:bottom w:w="0" w:type="dxa"/>
          <w:right w:w="0" w:type="dxa"/>
        </w:tblCellMar>
      </w:tblPr>
      <w:tblGrid>
        <w:gridCol w:w="3395"/>
        <w:gridCol w:w="125"/>
        <w:gridCol w:w="695"/>
        <w:gridCol w:w="30"/>
        <w:gridCol w:w="90"/>
        <w:gridCol w:w="125"/>
        <w:gridCol w:w="695"/>
        <w:gridCol w:w="315"/>
      </w:tblGrid>
      <w:tr>
        <w:trPr/>
        <w:tc>
          <w:tcPr>
            <w:tcW w:w="5470" w:type="dxa"/>
            <w:gridSpan w:val="8"/>
            <w:tcBorders/>
            <w:shd w:fill="auto" w:val="clear"/>
            <w:vAlign w:val="center"/>
          </w:tcPr>
          <w:p>
            <w:pPr>
              <w:pStyle w:val="TableContents"/>
              <w:spacing w:before="0" w:after="283"/>
              <w:rPr>
                <w:sz w:val="4"/>
                <w:szCs w:val="4"/>
              </w:rPr>
            </w:pPr>
            <w:r>
              <w:rPr>
                <w:sz w:val="4"/>
                <w:szCs w:val="4"/>
              </w:rPr>
            </w:r>
          </w:p>
        </w:tc>
      </w:tr>
      <w:tr>
        <w:trPr/>
        <w:tc>
          <w:tcPr>
            <w:tcW w:w="33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95" w:type="dxa"/>
            <w:tcBorders/>
            <w:shd w:fill="auto" w:val="clear"/>
            <w:vAlign w:val="center"/>
          </w:tcPr>
          <w:p>
            <w:pPr>
              <w:pStyle w:val="TableContents"/>
              <w:spacing w:before="0" w:after="0"/>
              <w:ind w:left="0" w:right="0" w:firstLine="30"/>
              <w:jc w:val="left"/>
              <w:rPr/>
            </w:pPr>
            <w:r>
              <w:rPr/>
              <w:t> </w:t>
            </w:r>
          </w:p>
        </w:tc>
        <w:tc>
          <w:tcPr>
            <w:tcW w:w="207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w:t>
            </w:r>
          </w:p>
        </w:tc>
      </w:tr>
      <w:tr>
        <w:trPr/>
        <w:tc>
          <w:tcPr>
            <w:tcW w:w="3395"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11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2016</w:t>
            </w:r>
          </w:p>
        </w:tc>
      </w:tr>
      <w:tr>
        <w:trPr/>
        <w:tc>
          <w:tcPr>
            <w:tcW w:w="3395"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35" w:type="dxa"/>
            <w:gridSpan w:val="3"/>
            <w:tcBorders/>
            <w:shd w:fill="auto" w:val="clear"/>
            <w:vAlign w:val="center"/>
          </w:tcPr>
          <w:p>
            <w:pPr>
              <w:pStyle w:val="TableContents"/>
              <w:spacing w:before="0" w:after="0"/>
              <w:ind w:left="0" w:right="0" w:firstLine="30"/>
              <w:rPr/>
            </w:pPr>
            <w:r>
              <w:rPr/>
              <w:t> </w:t>
            </w:r>
          </w:p>
        </w:tc>
      </w:tr>
      <w:tr>
        <w:trPr/>
        <w:tc>
          <w:tcPr>
            <w:tcW w:w="3395" w:type="dxa"/>
            <w:tcBorders/>
            <w:shd w:fill="auto" w:val="clear"/>
            <w:vAlign w:val="center"/>
          </w:tcPr>
          <w:p>
            <w:pPr>
              <w:pStyle w:val="TableContents"/>
              <w:spacing w:before="0" w:after="0"/>
              <w:ind w:left="0" w:right="0" w:firstLine="30"/>
              <w:jc w:val="left"/>
              <w:rPr/>
            </w:pPr>
            <w:r>
              <w:rPr/>
              <w:t> </w:t>
            </w:r>
          </w:p>
        </w:tc>
        <w:tc>
          <w:tcPr>
            <w:tcW w:w="207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203,664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158,235</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assets</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151,189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141,218</w:t>
            </w:r>
          </w:p>
        </w:tc>
        <w:tc>
          <w:tcPr>
            <w:tcW w:w="315" w:type="dxa"/>
            <w:tcBorders>
              <w:bottom w:val="single" w:sz="2"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354,853</w:t>
            </w:r>
          </w:p>
        </w:tc>
        <w:tc>
          <w:tcPr>
            <w:tcW w:w="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299,453</w:t>
            </w:r>
          </w:p>
        </w:tc>
        <w:tc>
          <w:tcPr>
            <w:tcW w:w="31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35" w:type="dxa"/>
            <w:gridSpan w:val="3"/>
            <w:tcBorders/>
            <w:shd w:fill="auto" w:val="clear"/>
            <w:vAlign w:val="center"/>
          </w:tcPr>
          <w:p>
            <w:pPr>
              <w:pStyle w:val="TableContents"/>
              <w:spacing w:before="0" w:after="0"/>
              <w:ind w:left="0" w:right="0" w:firstLine="30"/>
              <w:rPr/>
            </w:pPr>
            <w:r>
              <w:rPr/>
              <w:t> </w:t>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128,731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70,468</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liabilities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14,559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48,181</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Shareholders’ equity</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211,563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180,804</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shareholders’ equity</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354,853</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299,453</w:t>
            </w:r>
          </w:p>
        </w:tc>
        <w:tc>
          <w:tcPr>
            <w:tcW w:w="31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xml:space="preserve">                         </w:t>
      </w:r>
    </w:p>
    <w:tbl>
      <w:tblPr>
        <w:tblW w:w="3817" w:type="dxa"/>
        <w:jc w:val="left"/>
        <w:tblInd w:w="0" w:type="dxa"/>
        <w:tblCellMar>
          <w:top w:w="0" w:type="dxa"/>
          <w:left w:w="0" w:type="dxa"/>
          <w:bottom w:w="0" w:type="dxa"/>
          <w:right w:w="0" w:type="dxa"/>
        </w:tblCellMar>
      </w:tblPr>
      <w:tblGrid>
        <w:gridCol w:w="1490"/>
        <w:gridCol w:w="171"/>
        <w:gridCol w:w="808"/>
        <w:gridCol w:w="41"/>
        <w:gridCol w:w="123"/>
        <w:gridCol w:w="171"/>
        <w:gridCol w:w="952"/>
        <w:gridCol w:w="61"/>
      </w:tblGrid>
      <w:tr>
        <w:trPr/>
        <w:tc>
          <w:tcPr>
            <w:tcW w:w="3817" w:type="dxa"/>
            <w:gridSpan w:val="8"/>
            <w:tcBorders/>
            <w:shd w:fill="auto" w:val="clear"/>
            <w:vAlign w:val="center"/>
          </w:tcPr>
          <w:p>
            <w:pPr>
              <w:pStyle w:val="TableContents"/>
              <w:spacing w:before="0" w:after="283"/>
              <w:rPr>
                <w:sz w:val="4"/>
                <w:szCs w:val="4"/>
              </w:rPr>
            </w:pPr>
            <w:r>
              <w:rPr>
                <w:sz w:val="4"/>
                <w:szCs w:val="4"/>
              </w:rPr>
            </w:r>
          </w:p>
        </w:tc>
      </w:tr>
      <w:tr>
        <w:trPr/>
        <w:tc>
          <w:tcPr>
            <w:tcW w:w="149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90" w:type="dxa"/>
            <w:tcBorders/>
            <w:shd w:fill="auto" w:val="clear"/>
            <w:vAlign w:val="center"/>
          </w:tcPr>
          <w:p>
            <w:pPr>
              <w:pStyle w:val="TableContents"/>
              <w:spacing w:before="0" w:after="0"/>
              <w:ind w:left="0" w:right="0" w:firstLine="30"/>
              <w:jc w:val="left"/>
              <w:rPr/>
            </w:pPr>
            <w:r>
              <w:rPr/>
              <w:t> </w:t>
            </w:r>
          </w:p>
        </w:tc>
        <w:tc>
          <w:tcPr>
            <w:tcW w:w="232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Half-Year Ended December 31,</w:t>
            </w:r>
          </w:p>
        </w:tc>
      </w:tr>
      <w:tr>
        <w:trPr/>
        <w:tc>
          <w:tcPr>
            <w:tcW w:w="1490" w:type="dxa"/>
            <w:tcBorders/>
            <w:shd w:fill="auto" w:val="clear"/>
            <w:vAlign w:val="center"/>
          </w:tcPr>
          <w:p>
            <w:pPr>
              <w:pStyle w:val="TableContents"/>
              <w:spacing w:before="0" w:after="0"/>
              <w:ind w:left="0" w:right="0" w:firstLine="30"/>
              <w:jc w:val="left"/>
              <w:rPr/>
            </w:pPr>
            <w:r>
              <w:rPr/>
              <w:t> </w:t>
            </w:r>
          </w:p>
        </w:tc>
        <w:tc>
          <w:tcPr>
            <w:tcW w:w="10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123" w:type="dxa"/>
            <w:tcBorders/>
            <w:shd w:fill="auto" w:val="clear"/>
            <w:vAlign w:val="center"/>
          </w:tcPr>
          <w:p>
            <w:pPr>
              <w:pStyle w:val="TableContents"/>
              <w:spacing w:before="0" w:after="0"/>
              <w:ind w:left="0" w:right="0" w:firstLine="30"/>
              <w:rPr/>
            </w:pPr>
            <w:r>
              <w:rPr/>
              <w:t> </w:t>
            </w:r>
          </w:p>
        </w:tc>
        <w:tc>
          <w:tcPr>
            <w:tcW w:w="11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2016</w:t>
            </w:r>
          </w:p>
        </w:tc>
      </w:tr>
      <w:tr>
        <w:trPr/>
        <w:tc>
          <w:tcPr>
            <w:tcW w:w="149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184" w:type="dxa"/>
            <w:gridSpan w:val="3"/>
            <w:tcBorders/>
            <w:shd w:fill="auto" w:val="clear"/>
            <w:vAlign w:val="center"/>
          </w:tcPr>
          <w:p>
            <w:pPr>
              <w:pStyle w:val="TableContents"/>
              <w:spacing w:before="0" w:after="0"/>
              <w:ind w:left="0" w:right="0" w:firstLine="30"/>
              <w:rPr/>
            </w:pPr>
            <w:r>
              <w:rPr/>
              <w:t> </w:t>
            </w:r>
          </w:p>
        </w:tc>
      </w:tr>
      <w:tr>
        <w:trPr/>
        <w:tc>
          <w:tcPr>
            <w:tcW w:w="1490" w:type="dxa"/>
            <w:tcBorders/>
            <w:shd w:fill="auto" w:val="clear"/>
            <w:vAlign w:val="center"/>
          </w:tcPr>
          <w:p>
            <w:pPr>
              <w:pStyle w:val="TableContents"/>
              <w:spacing w:before="0" w:after="0"/>
              <w:ind w:left="0" w:right="0" w:firstLine="30"/>
              <w:jc w:val="left"/>
              <w:rPr/>
            </w:pPr>
            <w:r>
              <w:rPr/>
              <w:t> </w:t>
            </w:r>
          </w:p>
        </w:tc>
        <w:tc>
          <w:tcPr>
            <w:tcW w:w="2327"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14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revenues*</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08" w:type="dxa"/>
            <w:tcBorders/>
            <w:shd w:fill="CCEEFF" w:val="clear"/>
            <w:vAlign w:val="center"/>
          </w:tcPr>
          <w:p>
            <w:pPr>
              <w:pStyle w:val="TableContents"/>
              <w:spacing w:before="0" w:after="0"/>
              <w:jc w:val="right"/>
              <w:rPr>
                <w:rFonts w:ascii="inherit" w:hAnsi="inherit"/>
                <w:sz w:val="17"/>
              </w:rPr>
            </w:pPr>
            <w:r>
              <w:rPr>
                <w:rFonts w:ascii="inherit" w:hAnsi="inherit"/>
                <w:sz w:val="17"/>
              </w:rPr>
              <w:t>95,784</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shd w:fill="CCEEFF" w:val="clear"/>
            <w:vAlign w:val="center"/>
          </w:tcPr>
          <w:p>
            <w:pPr>
              <w:pStyle w:val="TableContents"/>
              <w:spacing w:before="0" w:after="0"/>
              <w:jc w:val="right"/>
              <w:rPr>
                <w:rFonts w:ascii="inherit" w:hAnsi="inherit"/>
                <w:sz w:val="17"/>
              </w:rPr>
            </w:pPr>
            <w:r>
              <w:rPr>
                <w:rFonts w:ascii="inherit" w:hAnsi="inherit"/>
                <w:sz w:val="17"/>
              </w:rPr>
              <w:t>105,816</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9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32,572</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38,533</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profit</w:t>
            </w:r>
          </w:p>
        </w:tc>
        <w:tc>
          <w:tcPr>
            <w:tcW w:w="9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7,292</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8,633</w:t>
            </w:r>
          </w:p>
        </w:tc>
        <w:tc>
          <w:tcPr>
            <w:tcW w:w="6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283"/>
              <w:rPr>
                <w:sz w:val="4"/>
                <w:szCs w:val="4"/>
              </w:rPr>
            </w:pPr>
            <w:r>
              <w:rPr>
                <w:sz w:val="4"/>
                <w:szCs w:val="4"/>
              </w:rPr>
            </w:r>
          </w:p>
        </w:tc>
        <w:tc>
          <w:tcPr>
            <w:tcW w:w="10095" w:type="dxa"/>
            <w:tcBorders/>
            <w:shd w:fill="auto" w:val="clear"/>
            <w:vAlign w:val="center"/>
          </w:tcPr>
          <w:p>
            <w:pPr>
              <w:pStyle w:val="TableContents"/>
              <w:spacing w:before="0" w:after="283"/>
              <w:rPr>
                <w:sz w:val="4"/>
                <w:szCs w:val="4"/>
              </w:rPr>
            </w:pPr>
            <w:r>
              <w:rPr>
                <w:sz w:val="4"/>
                <w:szCs w:val="4"/>
              </w:rPr>
            </w:r>
          </w:p>
        </w:tc>
      </w:tr>
      <w:tr>
        <w:trPr/>
        <w:tc>
          <w:tcPr>
            <w:tcW w:w="110"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w:t>
            </w:r>
          </w:p>
        </w:tc>
        <w:tc>
          <w:tcPr>
            <w:tcW w:w="10095" w:type="dxa"/>
            <w:tcBorders/>
            <w:shd w:fill="auto" w:val="clear"/>
            <w:vAlign w:val="center"/>
          </w:tcPr>
          <w:p>
            <w:pPr>
              <w:pStyle w:val="TableContents"/>
              <w:spacing w:lineRule="auto" w:line="288" w:before="0" w:after="0"/>
              <w:rPr>
                <w:rFonts w:ascii="inherit" w:hAnsi="inherit"/>
                <w:sz w:val="13"/>
              </w:rPr>
            </w:pPr>
            <w:r>
              <w:rPr>
                <w:rFonts w:ascii="inherit" w:hAnsi="inherit"/>
                <w:sz w:val="13"/>
              </w:rPr>
              <w:t>Certain reclassifications of prior period amounts have been made. These reclassifications were made to conform to the current period presentation included in the report of Cash Converters International for the the half year ended December 31, 2016.</w:t>
            </w:r>
          </w:p>
        </w:tc>
      </w:tr>
    </w:tbl>
    <w:p>
      <w:pPr>
        <w:pStyle w:val="TextBody"/>
        <w:spacing w:lineRule="auto" w:line="288" w:before="0" w:after="0"/>
        <w:rPr>
          <w:rFonts w:ascii="inherit" w:hAnsi="inherit"/>
          <w:b/>
          <w:sz w:val="17"/>
        </w:rPr>
      </w:pPr>
      <w:bookmarkStart w:id="16" w:name="sEC093994D6A35EA0B7801DE3B1A33F17"/>
      <w:bookmarkEnd w:id="16"/>
      <w:r>
        <w:rPr>
          <w:rFonts w:ascii="inherit" w:hAnsi="inherit"/>
          <w:b/>
          <w:sz w:val="17"/>
        </w:rPr>
        <w:t>NOTE 5: FAIR VALUE MEASUREMENTS</w:t>
      </w:r>
    </w:p>
    <w:p>
      <w:pPr>
        <w:pStyle w:val="TextBody"/>
        <w:spacing w:lineRule="auto" w:line="288" w:before="0" w:after="0"/>
        <w:jc w:val="left"/>
        <w:rPr>
          <w:rFonts w:ascii="inherit" w:hAnsi="inherit"/>
          <w:sz w:val="17"/>
        </w:rPr>
      </w:pPr>
      <w:r>
        <w:rPr>
          <w:rFonts w:ascii="inherit" w:hAnsi="inherit"/>
          <w:sz w:val="17"/>
        </w:rPr>
        <w:t>Our assets and liabilities discussed below are classified in one of the following three categories based on the inputs used to develop their fair values: Level 1 — Quoted market prices in active markets for identical assets or liabilities; Level 2 — Other observable market-based inputs or unobservable inputs that are corroborated by market data; and Level 3 — Unobservable inputs that are not corroborated by market data.</w:t>
      </w:r>
    </w:p>
    <w:p>
      <w:pPr>
        <w:pStyle w:val="TextBody"/>
        <w:spacing w:lineRule="auto" w:line="288" w:before="0" w:after="0"/>
        <w:rPr>
          <w:rFonts w:ascii="inherit" w:hAnsi="inherit"/>
          <w:b/>
          <w:i/>
          <w:sz w:val="17"/>
        </w:rPr>
      </w:pPr>
      <w:r>
        <w:rPr>
          <w:rFonts w:ascii="inherit" w:hAnsi="inherit"/>
          <w:b/>
          <w:i/>
          <w:sz w:val="17"/>
        </w:rPr>
        <w:t>Recurring Fair Value Measurements</w:t>
      </w:r>
    </w:p>
    <w:p>
      <w:pPr>
        <w:pStyle w:val="TextBody"/>
        <w:spacing w:lineRule="auto" w:line="288" w:before="0" w:after="0"/>
        <w:jc w:val="left"/>
        <w:rPr>
          <w:rFonts w:ascii="inherit" w:hAnsi="inherit"/>
          <w:sz w:val="17"/>
        </w:rPr>
      </w:pPr>
      <w:r>
        <w:rPr>
          <w:rFonts w:ascii="inherit" w:hAnsi="inherit"/>
          <w:sz w:val="17"/>
        </w:rPr>
        <w:t>The tables below present our financial assets (liabilities) that were carried and measured at fair value on a recurring basis:</w:t>
      </w:r>
    </w:p>
    <w:tbl>
      <w:tblPr>
        <w:tblW w:w="10205" w:type="dxa"/>
        <w:jc w:val="left"/>
        <w:tblInd w:w="0" w:type="dxa"/>
        <w:tblCellMar>
          <w:top w:w="0" w:type="dxa"/>
          <w:left w:w="0" w:type="dxa"/>
          <w:bottom w:w="0" w:type="dxa"/>
          <w:right w:w="0" w:type="dxa"/>
        </w:tblCellMar>
      </w:tblPr>
      <w:tblGrid>
        <w:gridCol w:w="4397"/>
        <w:gridCol w:w="90"/>
        <w:gridCol w:w="1694"/>
        <w:gridCol w:w="90"/>
        <w:gridCol w:w="173"/>
        <w:gridCol w:w="816"/>
        <w:gridCol w:w="151"/>
        <w:gridCol w:w="90"/>
        <w:gridCol w:w="173"/>
        <w:gridCol w:w="816"/>
        <w:gridCol w:w="151"/>
        <w:gridCol w:w="90"/>
        <w:gridCol w:w="259"/>
        <w:gridCol w:w="1010"/>
        <w:gridCol w:w="205"/>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439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9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97"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3"/>
              </w:rPr>
            </w:pPr>
            <w:r>
              <w:rPr>
                <w:rFonts w:ascii="inherit" w:hAnsi="inherit"/>
                <w:b/>
                <w:sz w:val="13"/>
              </w:rPr>
              <w:t>Financial Assets (Liabilities)</w:t>
            </w:r>
          </w:p>
        </w:tc>
        <w:tc>
          <w:tcPr>
            <w:tcW w:w="90" w:type="dxa"/>
            <w:tcBorders/>
            <w:shd w:fill="auto" w:val="clear"/>
            <w:vAlign w:val="center"/>
          </w:tcPr>
          <w:p>
            <w:pPr>
              <w:pStyle w:val="TableContents"/>
              <w:spacing w:before="0" w:after="0"/>
              <w:ind w:left="0" w:right="0" w:firstLine="30"/>
              <w:rPr/>
            </w:pPr>
            <w:r>
              <w:rPr/>
              <w:t> </w:t>
            </w:r>
          </w:p>
        </w:tc>
        <w:tc>
          <w:tcPr>
            <w:tcW w:w="169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Balance Sheet Location</w:t>
            </w:r>
          </w:p>
        </w:tc>
        <w:tc>
          <w:tcPr>
            <w:tcW w:w="90" w:type="dxa"/>
            <w:tcBorders/>
            <w:shd w:fill="auto" w:val="clear"/>
            <w:vAlign w:val="center"/>
          </w:tcPr>
          <w:p>
            <w:pPr>
              <w:pStyle w:val="TableContents"/>
              <w:spacing w:before="0" w:after="0"/>
              <w:ind w:left="0" w:right="0" w:firstLine="30"/>
              <w:rPr/>
            </w:pPr>
            <w:r>
              <w:rPr/>
              <w:t> </w:t>
            </w:r>
          </w:p>
        </w:tc>
        <w:tc>
          <w:tcPr>
            <w:tcW w:w="11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2018</w:t>
            </w:r>
          </w:p>
        </w:tc>
        <w:tc>
          <w:tcPr>
            <w:tcW w:w="90" w:type="dxa"/>
            <w:tcBorders/>
            <w:shd w:fill="auto" w:val="clear"/>
            <w:vAlign w:val="center"/>
          </w:tcPr>
          <w:p>
            <w:pPr>
              <w:pStyle w:val="TableContents"/>
              <w:spacing w:before="0" w:after="0"/>
              <w:ind w:left="0" w:right="0" w:firstLine="30"/>
              <w:rPr/>
            </w:pPr>
            <w:r>
              <w:rPr/>
              <w:t> </w:t>
            </w:r>
          </w:p>
        </w:tc>
        <w:tc>
          <w:tcPr>
            <w:tcW w:w="11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2017</w:t>
            </w:r>
          </w:p>
        </w:tc>
        <w:tc>
          <w:tcPr>
            <w:tcW w:w="90" w:type="dxa"/>
            <w:tcBorders/>
            <w:shd w:fill="auto" w:val="clear"/>
            <w:vAlign w:val="center"/>
          </w:tcPr>
          <w:p>
            <w:pPr>
              <w:pStyle w:val="TableContents"/>
              <w:spacing w:before="0" w:after="0"/>
              <w:ind w:left="0" w:right="0" w:firstLine="30"/>
              <w:rPr/>
            </w:pPr>
            <w:r>
              <w:rPr/>
              <w:t> </w:t>
            </w:r>
          </w:p>
        </w:tc>
        <w:tc>
          <w:tcPr>
            <w:tcW w:w="14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2017</w:t>
            </w:r>
          </w:p>
        </w:tc>
      </w:tr>
      <w:tr>
        <w:trPr/>
        <w:tc>
          <w:tcPr>
            <w:tcW w:w="4397"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74" w:type="dxa"/>
            <w:gridSpan w:val="3"/>
            <w:tcBorders/>
            <w:shd w:fill="auto" w:val="clear"/>
            <w:vAlign w:val="center"/>
          </w:tcPr>
          <w:p>
            <w:pPr>
              <w:pStyle w:val="TableContents"/>
              <w:spacing w:before="0" w:after="0"/>
              <w:ind w:left="0" w:right="0" w:firstLine="30"/>
              <w:rPr/>
            </w:pPr>
            <w:r>
              <w:rPr/>
              <w:t> </w:t>
            </w:r>
          </w:p>
        </w:tc>
      </w:tr>
      <w:tr>
        <w:trPr/>
        <w:tc>
          <w:tcPr>
            <w:tcW w:w="4397"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934"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3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 Hedges — Level 2</w:t>
            </w:r>
          </w:p>
        </w:tc>
        <w:tc>
          <w:tcPr>
            <w:tcW w:w="90" w:type="dxa"/>
            <w:tcBorders/>
            <w:shd w:fill="CCEEFF" w:val="clear"/>
            <w:vAlign w:val="center"/>
          </w:tcPr>
          <w:p>
            <w:pPr>
              <w:pStyle w:val="TableContents"/>
              <w:spacing w:before="0" w:after="0"/>
              <w:ind w:left="0" w:right="0" w:firstLine="30"/>
              <w:rPr/>
            </w:pPr>
            <w:r>
              <w:rPr/>
              <w:t> </w:t>
            </w:r>
          </w:p>
        </w:tc>
        <w:tc>
          <w:tcPr>
            <w:tcW w:w="16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net</w:t>
            </w:r>
          </w:p>
        </w:tc>
        <w:tc>
          <w:tcPr>
            <w:tcW w:w="9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16" w:type="dxa"/>
            <w:tcBorders/>
            <w:shd w:fill="CCEEFF" w:val="clear"/>
            <w:vAlign w:val="center"/>
          </w:tcPr>
          <w:p>
            <w:pPr>
              <w:pStyle w:val="TableContents"/>
              <w:spacing w:before="0" w:after="0"/>
              <w:jc w:val="right"/>
              <w:rPr>
                <w:rFonts w:ascii="inherit" w:hAnsi="inherit"/>
                <w:sz w:val="17"/>
              </w:rPr>
            </w:pPr>
            <w:r>
              <w:rPr>
                <w:rFonts w:ascii="inherit" w:hAnsi="inherit"/>
                <w:sz w:val="17"/>
              </w:rPr>
              <w:t>16,042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16" w:type="dxa"/>
            <w:tcBorders/>
            <w:shd w:fill="CCEEFF" w:val="clear"/>
            <w:vAlign w:val="center"/>
          </w:tcPr>
          <w:p>
            <w:pPr>
              <w:pStyle w:val="TableContents"/>
              <w:spacing w:before="0" w:after="0"/>
              <w:jc w:val="right"/>
              <w:rPr>
                <w:rFonts w:ascii="inherit" w:hAnsi="inherit"/>
                <w:sz w:val="17"/>
              </w:rPr>
            </w:pPr>
            <w:r>
              <w:rPr>
                <w:rFonts w:ascii="inherit" w:hAnsi="inherit"/>
                <w:sz w:val="17"/>
              </w:rPr>
              <w:t>15,138</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0" w:type="dxa"/>
            <w:tcBorders/>
            <w:shd w:fill="CCEEFF" w:val="clear"/>
            <w:vAlign w:val="center"/>
          </w:tcPr>
          <w:p>
            <w:pPr>
              <w:pStyle w:val="TableContents"/>
              <w:spacing w:before="0" w:after="0"/>
              <w:jc w:val="right"/>
              <w:rPr>
                <w:rFonts w:ascii="inherit" w:hAnsi="inherit"/>
                <w:sz w:val="17"/>
              </w:rPr>
            </w:pPr>
            <w:r>
              <w:rPr>
                <w:rFonts w:ascii="inherit" w:hAnsi="inherit"/>
                <w:sz w:val="17"/>
              </w:rPr>
              <w:t>6,591</w:t>
            </w:r>
          </w:p>
        </w:tc>
        <w:tc>
          <w:tcPr>
            <w:tcW w:w="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 Embedded Derivative — Level 2</w:t>
            </w:r>
          </w:p>
        </w:tc>
        <w:tc>
          <w:tcPr>
            <w:tcW w:w="90" w:type="dxa"/>
            <w:tcBorders/>
            <w:shd w:fill="auto" w:val="clear"/>
            <w:vAlign w:val="center"/>
          </w:tcPr>
          <w:p>
            <w:pPr>
              <w:pStyle w:val="TableContents"/>
              <w:spacing w:before="0" w:after="0"/>
              <w:ind w:left="0" w:right="0" w:firstLine="30"/>
              <w:rPr/>
            </w:pPr>
            <w:r>
              <w:rPr/>
              <w:t> </w:t>
            </w:r>
          </w:p>
        </w:tc>
        <w:tc>
          <w:tcPr>
            <w:tcW w:w="16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net</w:t>
            </w:r>
          </w:p>
        </w:tc>
        <w:tc>
          <w:tcPr>
            <w:tcW w:w="90" w:type="dxa"/>
            <w:tcBorders/>
            <w:shd w:fill="auto" w:val="clear"/>
            <w:vAlign w:val="center"/>
          </w:tcPr>
          <w:p>
            <w:pPr>
              <w:pStyle w:val="TableContents"/>
              <w:spacing w:before="0" w:after="0"/>
              <w:ind w:left="0" w:right="0" w:firstLine="30"/>
              <w:rPr/>
            </w:pPr>
            <w:r>
              <w:rPr/>
              <w:t> </w:t>
            </w:r>
          </w:p>
        </w:tc>
        <w:tc>
          <w:tcPr>
            <w:tcW w:w="9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(16,042</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(15,138</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(6,591</w:t>
            </w:r>
          </w:p>
        </w:tc>
        <w:tc>
          <w:tcPr>
            <w:tcW w:w="20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sz w:val="17"/>
        </w:rPr>
      </w:pPr>
      <w:r>
        <w:rPr>
          <w:rFonts w:ascii="inherit" w:hAnsi="inherit"/>
          <w:sz w:val="17"/>
        </w:rPr>
        <w:t xml:space="preserve">We measured the fair value of the cash-settled call options pertaining to the </w:t>
      </w:r>
      <w:r>
        <w:rPr>
          <w:rFonts w:ascii="inherit" w:hAnsi="inherit"/>
          <w:color w:val="252525"/>
          <w:sz w:val="17"/>
        </w:rPr>
        <w:t>2.125%</w:t>
      </w:r>
      <w:r>
        <w:rPr>
          <w:color w:val="252525"/>
          <w:sz w:val="17"/>
        </w:rPr>
        <w:t xml:space="preserve"> </w:t>
      </w:r>
      <w:r>
        <w:rPr>
          <w:rFonts w:ascii="inherit" w:hAnsi="inherit"/>
          <w:color w:val="252525"/>
          <w:sz w:val="17"/>
        </w:rPr>
        <w:t xml:space="preserve">Cash Convertible Senior </w:t>
      </w:r>
      <w:r>
        <w:rPr>
          <w:rFonts w:ascii="inherit" w:hAnsi="inherit"/>
          <w:sz w:val="17"/>
        </w:rPr>
        <w:t>Notes Due 2019 (the “2019 Convertible Notes Hedges”) and the 2019 Convertible Notes derivative instrument (the “2019 Convertible Notes Embedded Derivative”) using the Black-Scholes-Merton</w:t>
      </w:r>
      <w:r>
        <w:rPr>
          <w:sz w:val="17"/>
        </w:rPr>
        <w:t xml:space="preserve"> </w:t>
      </w:r>
      <w:r>
        <w:rPr>
          <w:rFonts w:ascii="inherit" w:hAnsi="inherit"/>
          <w:sz w:val="17"/>
        </w:rPr>
        <w:t>model based on observable Level 1 and Level 2 inputs such as conversion price of underlying shares, current share price, implied volatility, risk free interest rate and other factors. The volatility input used as of March 31, 2018</w:t>
      </w:r>
      <w:r>
        <w:rPr>
          <w:sz w:val="17"/>
        </w:rPr>
        <w:t xml:space="preserve"> </w:t>
      </w:r>
      <w:r>
        <w:rPr>
          <w:rFonts w:ascii="inherit" w:hAnsi="inherit"/>
          <w:sz w:val="17"/>
        </w:rPr>
        <w:t>was 37%</w:t>
      </w:r>
      <w:r>
        <w:rPr>
          <w:sz w:val="17"/>
        </w:rPr>
        <w:t xml:space="preserve"> </w:t>
      </w:r>
      <w:r>
        <w:rPr>
          <w:rFonts w:ascii="inherit" w:hAnsi="inherit"/>
          <w:sz w:val="17"/>
        </w:rPr>
        <w:t>based on observed market inputs. As an estimate of the sensitivity of the fair values of the 2019 Convertible Notes Hedges and 2019 Convertible Notes Embedded Derivative, were volatility inputs of 30%</w:t>
      </w:r>
      <w:r>
        <w:rPr>
          <w:sz w:val="17"/>
        </w:rPr>
        <w:t xml:space="preserve"> </w:t>
      </w:r>
      <w:r>
        <w:rPr>
          <w:rFonts w:ascii="inherit" w:hAnsi="inherit"/>
          <w:sz w:val="17"/>
        </w:rPr>
        <w:t>and 45%</w:t>
      </w:r>
      <w:r>
        <w:rPr>
          <w:sz w:val="17"/>
        </w:rPr>
        <w:t xml:space="preserve"> </w:t>
      </w:r>
      <w:r>
        <w:rPr>
          <w:rFonts w:ascii="inherit" w:hAnsi="inherit"/>
          <w:sz w:val="17"/>
        </w:rPr>
        <w:t>used, the fair values would have ranged from $11.0 million</w:t>
      </w:r>
      <w:r>
        <w:rPr>
          <w:sz w:val="17"/>
        </w:rPr>
        <w:t xml:space="preserve"> </w:t>
      </w:r>
      <w:r>
        <w:rPr>
          <w:rFonts w:ascii="inherit" w:hAnsi="inherit"/>
          <w:sz w:val="17"/>
        </w:rPr>
        <w:t>to $21.3 million.</w:t>
      </w:r>
    </w:p>
    <w:p>
      <w:pPr>
        <w:pStyle w:val="TextBody"/>
        <w:spacing w:lineRule="auto" w:line="288" w:before="0" w:after="0"/>
        <w:jc w:val="left"/>
        <w:rPr>
          <w:rFonts w:ascii="inherit" w:hAnsi="inherit"/>
          <w:sz w:val="17"/>
        </w:rPr>
      </w:pPr>
      <w:r>
        <w:rPr>
          <w:rFonts w:ascii="inherit" w:hAnsi="inherit"/>
          <w:sz w:val="17"/>
        </w:rPr>
        <w:t>There were no transfers in or out of Level 1, Level 2 or Level 3 for financial assets or liabilities measured at fair value on a recurring basis during the periods presented.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Financial Assets and Liabilities Not Measured at Fair Value</w:t>
      </w:r>
    </w:p>
    <w:p>
      <w:pPr>
        <w:pStyle w:val="TextBody"/>
        <w:spacing w:lineRule="auto" w:line="288" w:before="0" w:after="0"/>
        <w:jc w:val="left"/>
        <w:rPr>
          <w:rFonts w:ascii="inherit" w:hAnsi="inherit"/>
          <w:sz w:val="17"/>
        </w:rPr>
      </w:pPr>
      <w:r>
        <w:rPr>
          <w:rFonts w:ascii="inherit" w:hAnsi="inherit"/>
          <w:sz w:val="17"/>
        </w:rPr>
        <w:t>The tables below present our financial assets and liabilities that were not measured at fair value on a recurring basis:</w:t>
      </w:r>
    </w:p>
    <w:tbl>
      <w:tblPr>
        <w:tblW w:w="8509" w:type="dxa"/>
        <w:jc w:val="left"/>
        <w:tblInd w:w="0" w:type="dxa"/>
        <w:tblCellMar>
          <w:top w:w="0" w:type="dxa"/>
          <w:left w:w="0" w:type="dxa"/>
          <w:bottom w:w="0" w:type="dxa"/>
          <w:right w:w="0" w:type="dxa"/>
        </w:tblCellMar>
      </w:tblPr>
      <w:tblGrid>
        <w:gridCol w:w="3200"/>
        <w:gridCol w:w="90"/>
        <w:gridCol w:w="172"/>
        <w:gridCol w:w="961"/>
        <w:gridCol w:w="41"/>
        <w:gridCol w:w="90"/>
        <w:gridCol w:w="172"/>
        <w:gridCol w:w="960"/>
        <w:gridCol w:w="41"/>
        <w:gridCol w:w="90"/>
        <w:gridCol w:w="191"/>
        <w:gridCol w:w="399"/>
        <w:gridCol w:w="42"/>
        <w:gridCol w:w="90"/>
        <w:gridCol w:w="125"/>
        <w:gridCol w:w="695"/>
        <w:gridCol w:w="30"/>
        <w:gridCol w:w="90"/>
        <w:gridCol w:w="125"/>
        <w:gridCol w:w="590"/>
        <w:gridCol w:w="315"/>
      </w:tblGrid>
      <w:tr>
        <w:trPr/>
        <w:tc>
          <w:tcPr>
            <w:tcW w:w="8509" w:type="dxa"/>
            <w:gridSpan w:val="21"/>
            <w:tcBorders/>
            <w:shd w:fill="auto" w:val="clear"/>
            <w:vAlign w:val="center"/>
          </w:tcPr>
          <w:p>
            <w:pPr>
              <w:pStyle w:val="TableContents"/>
              <w:spacing w:before="0" w:after="283"/>
              <w:rPr>
                <w:sz w:val="4"/>
                <w:szCs w:val="4"/>
              </w:rPr>
            </w:pPr>
            <w:r>
              <w:rPr>
                <w:sz w:val="4"/>
                <w:szCs w:val="4"/>
              </w:rPr>
            </w:r>
          </w:p>
        </w:tc>
      </w:tr>
      <w:tr>
        <w:trPr/>
        <w:tc>
          <w:tcPr>
            <w:tcW w:w="3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Value</w:t>
            </w:r>
          </w:p>
        </w:tc>
        <w:tc>
          <w:tcPr>
            <w:tcW w:w="90" w:type="dxa"/>
            <w:tcBorders/>
            <w:shd w:fill="auto" w:val="clear"/>
            <w:vAlign w:val="center"/>
          </w:tcPr>
          <w:p>
            <w:pPr>
              <w:pStyle w:val="TableContents"/>
              <w:spacing w:before="0" w:after="0"/>
              <w:ind w:left="0" w:right="0" w:firstLine="30"/>
              <w:rPr/>
            </w:pPr>
            <w:r>
              <w:rPr/>
              <w:t> </w:t>
            </w:r>
          </w:p>
        </w:tc>
        <w:tc>
          <w:tcPr>
            <w:tcW w:w="395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r>
      <w:tr>
        <w:trPr/>
        <w:tc>
          <w:tcPr>
            <w:tcW w:w="3200" w:type="dxa"/>
            <w:tcBorders/>
            <w:shd w:fill="auto" w:val="clear"/>
            <w:vAlign w:val="center"/>
          </w:tcPr>
          <w:p>
            <w:pPr>
              <w:pStyle w:val="TableContents"/>
              <w:spacing w:before="0" w:after="0"/>
              <w:ind w:left="0" w:right="0" w:firstLine="30"/>
              <w:jc w:val="left"/>
              <w:rPr/>
            </w:pPr>
            <w:r>
              <w:rPr/>
              <w:t> </w:t>
            </w:r>
          </w:p>
        </w:tc>
        <w:tc>
          <w:tcPr>
            <w:tcW w:w="90" w:type="dxa"/>
            <w:vMerge w:val="restart"/>
            <w:tcBorders/>
            <w:shd w:fill="auto" w:val="clear"/>
            <w:vAlign w:val="center"/>
          </w:tcPr>
          <w:p>
            <w:pPr>
              <w:pStyle w:val="TableContents"/>
              <w:spacing w:before="0" w:after="0"/>
              <w:ind w:left="0" w:right="0" w:firstLine="30"/>
              <w:rPr/>
            </w:pPr>
            <w:r>
              <w:rPr/>
              <w:t> </w:t>
            </w:r>
          </w:p>
        </w:tc>
        <w:tc>
          <w:tcPr>
            <w:tcW w:w="1174" w:type="dxa"/>
            <w:gridSpan w:val="3"/>
            <w:vMerge w:val="restart"/>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2018</w:t>
            </w:r>
          </w:p>
        </w:tc>
        <w:tc>
          <w:tcPr>
            <w:tcW w:w="90" w:type="dxa"/>
            <w:vMerge w:val="restart"/>
            <w:tcBorders/>
            <w:shd w:fill="auto" w:val="clear"/>
            <w:vAlign w:val="center"/>
          </w:tcPr>
          <w:p>
            <w:pPr>
              <w:pStyle w:val="TableContents"/>
              <w:spacing w:before="0" w:after="0"/>
              <w:ind w:left="0" w:right="0" w:firstLine="30"/>
              <w:rPr/>
            </w:pPr>
            <w:r>
              <w:rPr/>
              <w:t> </w:t>
            </w:r>
          </w:p>
        </w:tc>
        <w:tc>
          <w:tcPr>
            <w:tcW w:w="1173" w:type="dxa"/>
            <w:gridSpan w:val="3"/>
            <w:vMerge w:val="restart"/>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2018</w:t>
            </w:r>
          </w:p>
        </w:tc>
        <w:tc>
          <w:tcPr>
            <w:tcW w:w="90" w:type="dxa"/>
            <w:tcBorders/>
            <w:shd w:fill="auto" w:val="clear"/>
            <w:vAlign w:val="center"/>
          </w:tcPr>
          <w:p>
            <w:pPr>
              <w:pStyle w:val="TableContents"/>
              <w:spacing w:before="0" w:after="0"/>
              <w:ind w:left="0" w:right="0" w:firstLine="30"/>
              <w:rPr/>
            </w:pPr>
            <w:r>
              <w:rPr/>
              <w:t> </w:t>
            </w:r>
          </w:p>
        </w:tc>
        <w:tc>
          <w:tcPr>
            <w:tcW w:w="269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 Using</w:t>
            </w:r>
          </w:p>
        </w:tc>
      </w:tr>
      <w:tr>
        <w:trPr/>
        <w:tc>
          <w:tcPr>
            <w:tcW w:w="3200" w:type="dxa"/>
            <w:tcBorders/>
            <w:shd w:fill="auto" w:val="clear"/>
            <w:vAlign w:val="center"/>
          </w:tcPr>
          <w:p>
            <w:pPr>
              <w:pStyle w:val="TableContents"/>
              <w:spacing w:before="0" w:after="0"/>
              <w:ind w:left="0" w:right="0" w:firstLine="30"/>
              <w:rPr/>
            </w:pPr>
            <w:r>
              <w:rPr/>
              <w:t> </w:t>
            </w:r>
          </w:p>
        </w:tc>
        <w:tc>
          <w:tcPr>
            <w:tcW w:w="90" w:type="dxa"/>
            <w:vMerge w:val="continue"/>
            <w:tcBorders/>
            <w:shd w:fill="auto" w:val="clear"/>
            <w:vAlign w:val="center"/>
          </w:tcPr>
          <w:p>
            <w:pPr>
              <w:pStyle w:val="Normal"/>
              <w:rPr/>
            </w:pPr>
            <w:r>
              <w:rPr/>
            </w:r>
          </w:p>
        </w:tc>
        <w:tc>
          <w:tcPr>
            <w:tcW w:w="1174" w:type="dxa"/>
            <w:gridSpan w:val="3"/>
            <w:vMerge w:val="continue"/>
            <w:tcBorders>
              <w:top w:val="single" w:sz="2" w:space="0" w:color="000000"/>
              <w:bottom w:val="single" w:sz="2" w:space="0" w:color="000000"/>
            </w:tcBorders>
            <w:shd w:fill="auto" w:val="clear"/>
            <w:tcMar>
              <w:top w:w="30" w:type="dxa"/>
              <w:bottom w:w="30" w:type="dxa"/>
            </w:tcMar>
            <w:vAlign w:val="center"/>
          </w:tcPr>
          <w:p>
            <w:pPr>
              <w:pStyle w:val="Normal"/>
              <w:rPr/>
            </w:pPr>
            <w:r>
              <w:rPr/>
            </w:r>
          </w:p>
        </w:tc>
        <w:tc>
          <w:tcPr>
            <w:tcW w:w="90" w:type="dxa"/>
            <w:vMerge w:val="continue"/>
            <w:tcBorders/>
            <w:shd w:fill="auto" w:val="clear"/>
            <w:vAlign w:val="center"/>
          </w:tcPr>
          <w:p>
            <w:pPr>
              <w:pStyle w:val="Normal"/>
              <w:rPr/>
            </w:pPr>
            <w:r>
              <w:rPr/>
            </w:r>
          </w:p>
        </w:tc>
        <w:tc>
          <w:tcPr>
            <w:tcW w:w="1173" w:type="dxa"/>
            <w:gridSpan w:val="3"/>
            <w:vMerge w:val="continue"/>
            <w:tcBorders>
              <w:top w:val="single" w:sz="2" w:space="0" w:color="000000"/>
              <w:bottom w:val="single" w:sz="2" w:space="0" w:color="000000"/>
            </w:tcBorders>
            <w:shd w:fill="auto" w:val="clear"/>
            <w:tcMar>
              <w:top w:w="30" w:type="dxa"/>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r>
      <w:tr>
        <w:trPr/>
        <w:tc>
          <w:tcPr>
            <w:tcW w:w="3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219" w:type="dxa"/>
            <w:gridSpan w:val="19"/>
            <w:tcBorders/>
            <w:shd w:fill="auto" w:val="clear"/>
            <w:vAlign w:val="center"/>
          </w:tcPr>
          <w:p>
            <w:pPr>
              <w:pStyle w:val="TableContents"/>
              <w:spacing w:before="0" w:after="0"/>
              <w:ind w:left="0" w:right="0" w:firstLine="30"/>
              <w:jc w:val="center"/>
              <w:rPr>
                <w:rFonts w:ascii="inherit" w:hAnsi="inherit"/>
                <w:i/>
                <w:sz w:val="14"/>
              </w:rPr>
            </w:pPr>
            <w:r>
              <w:rPr>
                <w:rFonts w:ascii="inherit" w:hAnsi="inherit"/>
                <w:i/>
                <w:sz w:val="14"/>
              </w:rPr>
              <w:t>(in thousands)</w:t>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assets:</w:t>
            </w:r>
          </w:p>
        </w:tc>
        <w:tc>
          <w:tcPr>
            <w:tcW w:w="90" w:type="dxa"/>
            <w:tcBorders/>
            <w:shd w:fill="CCEEFF" w:val="clear"/>
            <w:vAlign w:val="center"/>
          </w:tcPr>
          <w:p>
            <w:pPr>
              <w:pStyle w:val="TableContents"/>
              <w:spacing w:before="0" w:after="0"/>
              <w:ind w:left="0" w:right="0" w:firstLine="30"/>
              <w:rPr/>
            </w:pPr>
            <w:r>
              <w:rPr/>
              <w:t> </w:t>
            </w:r>
          </w:p>
        </w:tc>
        <w:tc>
          <w:tcPr>
            <w:tcW w:w="11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3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0"/>
              <w:rPr/>
            </w:pPr>
            <w:r>
              <w:rPr/>
              <w:t> </w:t>
            </w:r>
          </w:p>
        </w:tc>
      </w:tr>
      <w:tr>
        <w:trPr/>
        <w:tc>
          <w:tcPr>
            <w:tcW w:w="3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Notes receivable, net</w:t>
            </w:r>
          </w:p>
        </w:tc>
        <w:tc>
          <w:tcPr>
            <w:tcW w:w="90"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1" w:type="dxa"/>
            <w:tcBorders/>
            <w:shd w:fill="auto" w:val="clear"/>
            <w:vAlign w:val="center"/>
          </w:tcPr>
          <w:p>
            <w:pPr>
              <w:pStyle w:val="TableContents"/>
              <w:spacing w:before="0" w:after="0"/>
              <w:jc w:val="right"/>
              <w:rPr>
                <w:rFonts w:ascii="inherit" w:hAnsi="inherit"/>
                <w:sz w:val="17"/>
              </w:rPr>
            </w:pPr>
            <w:r>
              <w:rPr>
                <w:rFonts w:ascii="inherit" w:hAnsi="inherit"/>
                <w:sz w:val="17"/>
              </w:rPr>
              <w:t>56,751</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shd w:fill="auto" w:val="clear"/>
            <w:vAlign w:val="center"/>
          </w:tcPr>
          <w:p>
            <w:pPr>
              <w:pStyle w:val="TableContents"/>
              <w:spacing w:before="0" w:after="0"/>
              <w:jc w:val="right"/>
              <w:rPr>
                <w:rFonts w:ascii="inherit" w:hAnsi="inherit"/>
                <w:sz w:val="17"/>
              </w:rPr>
            </w:pPr>
            <w:r>
              <w:rPr>
                <w:rFonts w:ascii="inherit" w:hAnsi="inherit"/>
                <w:sz w:val="17"/>
              </w:rPr>
              <w:t>65,091</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65,091</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 in unconsolidated affiliate</w:t>
            </w:r>
          </w:p>
        </w:tc>
        <w:tc>
          <w:tcPr>
            <w:tcW w:w="90"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46,509</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46,926</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46,926</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liabilities:</w:t>
            </w:r>
          </w:p>
        </w:tc>
        <w:tc>
          <w:tcPr>
            <w:tcW w:w="90" w:type="dxa"/>
            <w:tcBorders/>
            <w:shd w:fill="CCEEFF" w:val="clear"/>
            <w:vAlign w:val="center"/>
          </w:tcPr>
          <w:p>
            <w:pPr>
              <w:pStyle w:val="TableContents"/>
              <w:spacing w:before="0" w:after="0"/>
              <w:ind w:left="0" w:right="0" w:firstLine="30"/>
              <w:rPr/>
            </w:pPr>
            <w:r>
              <w:rPr/>
              <w:t> </w:t>
            </w:r>
          </w:p>
        </w:tc>
        <w:tc>
          <w:tcPr>
            <w:tcW w:w="11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3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0"/>
              <w:rPr/>
            </w:pPr>
            <w:r>
              <w:rPr/>
              <w:t> </w:t>
            </w:r>
          </w:p>
        </w:tc>
      </w:tr>
      <w:tr>
        <w:trPr/>
        <w:tc>
          <w:tcPr>
            <w:tcW w:w="3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w:t>
            </w:r>
          </w:p>
        </w:tc>
        <w:tc>
          <w:tcPr>
            <w:tcW w:w="90"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1" w:type="dxa"/>
            <w:tcBorders/>
            <w:shd w:fill="auto" w:val="clear"/>
            <w:vAlign w:val="center"/>
          </w:tcPr>
          <w:p>
            <w:pPr>
              <w:pStyle w:val="TableContents"/>
              <w:spacing w:before="0" w:after="0"/>
              <w:jc w:val="right"/>
              <w:rPr>
                <w:rFonts w:ascii="inherit" w:hAnsi="inherit"/>
                <w:sz w:val="17"/>
              </w:rPr>
            </w:pPr>
            <w:r>
              <w:rPr>
                <w:rFonts w:ascii="inherit" w:hAnsi="inherit"/>
                <w:sz w:val="17"/>
              </w:rPr>
              <w:t>182,296</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shd w:fill="auto" w:val="clear"/>
            <w:vAlign w:val="center"/>
          </w:tcPr>
          <w:p>
            <w:pPr>
              <w:pStyle w:val="TableContents"/>
              <w:spacing w:before="0" w:after="0"/>
              <w:jc w:val="right"/>
              <w:rPr>
                <w:rFonts w:ascii="inherit" w:hAnsi="inherit"/>
                <w:sz w:val="17"/>
              </w:rPr>
            </w:pPr>
            <w:r>
              <w:rPr>
                <w:rFonts w:ascii="inherit" w:hAnsi="inherit"/>
                <w:sz w:val="17"/>
              </w:rPr>
              <w:t>206,856</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206,856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pPr>
            <w:r>
              <w:rPr/>
              <w:t>—</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2024 Convertible Notes</w:t>
            </w:r>
          </w:p>
        </w:tc>
        <w:tc>
          <w:tcPr>
            <w:tcW w:w="90"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103,287</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212,060</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pPr>
            <w:r>
              <w:rPr/>
              <w:t>—</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212,060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1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tbl>
      <w:tblPr>
        <w:tblW w:w="8509" w:type="dxa"/>
        <w:jc w:val="left"/>
        <w:tblInd w:w="0" w:type="dxa"/>
        <w:tblCellMar>
          <w:top w:w="0" w:type="dxa"/>
          <w:left w:w="0" w:type="dxa"/>
          <w:bottom w:w="0" w:type="dxa"/>
          <w:right w:w="0" w:type="dxa"/>
        </w:tblCellMar>
      </w:tblPr>
      <w:tblGrid>
        <w:gridCol w:w="3200"/>
        <w:gridCol w:w="90"/>
        <w:gridCol w:w="172"/>
        <w:gridCol w:w="961"/>
        <w:gridCol w:w="41"/>
        <w:gridCol w:w="90"/>
        <w:gridCol w:w="172"/>
        <w:gridCol w:w="960"/>
        <w:gridCol w:w="41"/>
        <w:gridCol w:w="90"/>
        <w:gridCol w:w="191"/>
        <w:gridCol w:w="399"/>
        <w:gridCol w:w="42"/>
        <w:gridCol w:w="90"/>
        <w:gridCol w:w="125"/>
        <w:gridCol w:w="695"/>
        <w:gridCol w:w="30"/>
        <w:gridCol w:w="90"/>
        <w:gridCol w:w="125"/>
        <w:gridCol w:w="590"/>
        <w:gridCol w:w="315"/>
      </w:tblGrid>
      <w:tr>
        <w:trPr/>
        <w:tc>
          <w:tcPr>
            <w:tcW w:w="8509" w:type="dxa"/>
            <w:gridSpan w:val="21"/>
            <w:tcBorders/>
            <w:shd w:fill="auto" w:val="clear"/>
            <w:vAlign w:val="center"/>
          </w:tcPr>
          <w:p>
            <w:pPr>
              <w:pStyle w:val="TableContents"/>
              <w:spacing w:before="0" w:after="283"/>
              <w:rPr>
                <w:sz w:val="4"/>
                <w:szCs w:val="4"/>
              </w:rPr>
            </w:pPr>
            <w:r>
              <w:rPr>
                <w:sz w:val="4"/>
                <w:szCs w:val="4"/>
              </w:rPr>
            </w:r>
          </w:p>
        </w:tc>
      </w:tr>
      <w:tr>
        <w:trPr/>
        <w:tc>
          <w:tcPr>
            <w:tcW w:w="3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Value</w:t>
            </w:r>
          </w:p>
        </w:tc>
        <w:tc>
          <w:tcPr>
            <w:tcW w:w="90" w:type="dxa"/>
            <w:tcBorders/>
            <w:shd w:fill="auto" w:val="clear"/>
            <w:vAlign w:val="center"/>
          </w:tcPr>
          <w:p>
            <w:pPr>
              <w:pStyle w:val="TableContents"/>
              <w:spacing w:before="0" w:after="0"/>
              <w:ind w:left="0" w:right="0" w:firstLine="30"/>
              <w:rPr/>
            </w:pPr>
            <w:r>
              <w:rPr/>
              <w:t> </w:t>
            </w:r>
          </w:p>
        </w:tc>
        <w:tc>
          <w:tcPr>
            <w:tcW w:w="395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r>
      <w:tr>
        <w:trPr/>
        <w:tc>
          <w:tcPr>
            <w:tcW w:w="3200" w:type="dxa"/>
            <w:tcBorders/>
            <w:shd w:fill="auto" w:val="clear"/>
            <w:vAlign w:val="center"/>
          </w:tcPr>
          <w:p>
            <w:pPr>
              <w:pStyle w:val="TableContents"/>
              <w:spacing w:before="0" w:after="0"/>
              <w:ind w:left="0" w:right="0" w:firstLine="30"/>
              <w:jc w:val="left"/>
              <w:rPr/>
            </w:pPr>
            <w:r>
              <w:rPr/>
              <w:t> </w:t>
            </w:r>
          </w:p>
        </w:tc>
        <w:tc>
          <w:tcPr>
            <w:tcW w:w="90" w:type="dxa"/>
            <w:vMerge w:val="restart"/>
            <w:tcBorders/>
            <w:shd w:fill="auto" w:val="clear"/>
            <w:vAlign w:val="center"/>
          </w:tcPr>
          <w:p>
            <w:pPr>
              <w:pStyle w:val="TableContents"/>
              <w:spacing w:before="0" w:after="0"/>
              <w:ind w:left="0" w:right="0" w:firstLine="30"/>
              <w:rPr/>
            </w:pPr>
            <w:r>
              <w:rPr/>
              <w:t> </w:t>
            </w:r>
          </w:p>
        </w:tc>
        <w:tc>
          <w:tcPr>
            <w:tcW w:w="1174" w:type="dxa"/>
            <w:gridSpan w:val="3"/>
            <w:vMerge w:val="restart"/>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2017</w:t>
            </w:r>
          </w:p>
        </w:tc>
        <w:tc>
          <w:tcPr>
            <w:tcW w:w="90" w:type="dxa"/>
            <w:vMerge w:val="restart"/>
            <w:tcBorders/>
            <w:shd w:fill="auto" w:val="clear"/>
            <w:vAlign w:val="center"/>
          </w:tcPr>
          <w:p>
            <w:pPr>
              <w:pStyle w:val="TableContents"/>
              <w:spacing w:before="0" w:after="0"/>
              <w:ind w:left="0" w:right="0" w:firstLine="30"/>
              <w:rPr/>
            </w:pPr>
            <w:r>
              <w:rPr/>
              <w:t> </w:t>
            </w:r>
          </w:p>
        </w:tc>
        <w:tc>
          <w:tcPr>
            <w:tcW w:w="1173" w:type="dxa"/>
            <w:gridSpan w:val="3"/>
            <w:vMerge w:val="restart"/>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2017</w:t>
            </w:r>
          </w:p>
        </w:tc>
        <w:tc>
          <w:tcPr>
            <w:tcW w:w="90" w:type="dxa"/>
            <w:tcBorders/>
            <w:shd w:fill="auto" w:val="clear"/>
            <w:vAlign w:val="center"/>
          </w:tcPr>
          <w:p>
            <w:pPr>
              <w:pStyle w:val="TableContents"/>
              <w:spacing w:before="0" w:after="0"/>
              <w:ind w:left="0" w:right="0" w:firstLine="30"/>
              <w:rPr/>
            </w:pPr>
            <w:r>
              <w:rPr/>
              <w:t> </w:t>
            </w:r>
          </w:p>
        </w:tc>
        <w:tc>
          <w:tcPr>
            <w:tcW w:w="269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 Using</w:t>
            </w:r>
          </w:p>
        </w:tc>
      </w:tr>
      <w:tr>
        <w:trPr/>
        <w:tc>
          <w:tcPr>
            <w:tcW w:w="3200" w:type="dxa"/>
            <w:tcBorders/>
            <w:shd w:fill="auto" w:val="clear"/>
            <w:vAlign w:val="center"/>
          </w:tcPr>
          <w:p>
            <w:pPr>
              <w:pStyle w:val="TableContents"/>
              <w:spacing w:before="0" w:after="0"/>
              <w:ind w:left="0" w:right="0" w:firstLine="30"/>
              <w:rPr/>
            </w:pPr>
            <w:r>
              <w:rPr/>
              <w:t> </w:t>
            </w:r>
          </w:p>
        </w:tc>
        <w:tc>
          <w:tcPr>
            <w:tcW w:w="90" w:type="dxa"/>
            <w:vMerge w:val="continue"/>
            <w:tcBorders/>
            <w:shd w:fill="auto" w:val="clear"/>
            <w:vAlign w:val="center"/>
          </w:tcPr>
          <w:p>
            <w:pPr>
              <w:pStyle w:val="Normal"/>
              <w:rPr/>
            </w:pPr>
            <w:r>
              <w:rPr/>
            </w:r>
          </w:p>
        </w:tc>
        <w:tc>
          <w:tcPr>
            <w:tcW w:w="1174" w:type="dxa"/>
            <w:gridSpan w:val="3"/>
            <w:vMerge w:val="continue"/>
            <w:tcBorders>
              <w:top w:val="single" w:sz="2" w:space="0" w:color="000000"/>
              <w:bottom w:val="single" w:sz="2" w:space="0" w:color="000000"/>
            </w:tcBorders>
            <w:shd w:fill="auto" w:val="clear"/>
            <w:tcMar>
              <w:top w:w="30" w:type="dxa"/>
              <w:bottom w:w="30" w:type="dxa"/>
            </w:tcMar>
            <w:vAlign w:val="center"/>
          </w:tcPr>
          <w:p>
            <w:pPr>
              <w:pStyle w:val="Normal"/>
              <w:rPr/>
            </w:pPr>
            <w:r>
              <w:rPr/>
            </w:r>
          </w:p>
        </w:tc>
        <w:tc>
          <w:tcPr>
            <w:tcW w:w="90" w:type="dxa"/>
            <w:vMerge w:val="continue"/>
            <w:tcBorders/>
            <w:shd w:fill="auto" w:val="clear"/>
            <w:vAlign w:val="center"/>
          </w:tcPr>
          <w:p>
            <w:pPr>
              <w:pStyle w:val="Normal"/>
              <w:rPr/>
            </w:pPr>
            <w:r>
              <w:rPr/>
            </w:r>
          </w:p>
        </w:tc>
        <w:tc>
          <w:tcPr>
            <w:tcW w:w="1173" w:type="dxa"/>
            <w:gridSpan w:val="3"/>
            <w:vMerge w:val="continue"/>
            <w:tcBorders>
              <w:top w:val="single" w:sz="2" w:space="0" w:color="000000"/>
              <w:bottom w:val="single" w:sz="2" w:space="0" w:color="000000"/>
            </w:tcBorders>
            <w:shd w:fill="auto" w:val="clear"/>
            <w:tcMar>
              <w:top w:w="30" w:type="dxa"/>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r>
      <w:tr>
        <w:trPr/>
        <w:tc>
          <w:tcPr>
            <w:tcW w:w="3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219" w:type="dxa"/>
            <w:gridSpan w:val="19"/>
            <w:tcBorders/>
            <w:shd w:fill="auto" w:val="clear"/>
            <w:vAlign w:val="center"/>
          </w:tcPr>
          <w:p>
            <w:pPr>
              <w:pStyle w:val="TableContents"/>
              <w:spacing w:before="0" w:after="0"/>
              <w:ind w:left="0" w:right="0" w:firstLine="30"/>
              <w:jc w:val="center"/>
              <w:rPr>
                <w:rFonts w:ascii="inherit" w:hAnsi="inherit"/>
                <w:i/>
                <w:sz w:val="14"/>
              </w:rPr>
            </w:pPr>
            <w:r>
              <w:rPr>
                <w:rFonts w:ascii="inherit" w:hAnsi="inherit"/>
                <w:i/>
                <w:sz w:val="14"/>
              </w:rPr>
              <w:t>(in thousands)</w:t>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assets:</w:t>
            </w:r>
          </w:p>
        </w:tc>
        <w:tc>
          <w:tcPr>
            <w:tcW w:w="90" w:type="dxa"/>
            <w:tcBorders/>
            <w:shd w:fill="CCEEFF" w:val="clear"/>
            <w:vAlign w:val="center"/>
          </w:tcPr>
          <w:p>
            <w:pPr>
              <w:pStyle w:val="TableContents"/>
              <w:spacing w:before="0" w:after="0"/>
              <w:ind w:left="0" w:right="0" w:firstLine="30"/>
              <w:rPr/>
            </w:pPr>
            <w:r>
              <w:rPr/>
              <w:t> </w:t>
            </w:r>
          </w:p>
        </w:tc>
        <w:tc>
          <w:tcPr>
            <w:tcW w:w="11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3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0"/>
              <w:rPr/>
            </w:pPr>
            <w:r>
              <w:rPr/>
              <w:t> </w:t>
            </w:r>
          </w:p>
        </w:tc>
      </w:tr>
      <w:tr>
        <w:trPr/>
        <w:tc>
          <w:tcPr>
            <w:tcW w:w="3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Notes receivable, net</w:t>
            </w:r>
          </w:p>
        </w:tc>
        <w:tc>
          <w:tcPr>
            <w:tcW w:w="90"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1" w:type="dxa"/>
            <w:tcBorders/>
            <w:shd w:fill="auto" w:val="clear"/>
            <w:vAlign w:val="center"/>
          </w:tcPr>
          <w:p>
            <w:pPr>
              <w:pStyle w:val="TableContents"/>
              <w:spacing w:before="0" w:after="0"/>
              <w:jc w:val="right"/>
              <w:rPr>
                <w:rFonts w:ascii="inherit" w:hAnsi="inherit"/>
                <w:sz w:val="17"/>
              </w:rPr>
            </w:pPr>
            <w:r>
              <w:rPr>
                <w:rFonts w:ascii="inherit" w:hAnsi="inherit"/>
                <w:sz w:val="17"/>
              </w:rPr>
              <w:t>70,297</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shd w:fill="auto" w:val="clear"/>
            <w:vAlign w:val="center"/>
          </w:tcPr>
          <w:p>
            <w:pPr>
              <w:pStyle w:val="TableContents"/>
              <w:spacing w:before="0" w:after="0"/>
              <w:jc w:val="right"/>
              <w:rPr>
                <w:rFonts w:ascii="inherit" w:hAnsi="inherit"/>
                <w:sz w:val="17"/>
              </w:rPr>
            </w:pPr>
            <w:r>
              <w:rPr>
                <w:rFonts w:ascii="inherit" w:hAnsi="inherit"/>
                <w:sz w:val="17"/>
              </w:rPr>
              <w:t>71,921</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71,921</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 in unconsolidated affiliate</w:t>
            </w:r>
          </w:p>
        </w:tc>
        <w:tc>
          <w:tcPr>
            <w:tcW w:w="90"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38,334</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37,101</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37,101</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liabilities:</w:t>
            </w:r>
          </w:p>
        </w:tc>
        <w:tc>
          <w:tcPr>
            <w:tcW w:w="90" w:type="dxa"/>
            <w:tcBorders/>
            <w:shd w:fill="CCEEFF" w:val="clear"/>
            <w:vAlign w:val="center"/>
          </w:tcPr>
          <w:p>
            <w:pPr>
              <w:pStyle w:val="TableContents"/>
              <w:spacing w:before="0" w:after="0"/>
              <w:ind w:left="0" w:right="0" w:firstLine="30"/>
              <w:rPr/>
            </w:pPr>
            <w:r>
              <w:rPr/>
              <w:t> </w:t>
            </w:r>
          </w:p>
        </w:tc>
        <w:tc>
          <w:tcPr>
            <w:tcW w:w="11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3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0"/>
              <w:rPr/>
            </w:pPr>
            <w:r>
              <w:rPr/>
              <w:t> </w:t>
            </w:r>
          </w:p>
        </w:tc>
      </w:tr>
      <w:tr>
        <w:trPr/>
        <w:tc>
          <w:tcPr>
            <w:tcW w:w="3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w:t>
            </w:r>
          </w:p>
        </w:tc>
        <w:tc>
          <w:tcPr>
            <w:tcW w:w="90"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1" w:type="dxa"/>
            <w:tcBorders/>
            <w:shd w:fill="auto" w:val="clear"/>
            <w:vAlign w:val="center"/>
          </w:tcPr>
          <w:p>
            <w:pPr>
              <w:pStyle w:val="TableContents"/>
              <w:spacing w:before="0" w:after="0"/>
              <w:jc w:val="right"/>
              <w:rPr>
                <w:rFonts w:ascii="inherit" w:hAnsi="inherit"/>
                <w:sz w:val="17"/>
              </w:rPr>
            </w:pPr>
            <w:r>
              <w:rPr>
                <w:rFonts w:ascii="inherit" w:hAnsi="inherit"/>
                <w:sz w:val="17"/>
              </w:rPr>
              <w:t>203,464</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shd w:fill="auto" w:val="clear"/>
            <w:vAlign w:val="center"/>
          </w:tcPr>
          <w:p>
            <w:pPr>
              <w:pStyle w:val="TableContents"/>
              <w:spacing w:before="0" w:after="0"/>
              <w:jc w:val="right"/>
              <w:rPr>
                <w:rFonts w:ascii="inherit" w:hAnsi="inherit"/>
                <w:sz w:val="17"/>
              </w:rPr>
            </w:pPr>
            <w:r>
              <w:rPr>
                <w:rFonts w:ascii="inherit" w:hAnsi="inherit"/>
                <w:sz w:val="17"/>
              </w:rPr>
              <w:t>213,417</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213,417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pPr>
            <w:r>
              <w:rPr/>
              <w:t>—</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Term Loan Facility</w:t>
            </w:r>
          </w:p>
        </w:tc>
        <w:tc>
          <w:tcPr>
            <w:tcW w:w="90"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48,122</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50,403</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pPr>
            <w:r>
              <w:rPr/>
              <w:t>—</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50,403</w:t>
            </w:r>
          </w:p>
        </w:tc>
        <w:tc>
          <w:tcPr>
            <w:tcW w:w="31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tbl>
      <w:tblPr>
        <w:tblW w:w="9199" w:type="dxa"/>
        <w:jc w:val="left"/>
        <w:tblInd w:w="0" w:type="dxa"/>
        <w:tblCellMar>
          <w:top w:w="0" w:type="dxa"/>
          <w:left w:w="0" w:type="dxa"/>
          <w:bottom w:w="0" w:type="dxa"/>
          <w:right w:w="0" w:type="dxa"/>
        </w:tblCellMar>
      </w:tblPr>
      <w:tblGrid>
        <w:gridCol w:w="3200"/>
        <w:gridCol w:w="90"/>
        <w:gridCol w:w="223"/>
        <w:gridCol w:w="1243"/>
        <w:gridCol w:w="53"/>
        <w:gridCol w:w="90"/>
        <w:gridCol w:w="222"/>
        <w:gridCol w:w="1241"/>
        <w:gridCol w:w="55"/>
        <w:gridCol w:w="90"/>
        <w:gridCol w:w="191"/>
        <w:gridCol w:w="399"/>
        <w:gridCol w:w="42"/>
        <w:gridCol w:w="90"/>
        <w:gridCol w:w="125"/>
        <w:gridCol w:w="695"/>
        <w:gridCol w:w="30"/>
        <w:gridCol w:w="90"/>
        <w:gridCol w:w="125"/>
        <w:gridCol w:w="590"/>
        <w:gridCol w:w="315"/>
      </w:tblGrid>
      <w:tr>
        <w:trPr/>
        <w:tc>
          <w:tcPr>
            <w:tcW w:w="9199" w:type="dxa"/>
            <w:gridSpan w:val="21"/>
            <w:tcBorders/>
            <w:shd w:fill="auto" w:val="clear"/>
            <w:vAlign w:val="center"/>
          </w:tcPr>
          <w:p>
            <w:pPr>
              <w:pStyle w:val="TableContents"/>
              <w:spacing w:before="0" w:after="283"/>
              <w:rPr>
                <w:sz w:val="4"/>
                <w:szCs w:val="4"/>
              </w:rPr>
            </w:pPr>
            <w:r>
              <w:rPr>
                <w:sz w:val="4"/>
                <w:szCs w:val="4"/>
              </w:rPr>
            </w:r>
          </w:p>
        </w:tc>
      </w:tr>
      <w:tr>
        <w:trPr/>
        <w:tc>
          <w:tcPr>
            <w:tcW w:w="3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Value</w:t>
            </w:r>
          </w:p>
        </w:tc>
        <w:tc>
          <w:tcPr>
            <w:tcW w:w="90" w:type="dxa"/>
            <w:tcBorders/>
            <w:shd w:fill="auto" w:val="clear"/>
            <w:vAlign w:val="center"/>
          </w:tcPr>
          <w:p>
            <w:pPr>
              <w:pStyle w:val="TableContents"/>
              <w:spacing w:before="0" w:after="0"/>
              <w:ind w:left="0" w:right="0" w:firstLine="30"/>
              <w:rPr/>
            </w:pPr>
            <w:r>
              <w:rPr/>
              <w:t> </w:t>
            </w:r>
          </w:p>
        </w:tc>
        <w:tc>
          <w:tcPr>
            <w:tcW w:w="4300"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r>
      <w:tr>
        <w:trPr/>
        <w:tc>
          <w:tcPr>
            <w:tcW w:w="3200" w:type="dxa"/>
            <w:tcBorders/>
            <w:shd w:fill="auto" w:val="clear"/>
            <w:vAlign w:val="center"/>
          </w:tcPr>
          <w:p>
            <w:pPr>
              <w:pStyle w:val="TableContents"/>
              <w:spacing w:before="0" w:after="0"/>
              <w:ind w:left="0" w:right="0" w:firstLine="30"/>
              <w:jc w:val="left"/>
              <w:rPr/>
            </w:pPr>
            <w:r>
              <w:rPr/>
              <w:t> </w:t>
            </w:r>
          </w:p>
        </w:tc>
        <w:tc>
          <w:tcPr>
            <w:tcW w:w="90" w:type="dxa"/>
            <w:vMerge w:val="restart"/>
            <w:tcBorders/>
            <w:shd w:fill="auto" w:val="clear"/>
            <w:vAlign w:val="center"/>
          </w:tcPr>
          <w:p>
            <w:pPr>
              <w:pStyle w:val="TableContents"/>
              <w:spacing w:before="0" w:after="0"/>
              <w:ind w:left="0" w:right="0" w:firstLine="30"/>
              <w:rPr/>
            </w:pPr>
            <w:r>
              <w:rPr/>
              <w:t> </w:t>
            </w:r>
          </w:p>
        </w:tc>
        <w:tc>
          <w:tcPr>
            <w:tcW w:w="1519" w:type="dxa"/>
            <w:gridSpan w:val="3"/>
            <w:vMerge w:val="restart"/>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2017</w:t>
            </w:r>
          </w:p>
        </w:tc>
        <w:tc>
          <w:tcPr>
            <w:tcW w:w="90" w:type="dxa"/>
            <w:vMerge w:val="restart"/>
            <w:tcBorders/>
            <w:shd w:fill="auto" w:val="clear"/>
            <w:vAlign w:val="center"/>
          </w:tcPr>
          <w:p>
            <w:pPr>
              <w:pStyle w:val="TableContents"/>
              <w:spacing w:before="0" w:after="0"/>
              <w:ind w:left="0" w:right="0" w:firstLine="30"/>
              <w:rPr/>
            </w:pPr>
            <w:r>
              <w:rPr/>
              <w:t> </w:t>
            </w:r>
          </w:p>
        </w:tc>
        <w:tc>
          <w:tcPr>
            <w:tcW w:w="1518" w:type="dxa"/>
            <w:gridSpan w:val="3"/>
            <w:vMerge w:val="restart"/>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2017</w:t>
            </w:r>
          </w:p>
        </w:tc>
        <w:tc>
          <w:tcPr>
            <w:tcW w:w="90" w:type="dxa"/>
            <w:tcBorders/>
            <w:shd w:fill="auto" w:val="clear"/>
            <w:vAlign w:val="center"/>
          </w:tcPr>
          <w:p>
            <w:pPr>
              <w:pStyle w:val="TableContents"/>
              <w:spacing w:before="0" w:after="0"/>
              <w:ind w:left="0" w:right="0" w:firstLine="30"/>
              <w:rPr/>
            </w:pPr>
            <w:r>
              <w:rPr/>
              <w:t> </w:t>
            </w:r>
          </w:p>
        </w:tc>
        <w:tc>
          <w:tcPr>
            <w:tcW w:w="269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 Using</w:t>
            </w:r>
          </w:p>
        </w:tc>
      </w:tr>
      <w:tr>
        <w:trPr/>
        <w:tc>
          <w:tcPr>
            <w:tcW w:w="3200" w:type="dxa"/>
            <w:tcBorders/>
            <w:shd w:fill="auto" w:val="clear"/>
            <w:vAlign w:val="center"/>
          </w:tcPr>
          <w:p>
            <w:pPr>
              <w:pStyle w:val="TableContents"/>
              <w:spacing w:before="0" w:after="0"/>
              <w:ind w:left="0" w:right="0" w:firstLine="30"/>
              <w:rPr/>
            </w:pPr>
            <w:r>
              <w:rPr/>
              <w:t> </w:t>
            </w:r>
          </w:p>
        </w:tc>
        <w:tc>
          <w:tcPr>
            <w:tcW w:w="90" w:type="dxa"/>
            <w:vMerge w:val="continue"/>
            <w:tcBorders/>
            <w:shd w:fill="auto" w:val="clear"/>
            <w:vAlign w:val="center"/>
          </w:tcPr>
          <w:p>
            <w:pPr>
              <w:pStyle w:val="Normal"/>
              <w:rPr/>
            </w:pPr>
            <w:r>
              <w:rPr/>
            </w:r>
          </w:p>
        </w:tc>
        <w:tc>
          <w:tcPr>
            <w:tcW w:w="1519" w:type="dxa"/>
            <w:gridSpan w:val="3"/>
            <w:vMerge w:val="continue"/>
            <w:tcBorders>
              <w:top w:val="single" w:sz="2" w:space="0" w:color="000000"/>
              <w:bottom w:val="single" w:sz="2" w:space="0" w:color="000000"/>
            </w:tcBorders>
            <w:shd w:fill="auto" w:val="clear"/>
            <w:tcMar>
              <w:top w:w="30" w:type="dxa"/>
              <w:bottom w:w="30" w:type="dxa"/>
            </w:tcMar>
            <w:vAlign w:val="center"/>
          </w:tcPr>
          <w:p>
            <w:pPr>
              <w:pStyle w:val="Normal"/>
              <w:rPr/>
            </w:pPr>
            <w:r>
              <w:rPr/>
            </w:r>
          </w:p>
        </w:tc>
        <w:tc>
          <w:tcPr>
            <w:tcW w:w="90" w:type="dxa"/>
            <w:vMerge w:val="continue"/>
            <w:tcBorders/>
            <w:shd w:fill="auto" w:val="clear"/>
            <w:vAlign w:val="center"/>
          </w:tcPr>
          <w:p>
            <w:pPr>
              <w:pStyle w:val="Normal"/>
              <w:rPr/>
            </w:pPr>
            <w:r>
              <w:rPr/>
            </w:r>
          </w:p>
        </w:tc>
        <w:tc>
          <w:tcPr>
            <w:tcW w:w="1518" w:type="dxa"/>
            <w:gridSpan w:val="3"/>
            <w:vMerge w:val="continue"/>
            <w:tcBorders>
              <w:top w:val="single" w:sz="2" w:space="0" w:color="000000"/>
              <w:bottom w:val="single" w:sz="2" w:space="0" w:color="000000"/>
            </w:tcBorders>
            <w:shd w:fill="auto" w:val="clear"/>
            <w:tcMar>
              <w:top w:w="30" w:type="dxa"/>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r>
      <w:tr>
        <w:trPr/>
        <w:tc>
          <w:tcPr>
            <w:tcW w:w="3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909" w:type="dxa"/>
            <w:gridSpan w:val="19"/>
            <w:tcBorders/>
            <w:shd w:fill="auto" w:val="clear"/>
            <w:vAlign w:val="center"/>
          </w:tcPr>
          <w:p>
            <w:pPr>
              <w:pStyle w:val="TableContents"/>
              <w:spacing w:before="0" w:after="0"/>
              <w:ind w:left="0" w:right="0" w:firstLine="30"/>
              <w:jc w:val="center"/>
              <w:rPr>
                <w:rFonts w:ascii="inherit" w:hAnsi="inherit"/>
                <w:i/>
                <w:sz w:val="14"/>
              </w:rPr>
            </w:pPr>
            <w:r>
              <w:rPr>
                <w:rFonts w:ascii="inherit" w:hAnsi="inherit"/>
                <w:i/>
                <w:sz w:val="14"/>
              </w:rPr>
              <w:t>(in thousands)</w:t>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assets:</w:t>
            </w:r>
          </w:p>
        </w:tc>
        <w:tc>
          <w:tcPr>
            <w:tcW w:w="90" w:type="dxa"/>
            <w:tcBorders/>
            <w:shd w:fill="CCEEFF" w:val="clear"/>
            <w:vAlign w:val="center"/>
          </w:tcPr>
          <w:p>
            <w:pPr>
              <w:pStyle w:val="TableContents"/>
              <w:spacing w:before="0" w:after="0"/>
              <w:ind w:left="0" w:right="0" w:firstLine="30"/>
              <w:rPr/>
            </w:pPr>
            <w:r>
              <w:rPr/>
              <w:t> </w:t>
            </w:r>
          </w:p>
        </w:tc>
        <w:tc>
          <w:tcPr>
            <w:tcW w:w="151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1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3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0"/>
              <w:rPr/>
            </w:pPr>
            <w:r>
              <w:rPr/>
              <w:t> </w:t>
            </w:r>
          </w:p>
        </w:tc>
      </w:tr>
      <w:tr>
        <w:trPr/>
        <w:tc>
          <w:tcPr>
            <w:tcW w:w="3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Notes receivable, net</w:t>
            </w:r>
          </w:p>
        </w:tc>
        <w:tc>
          <w:tcPr>
            <w:tcW w:w="90" w:type="dxa"/>
            <w:tcBorders/>
            <w:shd w:fill="auto" w:val="clear"/>
            <w:vAlign w:val="center"/>
          </w:tcPr>
          <w:p>
            <w:pPr>
              <w:pStyle w:val="TableContents"/>
              <w:spacing w:before="0" w:after="0"/>
              <w:ind w:left="0" w:right="0" w:firstLine="30"/>
              <w:rPr/>
            </w:pPr>
            <w:r>
              <w:rPr/>
              <w:t> </w:t>
            </w:r>
          </w:p>
        </w:tc>
        <w:tc>
          <w:tcPr>
            <w:tcW w:w="22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3" w:type="dxa"/>
            <w:tcBorders/>
            <w:shd w:fill="auto" w:val="clear"/>
            <w:vAlign w:val="center"/>
          </w:tcPr>
          <w:p>
            <w:pPr>
              <w:pStyle w:val="TableContents"/>
              <w:spacing w:before="0" w:after="0"/>
              <w:jc w:val="right"/>
              <w:rPr>
                <w:rFonts w:ascii="inherit" w:hAnsi="inherit"/>
                <w:sz w:val="17"/>
              </w:rPr>
            </w:pPr>
            <w:r>
              <w:rPr>
                <w:rFonts w:ascii="inherit" w:hAnsi="inherit"/>
                <w:sz w:val="17"/>
              </w:rPr>
              <w:t>60,975</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2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1" w:type="dxa"/>
            <w:tcBorders/>
            <w:shd w:fill="auto" w:val="clear"/>
            <w:vAlign w:val="center"/>
          </w:tcPr>
          <w:p>
            <w:pPr>
              <w:pStyle w:val="TableContents"/>
              <w:spacing w:before="0" w:after="0"/>
              <w:jc w:val="right"/>
              <w:rPr>
                <w:rFonts w:ascii="inherit" w:hAnsi="inherit"/>
                <w:sz w:val="17"/>
              </w:rPr>
            </w:pPr>
            <w:r>
              <w:rPr>
                <w:rFonts w:ascii="inherit" w:hAnsi="inherit"/>
                <w:sz w:val="17"/>
              </w:rPr>
              <w:t>74,262</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74,262</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 in unconsolidated affiliate</w:t>
            </w:r>
          </w:p>
        </w:tc>
        <w:tc>
          <w:tcPr>
            <w:tcW w:w="90" w:type="dxa"/>
            <w:tcBorders/>
            <w:shd w:fill="CCEEFF" w:val="clear"/>
            <w:vAlign w:val="center"/>
          </w:tcPr>
          <w:p>
            <w:pPr>
              <w:pStyle w:val="TableContents"/>
              <w:spacing w:before="0" w:after="0"/>
              <w:ind w:left="0" w:right="0" w:firstLine="30"/>
              <w:rPr/>
            </w:pPr>
            <w:r>
              <w:rPr/>
              <w:t> </w:t>
            </w:r>
          </w:p>
        </w:tc>
        <w:tc>
          <w:tcPr>
            <w:tcW w:w="14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43,319</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49,057</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49,057</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liabilities:</w:t>
            </w:r>
          </w:p>
        </w:tc>
        <w:tc>
          <w:tcPr>
            <w:tcW w:w="90" w:type="dxa"/>
            <w:tcBorders/>
            <w:shd w:fill="CCEEFF" w:val="clear"/>
            <w:vAlign w:val="center"/>
          </w:tcPr>
          <w:p>
            <w:pPr>
              <w:pStyle w:val="TableContents"/>
              <w:spacing w:before="0" w:after="0"/>
              <w:ind w:left="0" w:right="0" w:firstLine="30"/>
              <w:rPr/>
            </w:pPr>
            <w:r>
              <w:rPr/>
              <w:t> </w:t>
            </w:r>
          </w:p>
        </w:tc>
        <w:tc>
          <w:tcPr>
            <w:tcW w:w="151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1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3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0"/>
              <w:rPr/>
            </w:pPr>
            <w:r>
              <w:rPr/>
              <w:t> </w:t>
            </w:r>
          </w:p>
        </w:tc>
      </w:tr>
      <w:tr>
        <w:trPr/>
        <w:tc>
          <w:tcPr>
            <w:tcW w:w="3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w:t>
            </w:r>
          </w:p>
        </w:tc>
        <w:tc>
          <w:tcPr>
            <w:tcW w:w="90" w:type="dxa"/>
            <w:tcBorders/>
            <w:shd w:fill="auto" w:val="clear"/>
            <w:vAlign w:val="center"/>
          </w:tcPr>
          <w:p>
            <w:pPr>
              <w:pStyle w:val="TableContents"/>
              <w:spacing w:before="0" w:after="0"/>
              <w:ind w:left="0" w:right="0" w:firstLine="30"/>
              <w:rPr/>
            </w:pPr>
            <w:r>
              <w:rPr/>
              <w:t> </w:t>
            </w:r>
          </w:p>
        </w:tc>
        <w:tc>
          <w:tcPr>
            <w:tcW w:w="22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3" w:type="dxa"/>
            <w:tcBorders/>
            <w:shd w:fill="auto" w:val="clear"/>
            <w:vAlign w:val="center"/>
          </w:tcPr>
          <w:p>
            <w:pPr>
              <w:pStyle w:val="TableContents"/>
              <w:spacing w:before="0" w:after="0"/>
              <w:jc w:val="right"/>
              <w:rPr>
                <w:rFonts w:ascii="inherit" w:hAnsi="inherit"/>
                <w:sz w:val="17"/>
              </w:rPr>
            </w:pPr>
            <w:r>
              <w:rPr>
                <w:rFonts w:ascii="inherit" w:hAnsi="inherit"/>
                <w:sz w:val="17"/>
              </w:rPr>
              <w:t>177,346</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2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1" w:type="dxa"/>
            <w:tcBorders/>
            <w:shd w:fill="auto" w:val="clear"/>
            <w:vAlign w:val="center"/>
          </w:tcPr>
          <w:p>
            <w:pPr>
              <w:pStyle w:val="TableContents"/>
              <w:spacing w:before="0" w:after="0"/>
              <w:jc w:val="right"/>
              <w:rPr>
                <w:rFonts w:ascii="inherit" w:hAnsi="inherit"/>
                <w:sz w:val="17"/>
              </w:rPr>
            </w:pPr>
            <w:r>
              <w:rPr>
                <w:rFonts w:ascii="inherit" w:hAnsi="inherit"/>
                <w:sz w:val="17"/>
              </w:rPr>
              <w:t>193,811</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193,811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pPr>
            <w:r>
              <w:rPr/>
              <w:t>—</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2024 Convertible Notes</w:t>
            </w:r>
          </w:p>
        </w:tc>
        <w:tc>
          <w:tcPr>
            <w:tcW w:w="90" w:type="dxa"/>
            <w:tcBorders/>
            <w:shd w:fill="CCEEFF" w:val="clear"/>
            <w:vAlign w:val="center"/>
          </w:tcPr>
          <w:p>
            <w:pPr>
              <w:pStyle w:val="TableContents"/>
              <w:spacing w:before="0" w:after="0"/>
              <w:ind w:left="0" w:right="0" w:firstLine="30"/>
              <w:rPr/>
            </w:pPr>
            <w:r>
              <w:rPr/>
              <w:t> </w:t>
            </w:r>
          </w:p>
        </w:tc>
        <w:tc>
          <w:tcPr>
            <w:tcW w:w="14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100,870</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175,016</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pPr>
            <w:r>
              <w:rPr/>
              <w:t>—</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175,016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1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Based on the short-term nature of cash and cash equivalents, pawn loans, pawn service charges receivable and current consumer loans, fees and interest receivable, we estimate that their carrying value approximates fair value. We consider our cash and cash equivalents to be measured using Level 1 inputs and our pawn loans, pawn service charges receivable and consumer loans, fees and interest receivable to be measured using Level 3 inputs. Significant increases or decreases in the underlying assumptions used to value pawn loans, pawn service charges receivable and consumer loans, fees and interest receivable could significantly increase or decrease these fair value estimates.</w:t>
      </w:r>
    </w:p>
    <w:p>
      <w:pPr>
        <w:pStyle w:val="TextBody"/>
        <w:spacing w:lineRule="auto" w:line="288" w:before="0" w:after="0"/>
        <w:jc w:val="left"/>
        <w:rPr>
          <w:sz w:val="17"/>
        </w:rPr>
      </w:pPr>
      <w:r>
        <w:rPr>
          <w:rFonts w:ascii="inherit" w:hAnsi="inherit"/>
          <w:sz w:val="17"/>
        </w:rPr>
        <w:t>Subsequent to the sale of Prestaciones Finmart, S.A.P.I. de C.V., SOFOM, E.N.R. ("Grupo Finmart") to Alpha Holding, S.A. de C.V. (“AlphaCredit”) in September 2016, we determined that we retained a variable interest in Grupo Finmart including notes receivable. We determined that we are not the primary beneficiary of Grupo Finmart subsequent to its disposition as we lack a controlling financial interest in Grupo Finmart. We measured the fair value of the notes receivable as of March 31, 2018</w:t>
      </w:r>
      <w:r>
        <w:rPr>
          <w:sz w:val="17"/>
        </w:rPr>
        <w:t> </w:t>
      </w:r>
      <w:r>
        <w:rPr>
          <w:rFonts w:ascii="inherit" w:hAnsi="inherit"/>
          <w:sz w:val="17"/>
        </w:rPr>
        <w:t>under a discounted cash flow approach considering the estimated credit ratings for Grupo Finmart and AlphaCredit and as determined with external consultation, with discount rates ranging from 6%</w:t>
      </w:r>
      <w:r>
        <w:rPr>
          <w:sz w:val="17"/>
        </w:rPr>
        <w:t> </w:t>
      </w:r>
      <w:r>
        <w:rPr>
          <w:rFonts w:ascii="inherit" w:hAnsi="inherit"/>
          <w:sz w:val="17"/>
        </w:rPr>
        <w:t xml:space="preserve">to 13%. Certain of the significant inputs used for the valuation were not observable in the market. Included in the fair value of the notes receivable is the estimated fair value of the deferred compensation fee negotiated in September 2017, of which the ultimate amount to be received is dependent upon the timing of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payment of the notes receivable. Significant increases or decreases in the underlying assumptions used to value the notes receivable could significantly increase or decrease these fair value estimates.</w:t>
      </w:r>
    </w:p>
    <w:p>
      <w:pPr>
        <w:pStyle w:val="TextBody"/>
        <w:spacing w:lineRule="auto" w:line="288" w:before="0" w:after="0"/>
        <w:jc w:val="left"/>
        <w:rPr>
          <w:rFonts w:ascii="inherit" w:hAnsi="inherit"/>
          <w:sz w:val="17"/>
        </w:rPr>
      </w:pPr>
      <w:r>
        <w:rPr>
          <w:rFonts w:ascii="inherit" w:hAnsi="inherit"/>
          <w:sz w:val="17"/>
        </w:rPr>
        <w:t>The inputs used to generate the fair value of the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pStyle w:val="TextBody"/>
        <w:spacing w:lineRule="auto" w:line="288" w:before="0" w:after="0"/>
        <w:jc w:val="left"/>
        <w:rPr>
          <w:rFonts w:ascii="inherit" w:hAnsi="inherit"/>
          <w:sz w:val="17"/>
        </w:rPr>
      </w:pPr>
      <w:r>
        <w:rPr>
          <w:rFonts w:ascii="inherit" w:hAnsi="inherit"/>
          <w:sz w:val="17"/>
        </w:rPr>
        <w:t>We measured the fair value of the 2019 Convertible Notes and the 2024 Convertible Notes using quoted price inputs. Neither the 2019 Convertible Notes nor the 2014 Convertible Notes are actively traded, and thus the price inputs represent a Level 2 measurement. The quoted price inputs are highly variable from day to day, and thus the fair value estimates disclosed above could significantly increase or decrease.</w:t>
      </w:r>
    </w:p>
    <w:p>
      <w:pPr>
        <w:pStyle w:val="TextBody"/>
        <w:spacing w:lineRule="auto" w:line="288" w:before="0" w:after="0"/>
        <w:rPr>
          <w:sz w:val="17"/>
        </w:rPr>
      </w:pPr>
      <w:bookmarkStart w:id="17" w:name="s24A3977902FE5D1B9702A2A9FB1DEE25"/>
      <w:bookmarkEnd w:id="17"/>
      <w:r>
        <w:rPr>
          <w:rFonts w:ascii="inherit" w:hAnsi="inherit"/>
          <w:b/>
          <w:sz w:val="17"/>
        </w:rPr>
        <w:t>NOTE 6: LONG-TERM DEBT</w:t>
      </w:r>
      <w:r>
        <w:rPr>
          <w:sz w:val="17"/>
        </w:rPr>
        <w:t xml:space="preserve"> </w:t>
      </w:r>
    </w:p>
    <w:p>
      <w:pPr>
        <w:pStyle w:val="TextBody"/>
        <w:spacing w:lineRule="auto" w:line="288" w:before="0" w:after="0"/>
        <w:jc w:val="left"/>
        <w:rPr>
          <w:rFonts w:ascii="inherit" w:hAnsi="inherit"/>
          <w:sz w:val="17"/>
        </w:rPr>
      </w:pPr>
      <w:r>
        <w:rPr>
          <w:rFonts w:ascii="inherit" w:hAnsi="inherit"/>
          <w:sz w:val="17"/>
        </w:rPr>
        <w:t>The following tables present our long-term debt instruments outstanding, contractual maturities and interest expense:</w:t>
      </w:r>
    </w:p>
    <w:tbl>
      <w:tblPr>
        <w:tblW w:w="10205" w:type="dxa"/>
        <w:jc w:val="left"/>
        <w:tblInd w:w="0" w:type="dxa"/>
        <w:tblCellMar>
          <w:top w:w="0" w:type="dxa"/>
          <w:left w:w="0" w:type="dxa"/>
          <w:bottom w:w="0" w:type="dxa"/>
          <w:right w:w="0" w:type="dxa"/>
        </w:tblCellMar>
      </w:tblPr>
      <w:tblGrid>
        <w:gridCol w:w="1243"/>
        <w:gridCol w:w="114"/>
        <w:gridCol w:w="627"/>
        <w:gridCol w:w="114"/>
        <w:gridCol w:w="90"/>
        <w:gridCol w:w="140"/>
        <w:gridCol w:w="734"/>
        <w:gridCol w:w="140"/>
        <w:gridCol w:w="90"/>
        <w:gridCol w:w="117"/>
        <w:gridCol w:w="649"/>
        <w:gridCol w:w="117"/>
        <w:gridCol w:w="90"/>
        <w:gridCol w:w="116"/>
        <w:gridCol w:w="638"/>
        <w:gridCol w:w="31"/>
        <w:gridCol w:w="90"/>
        <w:gridCol w:w="140"/>
        <w:gridCol w:w="734"/>
        <w:gridCol w:w="140"/>
        <w:gridCol w:w="90"/>
        <w:gridCol w:w="120"/>
        <w:gridCol w:w="662"/>
        <w:gridCol w:w="32"/>
        <w:gridCol w:w="90"/>
        <w:gridCol w:w="116"/>
        <w:gridCol w:w="638"/>
        <w:gridCol w:w="31"/>
        <w:gridCol w:w="90"/>
        <w:gridCol w:w="140"/>
        <w:gridCol w:w="734"/>
        <w:gridCol w:w="140"/>
        <w:gridCol w:w="90"/>
        <w:gridCol w:w="113"/>
        <w:gridCol w:w="626"/>
        <w:gridCol w:w="339"/>
      </w:tblGrid>
      <w:tr>
        <w:trPr/>
        <w:tc>
          <w:tcPr>
            <w:tcW w:w="10205" w:type="dxa"/>
            <w:gridSpan w:val="36"/>
            <w:tcBorders/>
            <w:shd w:fill="auto" w:val="clear"/>
            <w:vAlign w:val="center"/>
          </w:tcPr>
          <w:p>
            <w:pPr>
              <w:pStyle w:val="TableContents"/>
              <w:spacing w:before="0" w:after="283"/>
              <w:rPr>
                <w:sz w:val="4"/>
                <w:szCs w:val="4"/>
              </w:rPr>
            </w:pPr>
            <w:r>
              <w:rPr>
                <w:sz w:val="4"/>
                <w:szCs w:val="4"/>
              </w:rPr>
            </w:r>
          </w:p>
        </w:tc>
      </w:tr>
      <w:tr>
        <w:trPr/>
        <w:tc>
          <w:tcPr>
            <w:tcW w:w="124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43" w:type="dxa"/>
            <w:tcBorders/>
            <w:shd w:fill="auto" w:val="clear"/>
            <w:vAlign w:val="center"/>
          </w:tcPr>
          <w:p>
            <w:pPr>
              <w:pStyle w:val="TableContents"/>
              <w:spacing w:before="0" w:after="0"/>
              <w:ind w:left="0" w:right="0" w:firstLine="30"/>
              <w:jc w:val="left"/>
              <w:rPr/>
            </w:pPr>
            <w:r>
              <w:rPr/>
              <w:t> </w:t>
            </w:r>
          </w:p>
        </w:tc>
        <w:tc>
          <w:tcPr>
            <w:tcW w:w="293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2018</w:t>
            </w:r>
          </w:p>
        </w:tc>
        <w:tc>
          <w:tcPr>
            <w:tcW w:w="90" w:type="dxa"/>
            <w:tcBorders/>
            <w:shd w:fill="auto" w:val="clear"/>
            <w:vAlign w:val="center"/>
          </w:tcPr>
          <w:p>
            <w:pPr>
              <w:pStyle w:val="TableContents"/>
              <w:spacing w:before="0" w:after="0"/>
              <w:ind w:left="0" w:right="0" w:firstLine="30"/>
              <w:rPr/>
            </w:pPr>
            <w:r>
              <w:rPr/>
              <w:t> </w:t>
            </w:r>
          </w:p>
        </w:tc>
        <w:tc>
          <w:tcPr>
            <w:tcW w:w="279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2017</w:t>
            </w:r>
          </w:p>
        </w:tc>
        <w:tc>
          <w:tcPr>
            <w:tcW w:w="90" w:type="dxa"/>
            <w:tcBorders/>
            <w:shd w:fill="auto" w:val="clear"/>
            <w:vAlign w:val="center"/>
          </w:tcPr>
          <w:p>
            <w:pPr>
              <w:pStyle w:val="TableContents"/>
              <w:spacing w:before="0" w:after="0"/>
              <w:ind w:left="0" w:right="0" w:firstLine="30"/>
              <w:rPr/>
            </w:pPr>
            <w:r>
              <w:rPr/>
              <w:t> </w:t>
            </w:r>
          </w:p>
        </w:tc>
        <w:tc>
          <w:tcPr>
            <w:tcW w:w="305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2017</w:t>
            </w:r>
          </w:p>
        </w:tc>
      </w:tr>
      <w:tr>
        <w:trPr/>
        <w:tc>
          <w:tcPr>
            <w:tcW w:w="1243" w:type="dxa"/>
            <w:tcBorders/>
            <w:shd w:fill="auto" w:val="clear"/>
            <w:vAlign w:val="center"/>
          </w:tcPr>
          <w:p>
            <w:pPr>
              <w:pStyle w:val="TableContents"/>
              <w:spacing w:before="0" w:after="0"/>
              <w:ind w:left="0" w:right="0" w:firstLine="30"/>
              <w:jc w:val="left"/>
              <w:rPr/>
            </w:pPr>
            <w:r>
              <w:rPr/>
              <w:t> </w:t>
            </w:r>
          </w:p>
        </w:tc>
        <w:tc>
          <w:tcPr>
            <w:tcW w:w="8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Amount</w:t>
            </w:r>
          </w:p>
        </w:tc>
        <w:tc>
          <w:tcPr>
            <w:tcW w:w="90" w:type="dxa"/>
            <w:tcBorders/>
            <w:shd w:fill="auto" w:val="clear"/>
            <w:vAlign w:val="center"/>
          </w:tcPr>
          <w:p>
            <w:pPr>
              <w:pStyle w:val="TableContents"/>
              <w:spacing w:before="0" w:after="0"/>
              <w:ind w:left="0" w:right="0" w:firstLine="30"/>
              <w:rPr/>
            </w:pPr>
            <w:r>
              <w:rPr/>
              <w:t> </w:t>
            </w:r>
          </w:p>
        </w:tc>
        <w:tc>
          <w:tcPr>
            <w:tcW w:w="10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Discount and Issuance Costs</w:t>
            </w:r>
          </w:p>
        </w:tc>
        <w:tc>
          <w:tcPr>
            <w:tcW w:w="90" w:type="dxa"/>
            <w:tcBorders/>
            <w:shd w:fill="auto" w:val="clear"/>
            <w:vAlign w:val="center"/>
          </w:tcPr>
          <w:p>
            <w:pPr>
              <w:pStyle w:val="TableContents"/>
              <w:spacing w:before="0" w:after="0"/>
              <w:ind w:left="0" w:right="0" w:firstLine="30"/>
              <w:rPr/>
            </w:pPr>
            <w:r>
              <w:rPr/>
              <w:t> </w:t>
            </w:r>
          </w:p>
        </w:tc>
        <w:tc>
          <w:tcPr>
            <w:tcW w:w="88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Amount</w:t>
            </w:r>
          </w:p>
        </w:tc>
        <w:tc>
          <w:tcPr>
            <w:tcW w:w="90" w:type="dxa"/>
            <w:tcBorders/>
            <w:shd w:fill="auto" w:val="clear"/>
            <w:vAlign w:val="center"/>
          </w:tcPr>
          <w:p>
            <w:pPr>
              <w:pStyle w:val="TableContents"/>
              <w:spacing w:before="0" w:after="0"/>
              <w:ind w:left="0" w:right="0" w:firstLine="30"/>
              <w:rPr/>
            </w:pPr>
            <w:r>
              <w:rPr/>
              <w:t> </w:t>
            </w:r>
          </w:p>
        </w:tc>
        <w:tc>
          <w:tcPr>
            <w:tcW w:w="78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Amount</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1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Discount and Issuance Costs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81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Amount</w:t>
            </w:r>
          </w:p>
        </w:tc>
        <w:tc>
          <w:tcPr>
            <w:tcW w:w="90" w:type="dxa"/>
            <w:tcBorders/>
            <w:shd w:fill="auto" w:val="clear"/>
            <w:vAlign w:val="center"/>
          </w:tcPr>
          <w:p>
            <w:pPr>
              <w:pStyle w:val="TableContents"/>
              <w:spacing w:before="0" w:after="0"/>
              <w:ind w:left="0" w:right="0" w:firstLine="30"/>
              <w:rPr/>
            </w:pPr>
            <w:r>
              <w:rPr/>
              <w:t> </w:t>
            </w:r>
          </w:p>
        </w:tc>
        <w:tc>
          <w:tcPr>
            <w:tcW w:w="78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Amount</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1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Discount and Issuance Costs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7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Amount</w:t>
            </w:r>
          </w:p>
        </w:tc>
      </w:tr>
      <w:tr>
        <w:trPr/>
        <w:tc>
          <w:tcPr>
            <w:tcW w:w="1243" w:type="dxa"/>
            <w:tcBorders/>
            <w:shd w:fill="auto" w:val="clear"/>
            <w:vAlign w:val="center"/>
          </w:tcPr>
          <w:p>
            <w:pPr>
              <w:pStyle w:val="TableContents"/>
              <w:spacing w:before="0" w:after="0"/>
              <w:ind w:left="0" w:right="0" w:firstLine="30"/>
              <w:rPr/>
            </w:pPr>
            <w:r>
              <w:rPr/>
              <w:t> </w:t>
            </w:r>
          </w:p>
        </w:tc>
        <w:tc>
          <w:tcPr>
            <w:tcW w:w="85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1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8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8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1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1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8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1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8" w:type="dxa"/>
            <w:gridSpan w:val="3"/>
            <w:tcBorders/>
            <w:shd w:fill="auto" w:val="clear"/>
            <w:vAlign w:val="center"/>
          </w:tcPr>
          <w:p>
            <w:pPr>
              <w:pStyle w:val="TableContents"/>
              <w:spacing w:before="0" w:after="0"/>
              <w:ind w:left="0" w:right="0" w:firstLine="30"/>
              <w:rPr/>
            </w:pPr>
            <w:r>
              <w:rPr/>
              <w:t> </w:t>
            </w:r>
          </w:p>
        </w:tc>
      </w:tr>
      <w:tr>
        <w:trPr/>
        <w:tc>
          <w:tcPr>
            <w:tcW w:w="1243" w:type="dxa"/>
            <w:tcBorders/>
            <w:shd w:fill="auto" w:val="clear"/>
            <w:vAlign w:val="center"/>
          </w:tcPr>
          <w:p>
            <w:pPr>
              <w:pStyle w:val="TableContents"/>
              <w:spacing w:before="0" w:after="0"/>
              <w:ind w:left="0" w:right="0" w:firstLine="30"/>
              <w:rPr/>
            </w:pPr>
            <w:r>
              <w:rPr/>
              <w:t> </w:t>
            </w:r>
          </w:p>
        </w:tc>
        <w:tc>
          <w:tcPr>
            <w:tcW w:w="8962" w:type="dxa"/>
            <w:gridSpan w:val="3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12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2019 Convertible Notes</w:t>
            </w:r>
          </w:p>
        </w:tc>
        <w:tc>
          <w:tcPr>
            <w:tcW w:w="11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27" w:type="dxa"/>
            <w:tcBorders/>
            <w:shd w:fill="CCEEFF" w:val="clear"/>
            <w:vAlign w:val="center"/>
          </w:tcPr>
          <w:p>
            <w:pPr>
              <w:pStyle w:val="TableContents"/>
              <w:spacing w:before="0" w:after="0"/>
              <w:jc w:val="right"/>
              <w:rPr>
                <w:rFonts w:ascii="inherit" w:hAnsi="inherit"/>
                <w:sz w:val="15"/>
              </w:rPr>
            </w:pPr>
            <w:r>
              <w:rPr>
                <w:rFonts w:ascii="inherit" w:hAnsi="inherit"/>
                <w:sz w:val="15"/>
              </w:rPr>
              <w:t>195,000</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34" w:type="dxa"/>
            <w:tcBorders/>
            <w:shd w:fill="CCEEFF" w:val="clear"/>
            <w:vAlign w:val="center"/>
          </w:tcPr>
          <w:p>
            <w:pPr>
              <w:pStyle w:val="TableContents"/>
              <w:spacing w:before="0" w:after="0"/>
              <w:jc w:val="right"/>
              <w:rPr>
                <w:rFonts w:ascii="inherit" w:hAnsi="inherit"/>
                <w:sz w:val="15"/>
              </w:rPr>
            </w:pPr>
            <w:r>
              <w:rPr>
                <w:rFonts w:ascii="inherit" w:hAnsi="inherit"/>
                <w:sz w:val="15"/>
              </w:rPr>
              <w:t>(12,704</w:t>
            </w:r>
          </w:p>
        </w:tc>
        <w:tc>
          <w:tcPr>
            <w:tcW w:w="1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49" w:type="dxa"/>
            <w:tcBorders/>
            <w:shd w:fill="CCEEFF" w:val="clear"/>
            <w:vAlign w:val="center"/>
          </w:tcPr>
          <w:p>
            <w:pPr>
              <w:pStyle w:val="TableContents"/>
              <w:spacing w:before="0" w:after="0"/>
              <w:jc w:val="right"/>
              <w:rPr>
                <w:rFonts w:ascii="inherit" w:hAnsi="inherit"/>
                <w:sz w:val="15"/>
              </w:rPr>
            </w:pPr>
            <w:r>
              <w:rPr>
                <w:rFonts w:ascii="inherit" w:hAnsi="inherit"/>
                <w:sz w:val="15"/>
              </w:rPr>
              <w:t>182,296</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8" w:type="dxa"/>
            <w:tcBorders/>
            <w:shd w:fill="CCEEFF" w:val="clear"/>
            <w:vAlign w:val="center"/>
          </w:tcPr>
          <w:p>
            <w:pPr>
              <w:pStyle w:val="TableContents"/>
              <w:spacing w:before="0" w:after="0"/>
              <w:jc w:val="right"/>
              <w:rPr>
                <w:rFonts w:ascii="inherit" w:hAnsi="inherit"/>
                <w:sz w:val="15"/>
              </w:rPr>
            </w:pPr>
            <w:r>
              <w:rPr>
                <w:rFonts w:ascii="inherit" w:hAnsi="inherit"/>
                <w:sz w:val="15"/>
              </w:rPr>
              <w:t>230,000</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34" w:type="dxa"/>
            <w:tcBorders/>
            <w:shd w:fill="CCEEFF" w:val="clear"/>
            <w:vAlign w:val="center"/>
          </w:tcPr>
          <w:p>
            <w:pPr>
              <w:pStyle w:val="TableContents"/>
              <w:spacing w:before="0" w:after="0"/>
              <w:jc w:val="right"/>
              <w:rPr>
                <w:rFonts w:ascii="inherit" w:hAnsi="inherit"/>
                <w:sz w:val="15"/>
              </w:rPr>
            </w:pPr>
            <w:r>
              <w:rPr>
                <w:rFonts w:ascii="inherit" w:hAnsi="inherit"/>
                <w:sz w:val="15"/>
              </w:rPr>
              <w:t>(26,536</w:t>
            </w:r>
          </w:p>
        </w:tc>
        <w:tc>
          <w:tcPr>
            <w:tcW w:w="1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2" w:type="dxa"/>
            <w:tcBorders/>
            <w:shd w:fill="CCEEFF" w:val="clear"/>
            <w:vAlign w:val="center"/>
          </w:tcPr>
          <w:p>
            <w:pPr>
              <w:pStyle w:val="TableContents"/>
              <w:spacing w:before="0" w:after="0"/>
              <w:jc w:val="right"/>
              <w:rPr>
                <w:rFonts w:ascii="inherit" w:hAnsi="inherit"/>
                <w:sz w:val="15"/>
              </w:rPr>
            </w:pPr>
            <w:r>
              <w:rPr>
                <w:rFonts w:ascii="inherit" w:hAnsi="inherit"/>
                <w:sz w:val="15"/>
              </w:rPr>
              <w:t>203,464</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8" w:type="dxa"/>
            <w:tcBorders/>
            <w:shd w:fill="CCEEFF" w:val="clear"/>
            <w:vAlign w:val="center"/>
          </w:tcPr>
          <w:p>
            <w:pPr>
              <w:pStyle w:val="TableContents"/>
              <w:spacing w:before="0" w:after="0"/>
              <w:jc w:val="right"/>
              <w:rPr>
                <w:rFonts w:ascii="inherit" w:hAnsi="inherit"/>
                <w:sz w:val="15"/>
              </w:rPr>
            </w:pPr>
            <w:r>
              <w:rPr>
                <w:rFonts w:ascii="inherit" w:hAnsi="inherit"/>
                <w:sz w:val="15"/>
              </w:rPr>
              <w:t>195,000</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34" w:type="dxa"/>
            <w:tcBorders/>
            <w:shd w:fill="CCEEFF" w:val="clear"/>
            <w:vAlign w:val="center"/>
          </w:tcPr>
          <w:p>
            <w:pPr>
              <w:pStyle w:val="TableContents"/>
              <w:spacing w:before="0" w:after="0"/>
              <w:jc w:val="right"/>
              <w:rPr>
                <w:rFonts w:ascii="inherit" w:hAnsi="inherit"/>
                <w:sz w:val="15"/>
              </w:rPr>
            </w:pPr>
            <w:r>
              <w:rPr>
                <w:rFonts w:ascii="inherit" w:hAnsi="inherit"/>
                <w:sz w:val="15"/>
              </w:rPr>
              <w:t>(17,654</w:t>
            </w:r>
          </w:p>
        </w:tc>
        <w:tc>
          <w:tcPr>
            <w:tcW w:w="1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26" w:type="dxa"/>
            <w:tcBorders/>
            <w:shd w:fill="CCEEFF" w:val="clear"/>
            <w:vAlign w:val="center"/>
          </w:tcPr>
          <w:p>
            <w:pPr>
              <w:pStyle w:val="TableContents"/>
              <w:spacing w:before="0" w:after="0"/>
              <w:jc w:val="right"/>
              <w:rPr>
                <w:rFonts w:ascii="inherit" w:hAnsi="inherit"/>
                <w:sz w:val="15"/>
              </w:rPr>
            </w:pPr>
            <w:r>
              <w:rPr>
                <w:rFonts w:ascii="inherit" w:hAnsi="inherit"/>
                <w:sz w:val="15"/>
              </w:rPr>
              <w:t>177,346</w:t>
            </w:r>
          </w:p>
        </w:tc>
        <w:tc>
          <w:tcPr>
            <w:tcW w:w="3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2019 Convertible Notes Embedded Derivative</w:t>
            </w:r>
          </w:p>
        </w:tc>
        <w:tc>
          <w:tcPr>
            <w:tcW w:w="74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16,042</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6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16,042</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15,138</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8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15,138</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6,591</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6,591</w:t>
            </w:r>
          </w:p>
        </w:tc>
        <w:tc>
          <w:tcPr>
            <w:tcW w:w="3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2024 Convertible Notes</w:t>
            </w:r>
          </w:p>
        </w:tc>
        <w:tc>
          <w:tcPr>
            <w:tcW w:w="74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143,750</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(40,463</w:t>
            </w:r>
          </w:p>
        </w:tc>
        <w:tc>
          <w:tcPr>
            <w:tcW w:w="1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6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103,287</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4" w:type="dxa"/>
            <w:gridSpan w:val="2"/>
            <w:tcBorders/>
            <w:shd w:fill="CCEEFF" w:val="clear"/>
            <w:vAlign w:val="center"/>
          </w:tcPr>
          <w:p>
            <w:pPr>
              <w:pStyle w:val="TableContents"/>
              <w:spacing w:before="0" w:after="0"/>
              <w:jc w:val="right"/>
              <w:rPr/>
            </w:pPr>
            <w:r>
              <w:rPr/>
              <w:t>—</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4"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82" w:type="dxa"/>
            <w:gridSpan w:val="2"/>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143,750</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(42,880</w:t>
            </w:r>
          </w:p>
        </w:tc>
        <w:tc>
          <w:tcPr>
            <w:tcW w:w="1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100,870</w:t>
            </w:r>
          </w:p>
        </w:tc>
        <w:tc>
          <w:tcPr>
            <w:tcW w:w="3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Term Loan Facility</w:t>
            </w:r>
          </w:p>
        </w:tc>
        <w:tc>
          <w:tcPr>
            <w:tcW w:w="74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6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50,000</w:t>
            </w:r>
          </w:p>
        </w:tc>
        <w:tc>
          <w:tcPr>
            <w:tcW w:w="3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(1,878</w:t>
            </w:r>
          </w:p>
        </w:tc>
        <w:tc>
          <w:tcPr>
            <w:tcW w:w="14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8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48,122</w:t>
            </w:r>
          </w:p>
        </w:tc>
        <w:tc>
          <w:tcPr>
            <w:tcW w:w="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3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339" w:type="dxa"/>
            <w:tcBorders>
              <w:bottom w:val="single" w:sz="2"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2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w:t>
            </w:r>
          </w:p>
        </w:tc>
        <w:tc>
          <w:tcPr>
            <w:tcW w:w="11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27" w:type="dxa"/>
            <w:tcBorders/>
            <w:shd w:fill="CCEEFF" w:val="clear"/>
            <w:vAlign w:val="center"/>
          </w:tcPr>
          <w:p>
            <w:pPr>
              <w:pStyle w:val="TableContents"/>
              <w:spacing w:before="0" w:after="0"/>
              <w:jc w:val="right"/>
              <w:rPr>
                <w:rFonts w:ascii="inherit" w:hAnsi="inherit"/>
                <w:sz w:val="15"/>
              </w:rPr>
            </w:pPr>
            <w:r>
              <w:rPr>
                <w:rFonts w:ascii="inherit" w:hAnsi="inherit"/>
                <w:sz w:val="15"/>
              </w:rPr>
              <w:t>354,792</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34" w:type="dxa"/>
            <w:tcBorders/>
            <w:shd w:fill="CCEEFF" w:val="clear"/>
            <w:vAlign w:val="center"/>
          </w:tcPr>
          <w:p>
            <w:pPr>
              <w:pStyle w:val="TableContents"/>
              <w:spacing w:before="0" w:after="0"/>
              <w:jc w:val="right"/>
              <w:rPr>
                <w:rFonts w:ascii="inherit" w:hAnsi="inherit"/>
                <w:sz w:val="15"/>
              </w:rPr>
            </w:pPr>
            <w:r>
              <w:rPr>
                <w:rFonts w:ascii="inherit" w:hAnsi="inherit"/>
                <w:sz w:val="15"/>
              </w:rPr>
              <w:t>(53,167</w:t>
            </w:r>
          </w:p>
        </w:tc>
        <w:tc>
          <w:tcPr>
            <w:tcW w:w="1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49" w:type="dxa"/>
            <w:tcBorders/>
            <w:shd w:fill="CCEEFF" w:val="clear"/>
            <w:vAlign w:val="center"/>
          </w:tcPr>
          <w:p>
            <w:pPr>
              <w:pStyle w:val="TableContents"/>
              <w:spacing w:before="0" w:after="0"/>
              <w:jc w:val="right"/>
              <w:rPr>
                <w:rFonts w:ascii="inherit" w:hAnsi="inherit"/>
                <w:sz w:val="15"/>
              </w:rPr>
            </w:pPr>
            <w:r>
              <w:rPr>
                <w:rFonts w:ascii="inherit" w:hAnsi="inherit"/>
                <w:sz w:val="15"/>
              </w:rPr>
              <w:t>301,625</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8" w:type="dxa"/>
            <w:tcBorders/>
            <w:shd w:fill="CCEEFF" w:val="clear"/>
            <w:vAlign w:val="center"/>
          </w:tcPr>
          <w:p>
            <w:pPr>
              <w:pStyle w:val="TableContents"/>
              <w:spacing w:before="0" w:after="0"/>
              <w:jc w:val="right"/>
              <w:rPr>
                <w:rFonts w:ascii="inherit" w:hAnsi="inherit"/>
                <w:sz w:val="15"/>
              </w:rPr>
            </w:pPr>
            <w:r>
              <w:rPr>
                <w:rFonts w:ascii="inherit" w:hAnsi="inherit"/>
                <w:sz w:val="15"/>
              </w:rPr>
              <w:t>295,138</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34" w:type="dxa"/>
            <w:tcBorders/>
            <w:shd w:fill="CCEEFF" w:val="clear"/>
            <w:vAlign w:val="center"/>
          </w:tcPr>
          <w:p>
            <w:pPr>
              <w:pStyle w:val="TableContents"/>
              <w:spacing w:before="0" w:after="0"/>
              <w:jc w:val="right"/>
              <w:rPr>
                <w:rFonts w:ascii="inherit" w:hAnsi="inherit"/>
                <w:sz w:val="15"/>
              </w:rPr>
            </w:pPr>
            <w:r>
              <w:rPr>
                <w:rFonts w:ascii="inherit" w:hAnsi="inherit"/>
                <w:sz w:val="15"/>
              </w:rPr>
              <w:t>(28,414</w:t>
            </w:r>
          </w:p>
        </w:tc>
        <w:tc>
          <w:tcPr>
            <w:tcW w:w="1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2" w:type="dxa"/>
            <w:tcBorders/>
            <w:shd w:fill="CCEEFF" w:val="clear"/>
            <w:vAlign w:val="center"/>
          </w:tcPr>
          <w:p>
            <w:pPr>
              <w:pStyle w:val="TableContents"/>
              <w:spacing w:before="0" w:after="0"/>
              <w:jc w:val="right"/>
              <w:rPr>
                <w:rFonts w:ascii="inherit" w:hAnsi="inherit"/>
                <w:sz w:val="15"/>
              </w:rPr>
            </w:pPr>
            <w:r>
              <w:rPr>
                <w:rFonts w:ascii="inherit" w:hAnsi="inherit"/>
                <w:sz w:val="15"/>
              </w:rPr>
              <w:t>266,724</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8" w:type="dxa"/>
            <w:tcBorders/>
            <w:shd w:fill="CCEEFF" w:val="clear"/>
            <w:vAlign w:val="center"/>
          </w:tcPr>
          <w:p>
            <w:pPr>
              <w:pStyle w:val="TableContents"/>
              <w:spacing w:before="0" w:after="0"/>
              <w:jc w:val="right"/>
              <w:rPr>
                <w:rFonts w:ascii="inherit" w:hAnsi="inherit"/>
                <w:sz w:val="15"/>
              </w:rPr>
            </w:pPr>
            <w:r>
              <w:rPr>
                <w:rFonts w:ascii="inherit" w:hAnsi="inherit"/>
                <w:sz w:val="15"/>
              </w:rPr>
              <w:t>345,341</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34" w:type="dxa"/>
            <w:tcBorders/>
            <w:shd w:fill="CCEEFF" w:val="clear"/>
            <w:vAlign w:val="center"/>
          </w:tcPr>
          <w:p>
            <w:pPr>
              <w:pStyle w:val="TableContents"/>
              <w:spacing w:before="0" w:after="0"/>
              <w:jc w:val="right"/>
              <w:rPr>
                <w:rFonts w:ascii="inherit" w:hAnsi="inherit"/>
                <w:sz w:val="15"/>
              </w:rPr>
            </w:pPr>
            <w:r>
              <w:rPr>
                <w:rFonts w:ascii="inherit" w:hAnsi="inherit"/>
                <w:sz w:val="15"/>
              </w:rPr>
              <w:t>(60,534</w:t>
            </w:r>
          </w:p>
        </w:tc>
        <w:tc>
          <w:tcPr>
            <w:tcW w:w="1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26" w:type="dxa"/>
            <w:tcBorders/>
            <w:shd w:fill="CCEEFF" w:val="clear"/>
            <w:vAlign w:val="center"/>
          </w:tcPr>
          <w:p>
            <w:pPr>
              <w:pStyle w:val="TableContents"/>
              <w:spacing w:before="0" w:after="0"/>
              <w:jc w:val="right"/>
              <w:rPr>
                <w:rFonts w:ascii="inherit" w:hAnsi="inherit"/>
                <w:sz w:val="15"/>
              </w:rPr>
            </w:pPr>
            <w:r>
              <w:rPr>
                <w:rFonts w:ascii="inherit" w:hAnsi="inherit"/>
                <w:sz w:val="15"/>
              </w:rPr>
              <w:t>284,807</w:t>
            </w:r>
          </w:p>
        </w:tc>
        <w:tc>
          <w:tcPr>
            <w:tcW w:w="3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Less current portion</w:t>
            </w:r>
          </w:p>
        </w:tc>
        <w:tc>
          <w:tcPr>
            <w:tcW w:w="74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(143,750</w:t>
            </w:r>
          </w:p>
        </w:tc>
        <w:tc>
          <w:tcPr>
            <w:tcW w:w="11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40,463</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6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(103,287</w:t>
            </w:r>
          </w:p>
        </w:tc>
        <w:tc>
          <w:tcPr>
            <w:tcW w:w="11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54" w:type="dxa"/>
            <w:gridSpan w:val="2"/>
            <w:tcBorders/>
            <w:shd w:fill="auto" w:val="clear"/>
            <w:vAlign w:val="center"/>
          </w:tcPr>
          <w:p>
            <w:pPr>
              <w:pStyle w:val="TableContents"/>
              <w:spacing w:before="0" w:after="0"/>
              <w:jc w:val="right"/>
              <w:rPr/>
            </w:pPr>
            <w:r>
              <w:rPr/>
              <w:t>—</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82" w:type="dxa"/>
            <w:gridSpan w:val="2"/>
            <w:tcBorders/>
            <w:shd w:fill="auto" w:val="clear"/>
            <w:vAlign w:val="center"/>
          </w:tcPr>
          <w:p>
            <w:pPr>
              <w:pStyle w:val="TableContents"/>
              <w:spacing w:before="0" w:after="0"/>
              <w:jc w:val="right"/>
              <w:rPr/>
            </w:pPr>
            <w:r>
              <w:rPr/>
              <w:t>—</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4" w:type="dxa"/>
            <w:gridSpan w:val="2"/>
            <w:tcBorders/>
            <w:shd w:fill="auto" w:val="clear"/>
            <w:vAlign w:val="center"/>
          </w:tcPr>
          <w:p>
            <w:pPr>
              <w:pStyle w:val="TableContents"/>
              <w:spacing w:before="0" w:after="0"/>
              <w:jc w:val="right"/>
              <w:rPr/>
            </w:pPr>
            <w:r>
              <w:rPr/>
              <w:t>—</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39" w:type="dxa"/>
            <w:gridSpan w:val="2"/>
            <w:tcBorders/>
            <w:shd w:fill="auto" w:val="clear"/>
            <w:vAlign w:val="center"/>
          </w:tcPr>
          <w:p>
            <w:pPr>
              <w:pStyle w:val="TableContents"/>
              <w:spacing w:before="0" w:after="0"/>
              <w:jc w:val="right"/>
              <w:rPr/>
            </w:pPr>
            <w:r>
              <w:rPr/>
              <w:t>—</w:t>
            </w:r>
          </w:p>
        </w:tc>
        <w:tc>
          <w:tcPr>
            <w:tcW w:w="33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2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long-term debt</w:t>
            </w:r>
          </w:p>
        </w:tc>
        <w:tc>
          <w:tcPr>
            <w:tcW w:w="1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2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211,042</w:t>
            </w:r>
          </w:p>
        </w:tc>
        <w:tc>
          <w:tcPr>
            <w:tcW w:w="11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(12,704</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4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198,338</w:t>
            </w:r>
          </w:p>
        </w:tc>
        <w:tc>
          <w:tcPr>
            <w:tcW w:w="11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295,138</w:t>
            </w:r>
          </w:p>
        </w:tc>
        <w:tc>
          <w:tcPr>
            <w:tcW w:w="3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(28,414</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2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266,724</w:t>
            </w:r>
          </w:p>
        </w:tc>
        <w:tc>
          <w:tcPr>
            <w:tcW w:w="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345,341</w:t>
            </w:r>
          </w:p>
        </w:tc>
        <w:tc>
          <w:tcPr>
            <w:tcW w:w="3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(60,534</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2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284,807</w:t>
            </w:r>
          </w:p>
        </w:tc>
        <w:tc>
          <w:tcPr>
            <w:tcW w:w="33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7820" w:type="dxa"/>
        <w:jc w:val="center"/>
        <w:tblInd w:w="0" w:type="dxa"/>
        <w:tblCellMar>
          <w:top w:w="0" w:type="dxa"/>
          <w:left w:w="0" w:type="dxa"/>
          <w:bottom w:w="0" w:type="dxa"/>
          <w:right w:w="0" w:type="dxa"/>
        </w:tblCellMar>
      </w:tblPr>
      <w:tblGrid>
        <w:gridCol w:w="2165"/>
        <w:gridCol w:w="125"/>
        <w:gridCol w:w="695"/>
        <w:gridCol w:w="30"/>
        <w:gridCol w:w="90"/>
        <w:gridCol w:w="192"/>
        <w:gridCol w:w="1071"/>
        <w:gridCol w:w="46"/>
        <w:gridCol w:w="90"/>
        <w:gridCol w:w="125"/>
        <w:gridCol w:w="695"/>
        <w:gridCol w:w="30"/>
        <w:gridCol w:w="90"/>
        <w:gridCol w:w="253"/>
        <w:gridCol w:w="528"/>
        <w:gridCol w:w="62"/>
        <w:gridCol w:w="90"/>
        <w:gridCol w:w="417"/>
        <w:gridCol w:w="872"/>
        <w:gridCol w:w="154"/>
      </w:tblGrid>
      <w:tr>
        <w:trPr/>
        <w:tc>
          <w:tcPr>
            <w:tcW w:w="7820" w:type="dxa"/>
            <w:gridSpan w:val="20"/>
            <w:tcBorders/>
            <w:shd w:fill="auto" w:val="clear"/>
            <w:vAlign w:val="center"/>
          </w:tcPr>
          <w:p>
            <w:pPr>
              <w:pStyle w:val="TableContents"/>
              <w:spacing w:before="0" w:after="283"/>
              <w:rPr>
                <w:sz w:val="4"/>
                <w:szCs w:val="4"/>
              </w:rPr>
            </w:pPr>
            <w:r>
              <w:rPr>
                <w:sz w:val="4"/>
                <w:szCs w:val="4"/>
              </w:rPr>
            </w:r>
          </w:p>
        </w:tc>
      </w:tr>
      <w:tr>
        <w:trPr/>
        <w:tc>
          <w:tcPr>
            <w:tcW w:w="216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65" w:type="dxa"/>
            <w:tcBorders/>
            <w:shd w:fill="auto" w:val="clear"/>
            <w:vAlign w:val="center"/>
          </w:tcPr>
          <w:p>
            <w:pPr>
              <w:pStyle w:val="TableContents"/>
              <w:spacing w:before="0" w:after="0"/>
              <w:ind w:left="0" w:right="0" w:firstLine="30"/>
              <w:jc w:val="left"/>
              <w:rPr/>
            </w:pPr>
            <w:r>
              <w:rPr/>
              <w:t> </w:t>
            </w:r>
          </w:p>
        </w:tc>
        <w:tc>
          <w:tcPr>
            <w:tcW w:w="565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Schedule of Contractual Maturities</w:t>
            </w:r>
          </w:p>
        </w:tc>
      </w:tr>
      <w:tr>
        <w:trPr/>
        <w:tc>
          <w:tcPr>
            <w:tcW w:w="2165" w:type="dxa"/>
            <w:tcBorders/>
            <w:shd w:fill="auto" w:val="clear"/>
            <w:vAlign w:val="center"/>
          </w:tcPr>
          <w:p>
            <w:pPr>
              <w:pStyle w:val="TableContents"/>
              <w:spacing w:before="0" w:after="0"/>
              <w:ind w:left="0" w:right="0" w:firstLine="30"/>
              <w:jc w:val="left"/>
              <w:rPr/>
            </w:pPr>
            <w:r>
              <w:rPr/>
              <w:t> </w:t>
            </w:r>
          </w:p>
        </w:tc>
        <w:tc>
          <w:tcPr>
            <w:tcW w:w="85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c>
          <w:tcPr>
            <w:tcW w:w="90" w:type="dxa"/>
            <w:tcBorders/>
            <w:shd w:fill="auto" w:val="clear"/>
            <w:vAlign w:val="center"/>
          </w:tcPr>
          <w:p>
            <w:pPr>
              <w:pStyle w:val="TableContents"/>
              <w:spacing w:before="0" w:after="0"/>
              <w:ind w:left="0" w:right="0" w:firstLine="30"/>
              <w:rPr/>
            </w:pPr>
            <w:r>
              <w:rPr/>
              <w:t> </w:t>
            </w:r>
          </w:p>
        </w:tc>
        <w:tc>
          <w:tcPr>
            <w:tcW w:w="1309"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Less Than 1 Year</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1 - 3 Years</w:t>
            </w:r>
          </w:p>
        </w:tc>
        <w:tc>
          <w:tcPr>
            <w:tcW w:w="90" w:type="dxa"/>
            <w:tcBorders/>
            <w:shd w:fill="auto" w:val="clear"/>
            <w:vAlign w:val="center"/>
          </w:tcPr>
          <w:p>
            <w:pPr>
              <w:pStyle w:val="TableContents"/>
              <w:spacing w:before="0" w:after="0"/>
              <w:ind w:left="0" w:right="0" w:firstLine="30"/>
              <w:rPr/>
            </w:pPr>
            <w:r>
              <w:rPr/>
              <w:t> </w:t>
            </w:r>
          </w:p>
        </w:tc>
        <w:tc>
          <w:tcPr>
            <w:tcW w:w="843"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3 - 5 Years</w:t>
            </w:r>
          </w:p>
        </w:tc>
        <w:tc>
          <w:tcPr>
            <w:tcW w:w="90" w:type="dxa"/>
            <w:tcBorders/>
            <w:shd w:fill="auto" w:val="clear"/>
            <w:vAlign w:val="center"/>
          </w:tcPr>
          <w:p>
            <w:pPr>
              <w:pStyle w:val="TableContents"/>
              <w:spacing w:before="0" w:after="0"/>
              <w:ind w:left="0" w:right="0" w:firstLine="30"/>
              <w:rPr/>
            </w:pPr>
            <w:r>
              <w:rPr/>
              <w:t> </w:t>
            </w:r>
          </w:p>
        </w:tc>
        <w:tc>
          <w:tcPr>
            <w:tcW w:w="1443"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More Than 5 Years</w:t>
            </w:r>
          </w:p>
        </w:tc>
      </w:tr>
      <w:tr>
        <w:trPr/>
        <w:tc>
          <w:tcPr>
            <w:tcW w:w="2165" w:type="dxa"/>
            <w:tcBorders/>
            <w:shd w:fill="auto" w:val="clear"/>
            <w:vAlign w:val="center"/>
          </w:tcPr>
          <w:p>
            <w:pPr>
              <w:pStyle w:val="TableContents"/>
              <w:spacing w:before="0" w:after="0"/>
              <w:ind w:left="0" w:right="0" w:firstLine="30"/>
              <w:rPr/>
            </w:pPr>
            <w:r>
              <w:rPr/>
              <w:t> </w:t>
            </w:r>
          </w:p>
        </w:tc>
        <w:tc>
          <w:tcPr>
            <w:tcW w:w="850"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09"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43"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43"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r>
      <w:tr>
        <w:trPr/>
        <w:tc>
          <w:tcPr>
            <w:tcW w:w="2165" w:type="dxa"/>
            <w:tcBorders/>
            <w:shd w:fill="auto" w:val="clear"/>
            <w:vAlign w:val="center"/>
          </w:tcPr>
          <w:p>
            <w:pPr>
              <w:pStyle w:val="TableContents"/>
              <w:spacing w:before="0" w:after="0"/>
              <w:ind w:left="0" w:right="0" w:firstLine="30"/>
              <w:jc w:val="left"/>
              <w:rPr/>
            </w:pPr>
            <w:r>
              <w:rPr/>
              <w:t> </w:t>
            </w:r>
          </w:p>
        </w:tc>
        <w:tc>
          <w:tcPr>
            <w:tcW w:w="5655"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2019 Convertible Notes*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195,000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1" w:type="dxa"/>
            <w:tcBorders/>
            <w:shd w:fill="CCEEFF" w:val="clear"/>
            <w:vAlign w:val="center"/>
          </w:tcPr>
          <w:p>
            <w:pPr>
              <w:pStyle w:val="TableContents"/>
              <w:spacing w:before="0" w:after="0"/>
              <w:jc w:val="right"/>
              <w:rPr/>
            </w:pPr>
            <w:r>
              <w:rPr/>
              <w:t>—</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195,000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pPr>
            <w:r>
              <w:rPr/>
              <w:t> </w:t>
            </w:r>
          </w:p>
        </w:tc>
        <w:tc>
          <w:tcPr>
            <w:tcW w:w="2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28" w:type="dxa"/>
            <w:tcBorders/>
            <w:shd w:fill="CCEEFF" w:val="clear"/>
            <w:vAlign w:val="center"/>
          </w:tcPr>
          <w:p>
            <w:pPr>
              <w:pStyle w:val="TableContents"/>
              <w:spacing w:before="0" w:after="0"/>
              <w:jc w:val="right"/>
              <w:rPr/>
            </w:pPr>
            <w:r>
              <w:rPr/>
              <w:t>—</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pPr>
            <w:r>
              <w:rPr/>
              <w:t> </w:t>
            </w:r>
          </w:p>
        </w:tc>
        <w:tc>
          <w:tcPr>
            <w:tcW w:w="41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2" w:type="dxa"/>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2024 Convertible Notes*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143,750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143,750</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pPr>
            <w:r>
              <w:rPr/>
              <w:t> </w:t>
            </w:r>
          </w:p>
        </w:tc>
        <w:tc>
          <w:tcPr>
            <w:tcW w:w="82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pPr>
            <w:r>
              <w:rPr/>
              <w:t> </w:t>
            </w:r>
          </w:p>
        </w:tc>
        <w:tc>
          <w:tcPr>
            <w:tcW w:w="781"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pPr>
            <w:r>
              <w:rPr/>
              <w:t> </w:t>
            </w:r>
          </w:p>
        </w:tc>
        <w:tc>
          <w:tcPr>
            <w:tcW w:w="1289"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65"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338,750</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143,750</w:t>
            </w:r>
          </w:p>
        </w:tc>
        <w:tc>
          <w:tcPr>
            <w:tcW w:w="4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195,000</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pPr>
            <w:r>
              <w:rPr/>
              <w:t> </w:t>
            </w:r>
          </w:p>
        </w:tc>
        <w:tc>
          <w:tcPr>
            <w:tcW w:w="2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2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pPr>
            <w:r>
              <w:rPr/>
              <w:t> </w:t>
            </w:r>
          </w:p>
        </w:tc>
        <w:tc>
          <w:tcPr>
            <w:tcW w:w="41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5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283"/>
              <w:rPr>
                <w:sz w:val="4"/>
                <w:szCs w:val="4"/>
              </w:rPr>
            </w:pPr>
            <w:r>
              <w:rPr>
                <w:sz w:val="4"/>
                <w:szCs w:val="4"/>
              </w:rPr>
            </w:r>
          </w:p>
        </w:tc>
        <w:tc>
          <w:tcPr>
            <w:tcW w:w="10095" w:type="dxa"/>
            <w:tcBorders/>
            <w:shd w:fill="auto" w:val="clear"/>
            <w:vAlign w:val="center"/>
          </w:tcPr>
          <w:p>
            <w:pPr>
              <w:pStyle w:val="TableContents"/>
              <w:spacing w:before="0" w:after="283"/>
              <w:rPr>
                <w:sz w:val="4"/>
                <w:szCs w:val="4"/>
              </w:rPr>
            </w:pPr>
            <w:r>
              <w:rPr>
                <w:sz w:val="4"/>
                <w:szCs w:val="4"/>
              </w:rPr>
            </w:r>
          </w:p>
        </w:tc>
      </w:tr>
      <w:tr>
        <w:trPr/>
        <w:tc>
          <w:tcPr>
            <w:tcW w:w="110"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w:t>
            </w:r>
          </w:p>
        </w:tc>
        <w:tc>
          <w:tcPr>
            <w:tcW w:w="10095" w:type="dxa"/>
            <w:tcBorders/>
            <w:shd w:fill="auto" w:val="clear"/>
            <w:vAlign w:val="center"/>
          </w:tcPr>
          <w:p>
            <w:pPr>
              <w:pStyle w:val="TableContents"/>
              <w:spacing w:lineRule="auto" w:line="288" w:before="0" w:after="0"/>
              <w:jc w:val="left"/>
              <w:rPr>
                <w:rFonts w:ascii="inherit" w:hAnsi="inherit"/>
                <w:sz w:val="13"/>
              </w:rPr>
            </w:pPr>
            <w:r>
              <w:rPr>
                <w:rFonts w:ascii="inherit" w:hAnsi="inherit"/>
                <w:sz w:val="13"/>
              </w:rPr>
              <w:t>Excludes the potential impact of the embedded derivative. During the second quarter of fiscal 2018, the market price of our Class A Non-Voting Common Stock met the threshold to trigger note holders’ right to convert their 2024 Convertible Notes during the third quarter of fiscal 2018. Therefore, we have classified the 2024 Convertible Notes as current on our condensed consolidated balance sheet as of March 31, 2018.</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tbl>
      <w:tblPr>
        <w:tblW w:w="9490" w:type="dxa"/>
        <w:jc w:val="center"/>
        <w:tblInd w:w="0" w:type="dxa"/>
        <w:tblCellMar>
          <w:top w:w="0" w:type="dxa"/>
          <w:left w:w="0" w:type="dxa"/>
          <w:bottom w:w="0" w:type="dxa"/>
          <w:right w:w="0" w:type="dxa"/>
        </w:tblCellMar>
      </w:tblPr>
      <w:tblGrid>
        <w:gridCol w:w="4955"/>
        <w:gridCol w:w="304"/>
        <w:gridCol w:w="670"/>
        <w:gridCol w:w="73"/>
        <w:gridCol w:w="219"/>
        <w:gridCol w:w="304"/>
        <w:gridCol w:w="670"/>
        <w:gridCol w:w="73"/>
        <w:gridCol w:w="90"/>
        <w:gridCol w:w="180"/>
        <w:gridCol w:w="398"/>
        <w:gridCol w:w="43"/>
        <w:gridCol w:w="130"/>
        <w:gridCol w:w="180"/>
        <w:gridCol w:w="398"/>
        <w:gridCol w:w="803"/>
      </w:tblGrid>
      <w:tr>
        <w:trPr/>
        <w:tc>
          <w:tcPr>
            <w:tcW w:w="9490" w:type="dxa"/>
            <w:gridSpan w:val="16"/>
            <w:tcBorders/>
            <w:shd w:fill="auto" w:val="clear"/>
            <w:vAlign w:val="center"/>
          </w:tcPr>
          <w:p>
            <w:pPr>
              <w:pStyle w:val="TableContents"/>
              <w:spacing w:before="0" w:after="283"/>
              <w:rPr>
                <w:sz w:val="4"/>
                <w:szCs w:val="4"/>
              </w:rPr>
            </w:pPr>
            <w:r>
              <w:rPr>
                <w:sz w:val="4"/>
                <w:szCs w:val="4"/>
              </w:rPr>
            </w:r>
          </w:p>
        </w:tc>
      </w:tr>
      <w:tr>
        <w:trPr/>
        <w:tc>
          <w:tcPr>
            <w:tcW w:w="495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55" w:type="dxa"/>
            <w:tcBorders/>
            <w:shd w:fill="auto" w:val="clear"/>
            <w:vAlign w:val="center"/>
          </w:tcPr>
          <w:p>
            <w:pPr>
              <w:pStyle w:val="TableContents"/>
              <w:spacing w:before="0" w:after="0"/>
              <w:ind w:left="0" w:right="0" w:firstLine="30"/>
              <w:rPr/>
            </w:pPr>
            <w:r>
              <w:rPr/>
              <w:t> </w:t>
            </w:r>
          </w:p>
        </w:tc>
        <w:tc>
          <w:tcPr>
            <w:tcW w:w="231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213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4955" w:type="dxa"/>
            <w:tcBorders/>
            <w:shd w:fill="auto" w:val="clear"/>
            <w:vAlign w:val="center"/>
          </w:tcPr>
          <w:p>
            <w:pPr>
              <w:pStyle w:val="TableContents"/>
              <w:spacing w:before="0" w:after="0"/>
              <w:ind w:left="0" w:right="0" w:firstLine="30"/>
              <w:jc w:val="left"/>
              <w:rPr/>
            </w:pPr>
            <w:r>
              <w:rPr/>
              <w:t> </w:t>
            </w:r>
          </w:p>
        </w:tc>
        <w:tc>
          <w:tcPr>
            <w:tcW w:w="104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219" w:type="dxa"/>
            <w:tcBorders/>
            <w:shd w:fill="auto" w:val="clear"/>
            <w:vAlign w:val="center"/>
          </w:tcPr>
          <w:p>
            <w:pPr>
              <w:pStyle w:val="TableContents"/>
              <w:spacing w:before="0" w:after="0"/>
              <w:ind w:left="0" w:right="0" w:firstLine="30"/>
              <w:rPr/>
            </w:pPr>
            <w:r>
              <w:rPr/>
              <w:t> </w:t>
            </w:r>
          </w:p>
        </w:tc>
        <w:tc>
          <w:tcPr>
            <w:tcW w:w="104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62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3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8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r>
      <w:tr>
        <w:trPr/>
        <w:tc>
          <w:tcPr>
            <w:tcW w:w="4955" w:type="dxa"/>
            <w:tcBorders/>
            <w:shd w:fill="auto" w:val="clear"/>
            <w:vAlign w:val="center"/>
          </w:tcPr>
          <w:p>
            <w:pPr>
              <w:pStyle w:val="TableContents"/>
              <w:spacing w:before="0" w:after="0"/>
              <w:ind w:left="0" w:right="0" w:firstLine="30"/>
              <w:rPr/>
            </w:pPr>
            <w:r>
              <w:rPr/>
              <w:t> </w:t>
            </w:r>
          </w:p>
        </w:tc>
        <w:tc>
          <w:tcPr>
            <w:tcW w:w="1047" w:type="dxa"/>
            <w:gridSpan w:val="3"/>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ind w:left="0" w:right="0" w:firstLine="30"/>
              <w:rPr/>
            </w:pPr>
            <w:r>
              <w:rPr/>
              <w:t> </w:t>
            </w:r>
          </w:p>
        </w:tc>
        <w:tc>
          <w:tcPr>
            <w:tcW w:w="104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21"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4955" w:type="dxa"/>
            <w:tcBorders/>
            <w:shd w:fill="auto" w:val="clear"/>
            <w:vAlign w:val="center"/>
          </w:tcPr>
          <w:p>
            <w:pPr>
              <w:pStyle w:val="TableContents"/>
              <w:spacing w:before="0" w:after="0"/>
              <w:ind w:left="0" w:right="0" w:firstLine="30"/>
              <w:jc w:val="left"/>
              <w:rPr/>
            </w:pPr>
            <w:r>
              <w:rPr/>
              <w:t> </w:t>
            </w:r>
          </w:p>
        </w:tc>
        <w:tc>
          <w:tcPr>
            <w:tcW w:w="453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4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w:t>
            </w:r>
          </w:p>
        </w:tc>
        <w:tc>
          <w:tcPr>
            <w:tcW w:w="1047" w:type="dxa"/>
            <w:gridSpan w:val="3"/>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ind w:left="0" w:right="0" w:firstLine="30"/>
              <w:rPr/>
            </w:pPr>
            <w:r>
              <w:rPr/>
              <w:t> </w:t>
            </w:r>
          </w:p>
        </w:tc>
        <w:tc>
          <w:tcPr>
            <w:tcW w:w="104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21"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Contractual interest expense</w:t>
            </w:r>
          </w:p>
        </w:tc>
        <w:tc>
          <w:tcPr>
            <w:tcW w:w="30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70" w:type="dxa"/>
            <w:tcBorders/>
            <w:shd w:fill="auto" w:val="clear"/>
            <w:vAlign w:val="center"/>
          </w:tcPr>
          <w:p>
            <w:pPr>
              <w:pStyle w:val="TableContents"/>
              <w:spacing w:before="0" w:after="0"/>
              <w:jc w:val="right"/>
              <w:rPr>
                <w:rFonts w:ascii="inherit" w:hAnsi="inherit"/>
                <w:sz w:val="17"/>
              </w:rPr>
            </w:pPr>
            <w:r>
              <w:rPr>
                <w:rFonts w:ascii="inherit" w:hAnsi="inherit"/>
                <w:sz w:val="17"/>
              </w:rPr>
              <w:t>1.1</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9"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70"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8" w:type="dxa"/>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8" w:type="dxa"/>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80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 of debt discount and deferred financing costs</w:t>
            </w:r>
          </w:p>
        </w:tc>
        <w:tc>
          <w:tcPr>
            <w:tcW w:w="97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w:t>
            </w:r>
          </w:p>
        </w:tc>
        <w:tc>
          <w:tcPr>
            <w:tcW w:w="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9" w:type="dxa"/>
            <w:tcBorders/>
            <w:shd w:fill="CCEEFF" w:val="clear"/>
            <w:vAlign w:val="center"/>
          </w:tcPr>
          <w:p>
            <w:pPr>
              <w:pStyle w:val="TableContents"/>
              <w:spacing w:before="0" w:after="0"/>
              <w:ind w:left="0" w:right="0" w:firstLine="30"/>
              <w:rPr/>
            </w:pPr>
            <w:r>
              <w:rPr/>
              <w:t> </w:t>
            </w:r>
          </w:p>
        </w:tc>
        <w:tc>
          <w:tcPr>
            <w:tcW w:w="97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7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w:t>
            </w:r>
          </w:p>
        </w:tc>
        <w:tc>
          <w:tcPr>
            <w:tcW w:w="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57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w:t>
            </w:r>
          </w:p>
        </w:tc>
        <w:tc>
          <w:tcPr>
            <w:tcW w:w="803"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interest expense</w:t>
            </w:r>
          </w:p>
        </w:tc>
        <w:tc>
          <w:tcPr>
            <w:tcW w:w="30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w:t>
            </w:r>
          </w:p>
        </w:tc>
        <w:tc>
          <w:tcPr>
            <w:tcW w:w="7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9" w:type="dxa"/>
            <w:tcBorders/>
            <w:shd w:fill="auto" w:val="clear"/>
            <w:vAlign w:val="center"/>
          </w:tcPr>
          <w:p>
            <w:pPr>
              <w:pStyle w:val="TableContents"/>
              <w:spacing w:before="0" w:after="0"/>
              <w:ind w:left="0" w:right="0" w:firstLine="30"/>
              <w:rPr/>
            </w:pPr>
            <w:r>
              <w:rPr/>
              <w:t> </w:t>
            </w:r>
          </w:p>
        </w:tc>
        <w:tc>
          <w:tcPr>
            <w:tcW w:w="30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w:t>
            </w:r>
          </w:p>
        </w:tc>
        <w:tc>
          <w:tcPr>
            <w:tcW w:w="7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w:t>
            </w:r>
          </w:p>
        </w:tc>
        <w:tc>
          <w:tcPr>
            <w:tcW w:w="4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w:t>
            </w:r>
          </w:p>
        </w:tc>
        <w:tc>
          <w:tcPr>
            <w:tcW w:w="80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55" w:type="dxa"/>
            <w:tcBorders/>
            <w:shd w:fill="CCEEFF" w:val="clear"/>
            <w:vAlign w:val="center"/>
          </w:tcPr>
          <w:p>
            <w:pPr>
              <w:pStyle w:val="TableContents"/>
              <w:spacing w:before="0" w:after="0"/>
              <w:ind w:left="0" w:right="0" w:firstLine="30"/>
              <w:rPr/>
            </w:pPr>
            <w:r>
              <w:rPr/>
              <w:t> </w:t>
            </w:r>
          </w:p>
        </w:tc>
        <w:tc>
          <w:tcPr>
            <w:tcW w:w="1047" w:type="dxa"/>
            <w:gridSpan w:val="3"/>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ind w:left="0" w:right="0" w:firstLine="30"/>
              <w:rPr/>
            </w:pPr>
            <w:r>
              <w:rPr/>
              <w:t> </w:t>
            </w:r>
          </w:p>
        </w:tc>
        <w:tc>
          <w:tcPr>
            <w:tcW w:w="104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21"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
              <w:rPr/>
            </w:pPr>
            <w:r>
              <w:rPr/>
              <w:t> </w:t>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2024 Convertible Notes:</w:t>
            </w:r>
          </w:p>
        </w:tc>
        <w:tc>
          <w:tcPr>
            <w:tcW w:w="1047" w:type="dxa"/>
            <w:gridSpan w:val="3"/>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ind w:left="0" w:right="0" w:firstLine="30"/>
              <w:rPr/>
            </w:pPr>
            <w:r>
              <w:rPr/>
              <w:t> </w:t>
            </w:r>
          </w:p>
        </w:tc>
        <w:tc>
          <w:tcPr>
            <w:tcW w:w="104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21"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0"/>
              <w:rPr/>
            </w:pPr>
            <w:r>
              <w:rPr/>
              <w:t> </w:t>
            </w:r>
          </w:p>
        </w:tc>
      </w:tr>
      <w:tr>
        <w:trPr/>
        <w:tc>
          <w:tcPr>
            <w:tcW w:w="4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Contractual interest expense</w:t>
            </w:r>
          </w:p>
        </w:tc>
        <w:tc>
          <w:tcPr>
            <w:tcW w:w="30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70" w:type="dxa"/>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9" w:type="dxa"/>
            <w:tcBorders/>
            <w:shd w:fill="CCEEFF" w:val="clear"/>
            <w:vAlign w:val="center"/>
          </w:tcPr>
          <w:p>
            <w:pPr>
              <w:pStyle w:val="TableContents"/>
              <w:spacing w:before="0" w:after="0"/>
              <w:ind w:left="0" w:right="0" w:firstLine="30"/>
              <w:rPr/>
            </w:pPr>
            <w:r>
              <w:rPr/>
              <w:t> </w:t>
            </w:r>
          </w:p>
        </w:tc>
        <w:tc>
          <w:tcPr>
            <w:tcW w:w="30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70"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98" w:type="dxa"/>
            <w:tcBorders/>
            <w:shd w:fill="CCEEFF" w:val="clear"/>
            <w:vAlign w:val="center"/>
          </w:tcPr>
          <w:p>
            <w:pPr>
              <w:pStyle w:val="TableContents"/>
              <w:spacing w:before="0" w:after="0"/>
              <w:jc w:val="right"/>
              <w:rPr>
                <w:rFonts w:ascii="inherit" w:hAnsi="inherit"/>
                <w:sz w:val="17"/>
              </w:rPr>
            </w:pPr>
            <w:r>
              <w:rPr>
                <w:rFonts w:ascii="inherit" w:hAnsi="inherit"/>
                <w:sz w:val="17"/>
              </w:rPr>
              <w:t>2.0</w:t>
            </w:r>
          </w:p>
        </w:tc>
        <w:tc>
          <w:tcPr>
            <w:tcW w:w="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98" w:type="dxa"/>
            <w:tcBorders/>
            <w:shd w:fill="CCEEFF" w:val="clear"/>
            <w:vAlign w:val="center"/>
          </w:tcPr>
          <w:p>
            <w:pPr>
              <w:pStyle w:val="TableContents"/>
              <w:spacing w:before="0" w:after="0"/>
              <w:jc w:val="right"/>
              <w:rPr/>
            </w:pPr>
            <w:r>
              <w:rPr/>
              <w:t>—</w:t>
            </w:r>
          </w:p>
        </w:tc>
        <w:tc>
          <w:tcPr>
            <w:tcW w:w="80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 of debt discount and deferred financing costs</w:t>
            </w:r>
          </w:p>
        </w:tc>
        <w:tc>
          <w:tcPr>
            <w:tcW w:w="9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9" w:type="dxa"/>
            <w:tcBorders/>
            <w:shd w:fill="auto" w:val="clear"/>
            <w:vAlign w:val="center"/>
          </w:tcPr>
          <w:p>
            <w:pPr>
              <w:pStyle w:val="TableContents"/>
              <w:spacing w:before="0" w:after="0"/>
              <w:ind w:left="0" w:right="0" w:firstLine="30"/>
              <w:rPr/>
            </w:pPr>
            <w:r>
              <w:rPr/>
              <w:t> </w:t>
            </w:r>
          </w:p>
        </w:tc>
        <w:tc>
          <w:tcPr>
            <w:tcW w:w="974" w:type="dxa"/>
            <w:gridSpan w:val="2"/>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578" w:type="dxa"/>
            <w:gridSpan w:val="2"/>
            <w:tcBorders/>
            <w:shd w:fill="auto" w:val="clear"/>
            <w:vAlign w:val="center"/>
          </w:tcPr>
          <w:p>
            <w:pPr>
              <w:pStyle w:val="TableContents"/>
              <w:spacing w:before="0" w:after="0"/>
              <w:jc w:val="right"/>
              <w:rPr/>
            </w:pPr>
            <w:r>
              <w:rPr/>
              <w:t>—</w:t>
            </w:r>
          </w:p>
        </w:tc>
        <w:tc>
          <w:tcPr>
            <w:tcW w:w="803"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4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interest expense</w:t>
            </w:r>
          </w:p>
        </w:tc>
        <w:tc>
          <w:tcPr>
            <w:tcW w:w="30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w:t>
            </w:r>
          </w:p>
        </w:tc>
        <w:tc>
          <w:tcPr>
            <w:tcW w:w="7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9" w:type="dxa"/>
            <w:tcBorders/>
            <w:shd w:fill="CCEEFF" w:val="clear"/>
            <w:vAlign w:val="center"/>
          </w:tcPr>
          <w:p>
            <w:pPr>
              <w:pStyle w:val="TableContents"/>
              <w:spacing w:before="0" w:after="0"/>
              <w:ind w:left="0" w:right="0" w:firstLine="30"/>
              <w:rPr/>
            </w:pPr>
            <w:r>
              <w:rPr/>
              <w:t> </w:t>
            </w:r>
          </w:p>
        </w:tc>
        <w:tc>
          <w:tcPr>
            <w:tcW w:w="30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7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w:t>
            </w:r>
          </w:p>
        </w:tc>
        <w:tc>
          <w:tcPr>
            <w:tcW w:w="4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80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color w:val="252525"/>
          <w:sz w:val="17"/>
        </w:rPr>
      </w:pPr>
      <w:r>
        <w:rPr>
          <w:rFonts w:ascii="inherit" w:hAnsi="inherit"/>
          <w:b/>
          <w:i/>
          <w:color w:val="252525"/>
          <w:sz w:val="17"/>
        </w:rPr>
        <w:t>2.875% Convertible Senior Notes Due 2024</w:t>
      </w:r>
    </w:p>
    <w:p>
      <w:pPr>
        <w:pStyle w:val="TextBody"/>
        <w:spacing w:lineRule="auto" w:line="288" w:before="0" w:after="0"/>
        <w:rPr>
          <w:sz w:val="17"/>
        </w:rPr>
      </w:pPr>
      <w:r>
        <w:rPr>
          <w:rFonts w:ascii="inherit" w:hAnsi="inherit"/>
          <w:sz w:val="17"/>
        </w:rPr>
        <w:t>In July 2017, we issued $143.75 million</w:t>
      </w:r>
      <w:r>
        <w:rPr>
          <w:sz w:val="17"/>
        </w:rPr>
        <w:t> </w:t>
      </w:r>
      <w:r>
        <w:rPr>
          <w:rFonts w:ascii="inherit" w:hAnsi="inherit"/>
          <w:sz w:val="17"/>
        </w:rPr>
        <w:t>aggregate principal amount of 2.875%</w:t>
      </w:r>
      <w:r>
        <w:rPr>
          <w:sz w:val="17"/>
        </w:rPr>
        <w:t> </w:t>
      </w:r>
      <w:r>
        <w:rPr>
          <w:rFonts w:ascii="inherit" w:hAnsi="inherit"/>
          <w:sz w:val="17"/>
        </w:rPr>
        <w:t>Convertible Senior Notes Due 2024 (the “2024 Convertible Notes”). All of the 2024 Convertible Notes were issued pursuant to an indenture dated July 5, 2017 (the "2017 Indenture") by and between us and Wells Fargo Bank, National Association, as the trustee. The 2024 Convertible Notes were issued in a private offering under Rule 144A under the Securities Act of 1933. The 2024 Convertible Notes pay interest semi-annually in arrears at a rate of 2.875%</w:t>
      </w:r>
      <w:r>
        <w:rPr>
          <w:sz w:val="17"/>
        </w:rPr>
        <w:t> </w:t>
      </w:r>
      <w:r>
        <w:rPr>
          <w:rFonts w:ascii="inherit" w:hAnsi="inherit"/>
          <w:sz w:val="17"/>
        </w:rPr>
        <w:t>per annum on January 1 and July 1 of each year, commencing January 1, 2018, and mature on July 1, 2024 (the "2024 Maturity Date"), unless converted, redeemed or repurchased in accordance with their terms prior to such date. The carrying amount of the 2024 Convertible Notes as a separate equity-classified instrument (the “2024 Convertible Notes Embedded Derivative”) included under “Additional paid-in capital” in our condensed consolidated balance sheets of March 31, 2018</w:t>
      </w:r>
      <w:r>
        <w:rPr>
          <w:sz w:val="17"/>
        </w:rPr>
        <w:t> </w:t>
      </w:r>
      <w:r>
        <w:rPr>
          <w:rFonts w:ascii="inherit" w:hAnsi="inherit"/>
          <w:sz w:val="17"/>
        </w:rPr>
        <w:t>was $25.3 million. The effective interest rate for the three and six</w:t>
      </w:r>
      <w:r>
        <w:rPr>
          <w:sz w:val="17"/>
        </w:rPr>
        <w:t xml:space="preserve"> </w:t>
      </w:r>
      <w:r>
        <w:rPr>
          <w:rFonts w:ascii="inherit" w:hAnsi="inherit"/>
          <w:sz w:val="17"/>
        </w:rPr>
        <w:t>months ended March 31, 2018</w:t>
      </w:r>
      <w:r>
        <w:rPr>
          <w:sz w:val="17"/>
        </w:rPr>
        <w:t> </w:t>
      </w:r>
      <w:r>
        <w:rPr>
          <w:rFonts w:ascii="inherit" w:hAnsi="inherit"/>
          <w:sz w:val="17"/>
        </w:rPr>
        <w:t>was approximately 7%. As of March 31, 2018, the remaining unamortized debt discount and issuance costs will be amortized through the 2024 Maturity Date assuming no early conversion.</w:t>
      </w:r>
    </w:p>
    <w:p>
      <w:pPr>
        <w:pStyle w:val="TextBody"/>
        <w:spacing w:lineRule="auto" w:line="288" w:before="0" w:after="0"/>
        <w:rPr>
          <w:sz w:val="17"/>
        </w:rPr>
      </w:pPr>
      <w:r>
        <w:rPr>
          <w:rFonts w:ascii="inherit" w:hAnsi="inherit"/>
          <w:sz w:val="17"/>
        </w:rPr>
        <w:t>The 2024 Convertible Notes are convertible into cash or shares of Class A Non-Voting Common Stock ("Class A Common Stock"), or any combination thereof, at our option subject to satisfaction of certain conditions and during the periods described in the 2017 Indenture, based on an initial conversion rate of 100</w:t>
      </w:r>
      <w:r>
        <w:rPr>
          <w:sz w:val="17"/>
        </w:rPr>
        <w:t> </w:t>
      </w:r>
      <w:r>
        <w:rPr>
          <w:rFonts w:ascii="inherit" w:hAnsi="inherit"/>
          <w:sz w:val="17"/>
        </w:rPr>
        <w:t>shares of Class A Common Stock per $1,000</w:t>
      </w:r>
      <w:r>
        <w:rPr>
          <w:sz w:val="17"/>
        </w:rPr>
        <w:t> </w:t>
      </w:r>
      <w:r>
        <w:rPr>
          <w:rFonts w:ascii="inherit" w:hAnsi="inherit"/>
          <w:sz w:val="17"/>
        </w:rPr>
        <w:t>principal amount of 2024 Convertible Notes (equivalent to an initial conversion price of $10.00</w:t>
      </w:r>
      <w:r>
        <w:rPr>
          <w:sz w:val="17"/>
        </w:rPr>
        <w:t> </w:t>
      </w:r>
      <w:r>
        <w:rPr>
          <w:rFonts w:ascii="inherit" w:hAnsi="inherit"/>
          <w:sz w:val="17"/>
        </w:rPr>
        <w:t>per share of our Class A Common Stock). We account for the Class A Common Stock issuable upon conversion under the treasury stock method. To the extent our average share price is over $10.00</w:t>
      </w:r>
      <w:r>
        <w:rPr>
          <w:sz w:val="17"/>
        </w:rPr>
        <w:t> </w:t>
      </w:r>
      <w:r>
        <w:rPr>
          <w:rFonts w:ascii="inherit" w:hAnsi="inherit"/>
          <w:sz w:val="17"/>
        </w:rPr>
        <w:t>per share for any fiscal quarter, we are required to recognize incremental dilution of our earnings per share.</w:t>
      </w:r>
    </w:p>
    <w:p>
      <w:pPr>
        <w:pStyle w:val="TextBody"/>
        <w:spacing w:lineRule="auto" w:line="288" w:before="0" w:after="0"/>
        <w:rPr>
          <w:sz w:val="17"/>
        </w:rPr>
      </w:pPr>
      <w:r>
        <w:rPr>
          <w:rFonts w:ascii="inherit" w:hAnsi="inherit"/>
          <w:sz w:val="17"/>
        </w:rPr>
        <w:t>During the second quarter of fiscal 2018, the market price of our Class A Common Stock met the threshold based on at least 20 of the final 30 trading days of the quarter for the 2024 Convertible Notes to become convertible at the option of the holders during the third quarter of fiscal 2018 (April 1, 2018 to June 30, 2018). If presented for conversion, we may choose to settle the obligation through the payment of cash, the delivery of Class A Common Stock or a combination of cash and shares, although it continues to be our intention to settle the principal portion of the notes in cash and the remainder in Class A Common Stock. Accordingly, we have classified the 2024 Convertible Notes as current on our condensed consolidated balance sheet as of March 31, 2018. The stock trading price condition is measured on a quarter-by-quarter basis. If the notes are not convertible in any subsequent quarter, they will be classified as a non-current liability. The if-converted value of the 2024 Convertible Notes exceeded the principal amount by $46.7 million</w:t>
      </w:r>
      <w:r>
        <w:rPr>
          <w:sz w:val="17"/>
        </w:rPr>
        <w:t xml:space="preserve"> </w:t>
      </w:r>
      <w:r>
        <w:rPr>
          <w:rFonts w:ascii="inherit" w:hAnsi="inherit"/>
          <w:sz w:val="17"/>
        </w:rPr>
        <w:t>as of March 31, 2018.</w:t>
      </w:r>
    </w:p>
    <w:p>
      <w:pPr>
        <w:pStyle w:val="TextBody"/>
        <w:spacing w:lineRule="auto" w:line="288" w:before="0" w:after="0"/>
        <w:rPr>
          <w:rFonts w:ascii="inherit" w:hAnsi="inherit"/>
          <w:b/>
          <w:i/>
          <w:color w:val="252525"/>
          <w:sz w:val="17"/>
        </w:rPr>
      </w:pPr>
      <w:r>
        <w:rPr>
          <w:rFonts w:ascii="inherit" w:hAnsi="inherit"/>
          <w:b/>
          <w:i/>
          <w:color w:val="252525"/>
          <w:sz w:val="17"/>
        </w:rPr>
        <w:t>2.125% Cash Convertible Senior Notes Due 2019</w:t>
      </w:r>
    </w:p>
    <w:p>
      <w:pPr>
        <w:pStyle w:val="TextBody"/>
        <w:spacing w:lineRule="auto" w:line="288" w:before="0" w:after="0"/>
        <w:jc w:val="left"/>
        <w:rPr>
          <w:sz w:val="17"/>
        </w:rPr>
      </w:pPr>
      <w:r>
        <w:rPr>
          <w:rFonts w:ascii="inherit" w:hAnsi="inherit"/>
          <w:color w:val="252525"/>
          <w:sz w:val="17"/>
        </w:rPr>
        <w:t>In June 2014, we issued $200 million</w:t>
      </w:r>
      <w:r>
        <w:rPr>
          <w:color w:val="252525"/>
          <w:sz w:val="17"/>
        </w:rPr>
        <w:t> </w:t>
      </w:r>
      <w:r>
        <w:rPr>
          <w:rFonts w:ascii="inherit" w:hAnsi="inherit"/>
          <w:color w:val="252525"/>
          <w:sz w:val="17"/>
        </w:rPr>
        <w:t>aggregate principal amount of 2.125%</w:t>
      </w:r>
      <w:r>
        <w:rPr>
          <w:color w:val="252525"/>
          <w:sz w:val="17"/>
        </w:rPr>
        <w:t xml:space="preserve"> </w:t>
      </w:r>
      <w:r>
        <w:rPr>
          <w:rFonts w:ascii="inherit" w:hAnsi="inherit"/>
          <w:color w:val="252525"/>
          <w:sz w:val="17"/>
        </w:rPr>
        <w:t xml:space="preserve">Cash Convertible Senior </w:t>
      </w:r>
      <w:r>
        <w:rPr>
          <w:rFonts w:ascii="inherit" w:hAnsi="inherit"/>
          <w:sz w:val="17"/>
        </w:rPr>
        <w:t>Notes Due 2019 (the "2019 Convertible Notes"), with an additional $30 million</w:t>
      </w:r>
      <w:r>
        <w:rPr>
          <w:sz w:val="17"/>
        </w:rPr>
        <w:t xml:space="preserve"> </w:t>
      </w:r>
      <w:r>
        <w:rPr>
          <w:rFonts w:ascii="inherit" w:hAnsi="inherit"/>
          <w:sz w:val="17"/>
        </w:rPr>
        <w:t xml:space="preserve">principal amount of 2019 Convertible Notes issued in July 2014. </w:t>
      </w:r>
      <w:r>
        <w:rPr>
          <w:rFonts w:ascii="inherit" w:hAnsi="inherit"/>
          <w:color w:val="252525"/>
          <w:sz w:val="17"/>
        </w:rPr>
        <w:t xml:space="preserve">In </w:t>
      </w:r>
      <w:r>
        <w:rPr>
          <w:rFonts w:ascii="inherit" w:hAnsi="inherit"/>
          <w:sz w:val="17"/>
        </w:rPr>
        <w:t>July 2017, we used $34.4 million</w:t>
      </w:r>
      <w:r>
        <w:rPr>
          <w:sz w:val="17"/>
        </w:rPr>
        <w:t> </w:t>
      </w:r>
      <w:r>
        <w:rPr>
          <w:rFonts w:ascii="inherit" w:hAnsi="inherit"/>
          <w:sz w:val="17"/>
        </w:rPr>
        <w:t>of net proceeds from the 2024 Convertible Notes offering to repurchase and retire $35.0 million</w:t>
      </w:r>
      <w:r>
        <w:rPr>
          <w:sz w:val="17"/>
        </w:rPr>
        <w:t> </w:t>
      </w:r>
      <w:r>
        <w:rPr>
          <w:rFonts w:ascii="inherit" w:hAnsi="inherit"/>
          <w:sz w:val="17"/>
        </w:rPr>
        <w:t xml:space="preserve">aggregate principal amount of 2019 Convertible Notes. All of the 2019 Convertible Notes were issued </w:t>
      </w:r>
      <w:r>
        <w:rPr>
          <w:rFonts w:ascii="inherit" w:hAnsi="inherit"/>
          <w:color w:val="252525"/>
          <w:sz w:val="17"/>
        </w:rPr>
        <w:t>pursuant to an indenture dated June 23, 2014 (the "2014 Indenture") by and between us and Wells Fargo Bank, National Association, as the trustee. The 2019 Convertible Notes were issued in a private offering</w:t>
      </w:r>
      <w:r>
        <w:rPr>
          <w:sz w:val="17"/>
        </w:rPr>
        <w:t xml:space="preserve"> </w:t>
      </w:r>
      <w:r>
        <w:rPr>
          <w:rFonts w:ascii="inherit" w:hAnsi="inherit"/>
          <w:sz w:val="17"/>
        </w:rPr>
        <w:t xml:space="preserve">and resold under Rule 144A under the Securities Act of 1933. </w:t>
      </w:r>
      <w:r>
        <w:rPr>
          <w:rFonts w:ascii="inherit" w:hAnsi="inherit"/>
          <w:color w:val="252525"/>
          <w:sz w:val="17"/>
        </w:rPr>
        <w:t>The 2019 Convertible Notes pay interest semi-annually in arrears at a rate of 2.125%</w:t>
      </w:r>
      <w:r>
        <w:rPr>
          <w:color w:val="252525"/>
          <w:sz w:val="17"/>
        </w:rPr>
        <w:t xml:space="preserve"> </w:t>
      </w:r>
      <w:r>
        <w:rPr>
          <w:rFonts w:ascii="inherit" w:hAnsi="inherit"/>
          <w:color w:val="252525"/>
          <w:sz w:val="17"/>
        </w:rPr>
        <w:t>per annum on June 15 and December 15 of each year and mature on June 15, 2019 (the "2019 Maturity Date")</w:t>
      </w:r>
      <w:r>
        <w:rPr>
          <w:rFonts w:ascii="inherit" w:hAnsi="inherit"/>
          <w:sz w:val="17"/>
        </w:rPr>
        <w:t>, unless converted, redeemed or repurchased in accordance with their terms prior to such date</w:t>
      </w:r>
      <w:r>
        <w:rPr>
          <w:rFonts w:ascii="inherit" w:hAnsi="inherit"/>
          <w:color w:val="252525"/>
          <w:sz w:val="17"/>
        </w:rPr>
        <w:t xml:space="preserve">. </w:t>
      </w:r>
      <w:r>
        <w:rPr>
          <w:rFonts w:ascii="inherit" w:hAnsi="inherit"/>
          <w:sz w:val="17"/>
        </w:rPr>
        <w:t>The effective interest rate for the three and six</w:t>
      </w:r>
      <w:r>
        <w:rPr>
          <w:sz w:val="17"/>
        </w:rPr>
        <w:t xml:space="preserve"> </w:t>
      </w:r>
      <w:r>
        <w:rPr>
          <w:rFonts w:ascii="inherit" w:hAnsi="inherit"/>
          <w:sz w:val="17"/>
        </w:rPr>
        <w:t>months ended March 31, 2018</w:t>
      </w:r>
      <w:r>
        <w:rPr>
          <w:sz w:val="17"/>
        </w:rPr>
        <w:t xml:space="preserve"> </w:t>
      </w:r>
      <w:r>
        <w:rPr>
          <w:rFonts w:ascii="inherit" w:hAnsi="inherit"/>
          <w:sz w:val="17"/>
        </w:rPr>
        <w:t>and 2017 was approximately 7%. As of March 31, 2018, the remaining unamortized debt discount and issuance costs will be amortized through the 2019 Maturity Date assuming no early conversion.</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The 2019 Convertible Notes are convertible into cash, subject to satisfaction of certain conditions and during the periods described in the 2014 Indenture, based on an initial conversion rate of 62.2471</w:t>
      </w:r>
      <w:r>
        <w:rPr>
          <w:sz w:val="17"/>
        </w:rPr>
        <w:t xml:space="preserve"> </w:t>
      </w:r>
      <w:r>
        <w:rPr>
          <w:rFonts w:ascii="inherit" w:hAnsi="inherit"/>
          <w:sz w:val="17"/>
        </w:rPr>
        <w:t>shares of Class A Common Stock per $1,000</w:t>
      </w:r>
      <w:r>
        <w:rPr>
          <w:sz w:val="17"/>
        </w:rPr>
        <w:t> </w:t>
      </w:r>
      <w:r>
        <w:rPr>
          <w:rFonts w:ascii="inherit" w:hAnsi="inherit"/>
          <w:sz w:val="17"/>
        </w:rPr>
        <w:t>principal amount of 2019 Convertible Notes (equivalent to an initial conversion price of approximately $16.065</w:t>
      </w:r>
      <w:r>
        <w:rPr>
          <w:sz w:val="17"/>
        </w:rPr>
        <w:t> </w:t>
      </w:r>
      <w:r>
        <w:rPr>
          <w:rFonts w:ascii="inherit" w:hAnsi="inherit"/>
          <w:sz w:val="17"/>
        </w:rPr>
        <w:t>per share of our Class A Common Stock). As of March 31, 2018, the if-converted value of the 2019 Convertible Notes did not exceed the principal amount.</w:t>
      </w:r>
    </w:p>
    <w:p>
      <w:pPr>
        <w:pStyle w:val="TextBody"/>
        <w:spacing w:lineRule="auto" w:line="288" w:before="0" w:after="0"/>
        <w:jc w:val="left"/>
        <w:rPr>
          <w:rFonts w:ascii="inherit" w:hAnsi="inherit"/>
          <w:i/>
          <w:color w:val="252525"/>
          <w:sz w:val="17"/>
        </w:rPr>
      </w:pPr>
      <w:r>
        <w:rPr>
          <w:rFonts w:ascii="inherit" w:hAnsi="inherit"/>
          <w:i/>
          <w:color w:val="252525"/>
          <w:sz w:val="17"/>
        </w:rPr>
        <w:t>2019 Convertible Notes Hedges</w:t>
      </w:r>
    </w:p>
    <w:p>
      <w:pPr>
        <w:pStyle w:val="TextBody"/>
        <w:spacing w:lineRule="auto" w:line="288" w:before="0" w:after="0"/>
        <w:jc w:val="left"/>
        <w:rPr>
          <w:sz w:val="17"/>
        </w:rPr>
      </w:pPr>
      <w:r>
        <w:rPr>
          <w:rFonts w:ascii="inherit" w:hAnsi="inherit"/>
          <w:sz w:val="17"/>
        </w:rPr>
        <w:t>In connection with the issuance of the 2019 Convertible Notes, we purchased cash-settled call options (the “2019 Convertible Notes Hedges”) in privately negotiated transactions with certain of the initial purchasers or their affiliates (in this capacity, the “Option Counterparties”). The 2019 Convertible Notes Hedges provide us with the option to acquire, on a net settlement basis, approximately 12.1 million</w:t>
      </w:r>
      <w:r>
        <w:rPr>
          <w:sz w:val="17"/>
        </w:rPr>
        <w:t> </w:t>
      </w:r>
      <w:r>
        <w:rPr>
          <w:rFonts w:ascii="inherit" w:hAnsi="inherit"/>
          <w:sz w:val="17"/>
        </w:rPr>
        <w:t xml:space="preserve">shares of our Class A Common Stock at a strike price of $16.065, which is equal to the number of shares of our Class A Common Stock that notionally underlie the 2019 Convertible Notes and corresponds to the conversion price of the 2019 Convertible Notes. </w:t>
      </w:r>
      <w:r>
        <w:rPr>
          <w:rFonts w:ascii="inherit" w:hAnsi="inherit"/>
          <w:color w:val="252525"/>
          <w:sz w:val="17"/>
        </w:rPr>
        <w:t>If we exercise the 2019 Convertible Notes</w:t>
      </w:r>
      <w:r>
        <w:rPr>
          <w:sz w:val="17"/>
        </w:rPr>
        <w:t xml:space="preserve"> </w:t>
      </w:r>
      <w:r>
        <w:rPr>
          <w:rFonts w:ascii="inherit" w:hAnsi="inherit"/>
          <w:sz w:val="17"/>
        </w:rPr>
        <w:t>Hedges</w:t>
      </w:r>
      <w:r>
        <w:rPr>
          <w:rFonts w:ascii="inherit" w:hAnsi="inherit"/>
          <w:color w:val="252525"/>
          <w:sz w:val="17"/>
        </w:rPr>
        <w:t>, the aggregate amount of cash we will receive from the Option Counterparties will cover the aggregate amount of cash that we would be required to pay to the holders of the converted 2019 Convertible Notes, less the principal amount thereof.</w:t>
      </w:r>
    </w:p>
    <w:p>
      <w:pPr>
        <w:pStyle w:val="TextBody"/>
        <w:spacing w:lineRule="auto" w:line="288" w:before="0" w:after="0"/>
        <w:jc w:val="left"/>
        <w:rPr>
          <w:rFonts w:ascii="inherit" w:hAnsi="inherit"/>
          <w:i/>
          <w:color w:val="252525"/>
          <w:sz w:val="17"/>
        </w:rPr>
      </w:pPr>
      <w:r>
        <w:rPr>
          <w:rFonts w:ascii="inherit" w:hAnsi="inherit"/>
          <w:i/>
          <w:color w:val="252525"/>
          <w:sz w:val="17"/>
        </w:rPr>
        <w:t>2019 Convertible Notes Warrants</w:t>
      </w:r>
    </w:p>
    <w:p>
      <w:pPr>
        <w:pStyle w:val="TextBody"/>
        <w:spacing w:lineRule="auto" w:line="288" w:before="0" w:after="0"/>
        <w:jc w:val="left"/>
        <w:rPr>
          <w:sz w:val="17"/>
        </w:rPr>
      </w:pPr>
      <w:r>
        <w:rPr>
          <w:rFonts w:ascii="inherit" w:hAnsi="inherit"/>
          <w:sz w:val="17"/>
        </w:rPr>
        <w:t>In connection with the issuance of the 2019 Convertible Notes, we also sold net-share-settled warrants (the “2019 Convertible Notes Warrants”) in privately negotiated transactions with the Option Counterparties. The 2019 Convertible Notes Warrants allow for the purchase of up to approximately 12.1 million</w:t>
      </w:r>
      <w:r>
        <w:rPr>
          <w:sz w:val="17"/>
        </w:rPr>
        <w:t> </w:t>
      </w:r>
      <w:r>
        <w:rPr>
          <w:rFonts w:ascii="inherit" w:hAnsi="inherit"/>
          <w:sz w:val="17"/>
        </w:rPr>
        <w:t>shares of our Class A Common Stock at a strike price of $20.83</w:t>
      </w:r>
      <w:r>
        <w:rPr>
          <w:sz w:val="17"/>
        </w:rPr>
        <w:t> </w:t>
      </w:r>
      <w:r>
        <w:rPr>
          <w:rFonts w:ascii="inherit" w:hAnsi="inherit"/>
          <w:sz w:val="17"/>
        </w:rPr>
        <w:t>per share. We account for the Class A Common Stock issuable upon exercise under the treasury stock method. As a result of the 2019 Convertible Notes Warrants and related transactions, we are required to recognize incremental dilution of our earnings per share to the extent our average share price is over $20.83</w:t>
      </w:r>
      <w:r>
        <w:rPr>
          <w:sz w:val="17"/>
        </w:rPr>
        <w:t> </w:t>
      </w:r>
      <w:r>
        <w:rPr>
          <w:rFonts w:ascii="inherit" w:hAnsi="inherit"/>
          <w:sz w:val="17"/>
        </w:rPr>
        <w:t>for any fiscal quarter. The 2019 Convertible Notes Warrants expire on various dates from September 2019 through February 2020 and must be settled in net shares of our Class A Common Stock.</w:t>
      </w:r>
    </w:p>
    <w:p>
      <w:pPr>
        <w:pStyle w:val="TextBody"/>
        <w:spacing w:lineRule="auto" w:line="288" w:before="0" w:after="0"/>
        <w:rPr>
          <w:sz w:val="17"/>
        </w:rPr>
      </w:pPr>
      <w:bookmarkStart w:id="18" w:name="s983DC79439ED59C584AA478C7A750E4E"/>
      <w:bookmarkEnd w:id="18"/>
      <w:r>
        <w:rPr>
          <w:rFonts w:ascii="inherit" w:hAnsi="inherit"/>
          <w:b/>
          <w:sz w:val="17"/>
        </w:rPr>
        <w:t>NOTE 7: STOCK COMPENSATION</w:t>
      </w:r>
      <w:r>
        <w:rPr>
          <w:sz w:val="17"/>
        </w:rPr>
        <w:t xml:space="preserve"> </w:t>
      </w:r>
    </w:p>
    <w:p>
      <w:pPr>
        <w:pStyle w:val="TextBody"/>
        <w:spacing w:lineRule="auto" w:line="288" w:before="0" w:after="0"/>
        <w:jc w:val="left"/>
        <w:rPr>
          <w:sz w:val="17"/>
        </w:rPr>
      </w:pPr>
      <w:r>
        <w:rPr>
          <w:rFonts w:ascii="inherit" w:hAnsi="inherit"/>
          <w:sz w:val="17"/>
        </w:rPr>
        <w:t>On May 1, 2010 our Board of Directors approved the adoption of the EZCORP, Inc. 2010 Long-Term Incentive Plan (the “2010 Plan”). As of September 30, 2017, the 2010 Plan permitted grants of options, restricted stock awards and stock appreciation rights covering up to 3,985,649</w:t>
      </w:r>
      <w:r>
        <w:rPr>
          <w:sz w:val="17"/>
        </w:rPr>
        <w:t xml:space="preserve"> </w:t>
      </w:r>
      <w:r>
        <w:rPr>
          <w:rFonts w:ascii="inherit" w:hAnsi="inherit"/>
          <w:sz w:val="17"/>
        </w:rPr>
        <w:t>shares of our Class A Common Stock. In December 2017, the Board of Directors and the voting stockholder approved the addition of 1,100,000</w:t>
      </w:r>
      <w:r>
        <w:rPr>
          <w:sz w:val="17"/>
        </w:rPr>
        <w:t xml:space="preserve"> </w:t>
      </w:r>
      <w:r>
        <w:rPr>
          <w:rFonts w:ascii="inherit" w:hAnsi="inherit"/>
          <w:sz w:val="17"/>
        </w:rPr>
        <w:t>shares to the 2010 Plan.</w:t>
      </w:r>
    </w:p>
    <w:p>
      <w:pPr>
        <w:pStyle w:val="TextBody"/>
        <w:spacing w:lineRule="auto" w:line="288" w:before="0" w:after="0"/>
        <w:jc w:val="left"/>
        <w:rPr>
          <w:sz w:val="17"/>
        </w:rPr>
      </w:pPr>
      <w:r>
        <w:rPr>
          <w:rFonts w:ascii="inherit" w:hAnsi="inherit"/>
          <w:sz w:val="17"/>
        </w:rPr>
        <w:t>In December 2017, we granted 1,308,533</w:t>
      </w:r>
      <w:r>
        <w:rPr>
          <w:sz w:val="17"/>
        </w:rPr>
        <w:t xml:space="preserve"> </w:t>
      </w:r>
      <w:r>
        <w:rPr>
          <w:rFonts w:ascii="inherit" w:hAnsi="inherit"/>
          <w:sz w:val="17"/>
        </w:rPr>
        <w:t>restricted stock unit awards to employees and 84,250</w:t>
      </w:r>
      <w:r>
        <w:rPr>
          <w:sz w:val="17"/>
        </w:rPr>
        <w:t xml:space="preserve"> </w:t>
      </w:r>
      <w:r>
        <w:rPr>
          <w:rFonts w:ascii="inherit" w:hAnsi="inherit"/>
          <w:sz w:val="17"/>
        </w:rPr>
        <w:t>restricted stock awards to non-employee directors with a grant date fair value of primarily $9.75</w:t>
      </w:r>
      <w:r>
        <w:rPr>
          <w:sz w:val="17"/>
        </w:rPr>
        <w:t xml:space="preserve"> </w:t>
      </w:r>
      <w:r>
        <w:rPr>
          <w:rFonts w:ascii="inherit" w:hAnsi="inherit"/>
          <w:sz w:val="17"/>
        </w:rPr>
        <w:t>per share. Our long-term incentive awards are generally granted based on our share price as of October 1 each year, which was $9.50</w:t>
      </w:r>
      <w:r>
        <w:rPr>
          <w:sz w:val="17"/>
        </w:rPr>
        <w:t xml:space="preserve"> </w:t>
      </w:r>
      <w:r>
        <w:rPr>
          <w:rFonts w:ascii="inherit" w:hAnsi="inherit"/>
          <w:sz w:val="17"/>
        </w:rPr>
        <w:t>for these fiscal 2018 awards. For the awards granted to employees, 190,725</w:t>
      </w:r>
      <w:r>
        <w:rPr>
          <w:sz w:val="17"/>
        </w:rPr>
        <w:t xml:space="preserve"> </w:t>
      </w:r>
      <w:r>
        <w:rPr>
          <w:rFonts w:ascii="inherit" w:hAnsi="inherit"/>
          <w:sz w:val="17"/>
        </w:rPr>
        <w:t>vest on September 30, 2018 and 1,117,808</w:t>
      </w:r>
      <w:r>
        <w:rPr>
          <w:sz w:val="17"/>
        </w:rPr>
        <w:t xml:space="preserve"> </w:t>
      </w:r>
      <w:r>
        <w:rPr>
          <w:rFonts w:ascii="inherit" w:hAnsi="inherit"/>
          <w:sz w:val="17"/>
        </w:rPr>
        <w:t>vest on September 30, 2020, subject to the achievement of certain earnings before interest, taxes, depreciation and amortization ("EBITDA") performance targets. As of March 31, 2018, we considered the achievement of these performance targets probable. The awards granted to non-employee directors vest on September 30, 2018 and are subject only to service conditions.</w:t>
      </w:r>
    </w:p>
    <w:p>
      <w:pPr>
        <w:pStyle w:val="TextBody"/>
        <w:spacing w:lineRule="auto" w:line="288" w:before="0" w:after="0"/>
        <w:rPr>
          <w:sz w:val="17"/>
        </w:rPr>
      </w:pPr>
      <w:bookmarkStart w:id="19" w:name="sA54B359079C15B43A9C65B3E013CEC57"/>
      <w:bookmarkEnd w:id="19"/>
      <w:r>
        <w:rPr>
          <w:rFonts w:ascii="inherit" w:hAnsi="inherit"/>
          <w:b/>
          <w:sz w:val="17"/>
        </w:rPr>
        <w:t>NOTE 8: CONTINGENCIES</w:t>
      </w:r>
      <w:r>
        <w:rPr>
          <w:sz w:val="17"/>
        </w:rPr>
        <w:t xml:space="preserve"> </w:t>
      </w:r>
    </w:p>
    <w:p>
      <w:pPr>
        <w:pStyle w:val="TextBody"/>
        <w:spacing w:lineRule="auto" w:line="288" w:before="0" w:after="0"/>
        <w:jc w:val="left"/>
        <w:rPr>
          <w:sz w:val="17"/>
        </w:rPr>
      </w:pPr>
      <w:r>
        <w:rPr>
          <w:rFonts w:ascii="inherit" w:hAnsi="inherit"/>
          <w:sz w:val="17"/>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Except as noted below, we have not recorded a liability for any of these matters as of March 31, 2018</w:t>
      </w:r>
      <w:r>
        <w:rPr>
          <w:sz w:val="17"/>
        </w:rPr>
        <w:t xml:space="preserve"> </w:t>
      </w:r>
      <w:r>
        <w:rPr>
          <w:rFonts w:ascii="inherit" w:hAnsi="inherit"/>
          <w:sz w:val="17"/>
        </w:rPr>
        <w:t>because we do not believe at this time that any loss is probable or that the amount of any probable loss can be reasonably estimated. The following is a description of significant proceedings.</w:t>
      </w:r>
    </w:p>
    <w:p>
      <w:pPr>
        <w:pStyle w:val="TextBody"/>
        <w:spacing w:lineRule="auto" w:line="288" w:before="0" w:after="0"/>
        <w:jc w:val="left"/>
        <w:rPr>
          <w:sz w:val="17"/>
        </w:rPr>
      </w:pPr>
      <w:r>
        <w:rPr>
          <w:rFonts w:ascii="inherit" w:hAnsi="inherit"/>
          <w:i/>
          <w:sz w:val="17"/>
        </w:rPr>
        <w:t>Shareholder derivative litigation</w:t>
      </w:r>
      <w:r>
        <w:rPr>
          <w:sz w:val="17"/>
        </w:rPr>
        <w:t xml:space="preserve"> — </w:t>
      </w:r>
      <w:r>
        <w:rPr>
          <w:rFonts w:ascii="inherit" w:hAnsi="inherit"/>
          <w:sz w:val="17"/>
        </w:rPr>
        <w:t>On July 28, 2014, Lawrence Treppel, a purported holder of Class A Common Stock, filed a derivative action in the Court of Chancery of the State of Delaware styled </w:t>
      </w:r>
      <w:r>
        <w:rPr>
          <w:rFonts w:ascii="inherit" w:hAnsi="inherit"/>
          <w:i/>
          <w:sz w:val="17"/>
        </w:rPr>
        <w:t>Treppel v. Cohen, et al.</w:t>
      </w:r>
      <w:r>
        <w:rPr>
          <w:sz w:val="17"/>
        </w:rPr>
        <w:t> </w:t>
      </w:r>
      <w:r>
        <w:rPr>
          <w:rFonts w:ascii="inherit" w:hAnsi="inherit"/>
          <w:sz w:val="17"/>
        </w:rPr>
        <w:t>(C.A.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w:t>
      </w:r>
      <w:r>
        <w:rPr>
          <w:sz w:val="17"/>
        </w:rPr>
        <w:t xml:space="preserve"> </w:t>
      </w:r>
      <w:r>
        <w:rPr>
          <w:rFonts w:ascii="inherit" w:hAnsi="inherit"/>
          <w:sz w:val="17"/>
        </w:rPr>
        <w:t>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Claims against the current and former Board members for breach of fiduciary duties and waste of corporate assets in connection with the Board’s decision to enter into advisory services agreements with Madison Park from October 2004 to June 2014 (Counts I and II, respectively);</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Claims against Mr. Cohen and MS Pawn Limited Partnership for aiding and abetting the breaches of fiduciary duties relating to the advisory services agreements with Madison Park (Count III); and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Claims against Mr. Cohen and Madison Park for unjust enrichment for payments under the advisory services agreements (Count IV).</w:t>
            </w:r>
          </w:p>
        </w:tc>
      </w:tr>
    </w:tbl>
    <w:p>
      <w:pPr>
        <w:pStyle w:val="TextBody"/>
        <w:spacing w:lineRule="auto" w:line="288" w:before="0" w:after="0"/>
        <w:rPr>
          <w:rFonts w:ascii="inherit" w:hAnsi="inherit"/>
          <w:sz w:val="17"/>
        </w:rPr>
      </w:pPr>
      <w:r>
        <w:rPr>
          <w:rFonts w:ascii="inherit" w:hAnsi="inherit"/>
          <w:sz w:val="17"/>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pStyle w:val="TextBody"/>
        <w:spacing w:lineRule="auto" w:line="288" w:before="0" w:after="0"/>
        <w:rPr>
          <w:rFonts w:ascii="inherit" w:hAnsi="inherit"/>
          <w:sz w:val="17"/>
        </w:rPr>
      </w:pPr>
      <w:r>
        <w:rPr>
          <w:rFonts w:ascii="inherit" w:hAnsi="inherit"/>
          <w:sz w:val="17"/>
        </w:rPr>
        <w:t>On November 13, 2014, pursuant to the parties’ stipulation, the Court dismissed the action as to Mr. Brinkley, Mr. Rothamel and Mr. Lagos.</w:t>
      </w:r>
    </w:p>
    <w:p>
      <w:pPr>
        <w:pStyle w:val="TextBody"/>
        <w:spacing w:lineRule="auto" w:line="288" w:before="0" w:after="0"/>
        <w:rPr>
          <w:rFonts w:ascii="inherit" w:hAnsi="inherit"/>
          <w:sz w:val="17"/>
        </w:rPr>
      </w:pPr>
      <w:r>
        <w:rPr>
          <w:rFonts w:ascii="inherit" w:hAnsi="inherit"/>
          <w:sz w:val="17"/>
        </w:rPr>
        <w:t>The remaining defendants filed motions to dismiss, and a hearing on those motions was held before the Court on September 8, 2015. Prior to that hearing, the plaintiff proposed a dismissal without prejudice for the claims against Mr. Beal, Mr. Love and Mr. Farrell. Those defendants continued to seek a dismissal with prejudice that would bind all potential plaintiffs. On January 15, 2016, the Court issued an opinion dismissing the action as to Mr. Beal, Mr. Love and Mr. Farrell with prejudice only as to the plaintiff.</w:t>
      </w:r>
    </w:p>
    <w:p>
      <w:pPr>
        <w:pStyle w:val="TextBody"/>
        <w:spacing w:lineRule="auto" w:line="288" w:before="0" w:after="0"/>
        <w:rPr>
          <w:rFonts w:ascii="inherit" w:hAnsi="inherit"/>
          <w:sz w:val="17"/>
        </w:rPr>
      </w:pPr>
      <w:r>
        <w:rPr>
          <w:rFonts w:ascii="inherit" w:hAnsi="inherit"/>
          <w:sz w:val="17"/>
        </w:rPr>
        <w:t>On January 25, 2016, the Court issued a separate opinion granting in part and denying in part the motions to dismiss filed by the remaining defendants. Specifically, the Court granted the motion to dismiss Count IV (unjust enrichment) for failure to state a claim. The Court also dismissed Count III (aiding and abetting) as to Mr. Cohen, but interpreted Count I (breach of fiduciary duty) to state a claim against Mr. Cohen and MS Pawn, as well as Mr. Roberts. The Court otherwise denied the motions to dismiss, including the motion to dismiss Count III (aiding and abetting) against MS Pawn.</w:t>
      </w:r>
    </w:p>
    <w:p>
      <w:pPr>
        <w:pStyle w:val="TextBody"/>
        <w:spacing w:lineRule="auto" w:line="288" w:before="0" w:after="0"/>
        <w:rPr>
          <w:rFonts w:ascii="inherit" w:hAnsi="inherit"/>
          <w:sz w:val="17"/>
        </w:rPr>
      </w:pPr>
      <w:r>
        <w:rPr>
          <w:rFonts w:ascii="inherit" w:hAnsi="inherit"/>
          <w:sz w:val="17"/>
        </w:rPr>
        <w:t>On February 4, 2016, the remaining defendants filed an Application for Certification of Interlocutory Appeal, which the plaintiff opposed on February 15, 2016, and the Court set a hearing on the application. On February 22, 2016, the Court denied the Application for Certification of Interlocutory Appeal and provided the plaintiff the opportunity to amend its complaint to add a fiduciary-duty claim as to Mr. Cohen and Madison Park, staying proceedings pending a ruling from the Delaware Supreme Court. After the Application for Certification of Interlocutory Appeal was denied, Mr. Roberts, MS Pawn Corporation and MS Pawn Limited Partnership filed notices of appeal from the interlocutory opinion and order denying the motions to dismiss. On March 10, 2016, the Delaware Supreme Court denied those petitions for an interlocutory appeal. On March 4, 2016, the plaintiff filed a Second Amended Derivative Complaint against Mr. Roberts, Mr. Cohen, Madison Park, MS Pawn Corporation and MS Pawn Limited Partnership with EZCORP, Inc., as nominal defendant.</w:t>
      </w:r>
    </w:p>
    <w:p>
      <w:pPr>
        <w:pStyle w:val="TextBody"/>
        <w:spacing w:lineRule="auto" w:line="288" w:before="0" w:after="0"/>
        <w:rPr>
          <w:sz w:val="17"/>
        </w:rPr>
      </w:pPr>
      <w:r>
        <w:rPr>
          <w:rFonts w:ascii="inherit" w:hAnsi="inherit"/>
          <w:sz w:val="17"/>
        </w:rPr>
        <w:t>On August 23, 2017, the parties agreed to a mediated settlement of all remaining claims and entered into a Memorandum of Understanding regarding that settlement. Under the terms of the proposed settlement, a settlement payment of $6.5 million, less attorney fees awarded to the plaintiff’s counsel and administrative costs of settlement, will be paid to the Company. Of such amount, $5.5 million</w:t>
      </w:r>
      <w:r>
        <w:rPr>
          <w:sz w:val="17"/>
        </w:rPr>
        <w:t xml:space="preserve"> </w:t>
      </w:r>
      <w:r>
        <w:rPr>
          <w:rFonts w:ascii="inherit" w:hAnsi="inherit"/>
          <w:sz w:val="17"/>
        </w:rPr>
        <w:t>will be funded by the Company’s insurance carriers and $1.0 million</w:t>
      </w:r>
      <w:r>
        <w:rPr>
          <w:sz w:val="17"/>
        </w:rPr>
        <w:t xml:space="preserve"> </w:t>
      </w:r>
      <w:r>
        <w:rPr>
          <w:rFonts w:ascii="inherit" w:hAnsi="inherit"/>
          <w:sz w:val="17"/>
        </w:rPr>
        <w:t>will be funded by Madison Park LLC. After the completion of confirmatory discovery, the parties agreed to a Stipulation and Agreement of Settlement, Compromise and Release and other settlement papers, which were filed with the Court on January 11, 2018.</w:t>
      </w:r>
    </w:p>
    <w:p>
      <w:pPr>
        <w:pStyle w:val="TextBody"/>
        <w:spacing w:lineRule="auto" w:line="288" w:before="0" w:after="0"/>
        <w:rPr>
          <w:sz w:val="17"/>
        </w:rPr>
      </w:pPr>
      <w:r>
        <w:rPr>
          <w:rFonts w:ascii="inherit" w:hAnsi="inherit"/>
          <w:sz w:val="17"/>
        </w:rPr>
        <w:t>On April 3, 2018, the Court approved the proposed settlement as presented, as well as a fee award of $1.3 million</w:t>
      </w:r>
      <w:r>
        <w:rPr>
          <w:sz w:val="17"/>
        </w:rPr>
        <w:t xml:space="preserve"> </w:t>
      </w:r>
      <w:r>
        <w:rPr>
          <w:rFonts w:ascii="inherit" w:hAnsi="inherit"/>
          <w:sz w:val="17"/>
        </w:rPr>
        <w:t>to the plaintiff’s attorneys, and entered a final and binding judgment to that effect, dismissing the action with prejudice. That judgment will be effective 30</w:t>
      </w:r>
      <w:r>
        <w:rPr>
          <w:sz w:val="17"/>
        </w:rPr>
        <w:t xml:space="preserve"> </w:t>
      </w:r>
      <w:r>
        <w:rPr>
          <w:rFonts w:ascii="inherit" w:hAnsi="inherit"/>
          <w:sz w:val="17"/>
        </w:rPr>
        <w:t>days after its entry, and the settlement fund will be funded 30</w:t>
      </w:r>
      <w:r>
        <w:rPr>
          <w:sz w:val="17"/>
        </w:rPr>
        <w:t xml:space="preserve"> </w:t>
      </w:r>
      <w:r>
        <w:rPr>
          <w:rFonts w:ascii="inherit" w:hAnsi="inherit"/>
          <w:sz w:val="17"/>
        </w:rPr>
        <w:t>business days after that. After payment of the approved fee to the plaintiff's attorneys, the balance of the settlement fund (estimated to be $5.1 million) will be paid to the Company. That gain contingency has not yet been recorded in the Company's financial statements, pending final resolution.</w:t>
      </w:r>
    </w:p>
    <w:p>
      <w:pPr>
        <w:pStyle w:val="TextBody"/>
        <w:spacing w:lineRule="auto" w:line="288" w:before="0" w:after="0"/>
        <w:rPr>
          <w:sz w:val="17"/>
        </w:rPr>
      </w:pPr>
      <w:r>
        <w:rPr>
          <w:rFonts w:ascii="inherit" w:hAnsi="inherit"/>
          <w:i/>
          <w:sz w:val="17"/>
        </w:rPr>
        <w:t xml:space="preserve">Federal Securities Litigation (WDT) </w:t>
      </w:r>
      <w:r>
        <w:rPr>
          <w:sz w:val="17"/>
        </w:rPr>
        <w:t xml:space="preserve">— </w:t>
      </w:r>
      <w:r>
        <w:rPr>
          <w:rFonts w:ascii="inherit" w:hAnsi="inherit"/>
          <w:sz w:val="17"/>
        </w:rPr>
        <w:t>On July 20, 2015, Wu Winfred Huang, a purported holder of Class A Common Stock, for himself and on behalf of other similarly situated holders of Class A Common Stock, filed a lawsuit in the United States District Court for the Western District of Texas styled </w:t>
      </w:r>
      <w:r>
        <w:rPr>
          <w:rFonts w:ascii="inherit" w:hAnsi="inherit"/>
          <w:i/>
          <w:sz w:val="17"/>
        </w:rPr>
        <w:t>Huang v. EZCORP, Inc., et al.</w:t>
      </w:r>
      <w:r>
        <w:rPr>
          <w:sz w:val="17"/>
        </w:rPr>
        <w:t> </w:t>
      </w:r>
      <w:r>
        <w:rPr>
          <w:rFonts w:ascii="inherit" w:hAnsi="inherit"/>
          <w:sz w:val="17"/>
        </w:rPr>
        <w:t xml:space="preserve">(Case No. 1:15-cv-00608-SS). The complaint names as defendants EZCORP, Inc., Stuart I. Grimshaw (our chief executive officer) and 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materially false or misleading statements concerning the Company, its finances, business operations and prospects and that the Company misrepresented the financial performance of the Grupo Finmart business.</w:t>
      </w:r>
    </w:p>
    <w:p>
      <w:pPr>
        <w:pStyle w:val="TextBody"/>
        <w:spacing w:lineRule="auto" w:line="288" w:before="0" w:after="0"/>
        <w:rPr>
          <w:sz w:val="17"/>
        </w:rPr>
      </w:pPr>
      <w:r>
        <w:rPr>
          <w:rFonts w:ascii="inherit" w:hAnsi="inherit"/>
          <w:sz w:val="17"/>
        </w:rPr>
        <w:t>On August 14, 2015, a substantially identical lawsuit, styled </w:t>
      </w:r>
      <w:r>
        <w:rPr>
          <w:rFonts w:ascii="inherit" w:hAnsi="inherit"/>
          <w:i/>
          <w:sz w:val="17"/>
        </w:rPr>
        <w:t>Rooney v. EZCORP, Inc., et al.</w:t>
      </w:r>
      <w:r>
        <w:rPr>
          <w:sz w:val="17"/>
        </w:rPr>
        <w:t> </w:t>
      </w:r>
      <w:r>
        <w:rPr>
          <w:rFonts w:ascii="inherit" w:hAnsi="inherit"/>
          <w:sz w:val="17"/>
        </w:rPr>
        <w:t>(Case No. 1:15-cv-00700-SS) was also filed in the United States District Court for the Western District of Texas. On September 28, 2015, the plaintiffs in these two</w:t>
      </w:r>
      <w:r>
        <w:rPr>
          <w:sz w:val="17"/>
        </w:rPr>
        <w:t xml:space="preserve"> </w:t>
      </w:r>
      <w:r>
        <w:rPr>
          <w:rFonts w:ascii="inherit" w:hAnsi="inherit"/>
          <w:sz w:val="17"/>
        </w:rPr>
        <w:t>lawsuits filed an agreed stipulation to be appointed co-lead plaintiffs and agreed that their two actions should be consolidated. On November 3, 2015, the Court entered an order consolidating the two</w:t>
      </w:r>
      <w:r>
        <w:rPr>
          <w:sz w:val="17"/>
        </w:rPr>
        <w:t xml:space="preserve"> </w:t>
      </w:r>
      <w:r>
        <w:rPr>
          <w:rFonts w:ascii="inherit" w:hAnsi="inherit"/>
          <w:sz w:val="17"/>
        </w:rPr>
        <w:t>actions under the caption </w:t>
      </w:r>
      <w:r>
        <w:rPr>
          <w:rFonts w:ascii="inherit" w:hAnsi="inherit"/>
          <w:i/>
          <w:sz w:val="17"/>
        </w:rPr>
        <w:t>In re EZCORP, Inc. Securities Litigation </w:t>
      </w:r>
      <w:r>
        <w:rPr>
          <w:rFonts w:ascii="inherit" w:hAnsi="inherit"/>
          <w:sz w:val="17"/>
        </w:rPr>
        <w:t>(Master File No. 1:15-cv-00608-SS), and appointed the two</w:t>
      </w:r>
      <w:r>
        <w:rPr>
          <w:sz w:val="17"/>
        </w:rPr>
        <w:t xml:space="preserve"> </w:t>
      </w:r>
      <w:r>
        <w:rPr>
          <w:rFonts w:ascii="inherit" w:hAnsi="inherit"/>
          <w:sz w:val="17"/>
        </w:rPr>
        <w:t>plaintiffs as co-lead plaintiffs, with their respective counsel appointed as co-lead counsel.</w:t>
      </w:r>
    </w:p>
    <w:p>
      <w:pPr>
        <w:pStyle w:val="TextBody"/>
        <w:spacing w:lineRule="auto" w:line="288" w:before="0" w:after="0"/>
        <w:rPr>
          <w:rFonts w:ascii="inherit" w:hAnsi="inherit"/>
          <w:sz w:val="17"/>
        </w:rPr>
      </w:pPr>
      <w:r>
        <w:rPr>
          <w:rFonts w:ascii="inherit" w:hAnsi="inherit"/>
          <w:sz w:val="17"/>
        </w:rPr>
        <w:t>On January 11, 2016, the plaintiffs filed an Amended Class Action Complaint (the "Amended Complaint"). In the Amended Complaint, the plaintiffs seek to represent a class of purchasers of our Class A Common Stock between November 6, 2012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On February 25, 2016, defendants filed a motion to dismiss the lawsuit. The plaintiff filed an opposition to the motion to dismiss on April 11, 2016, and the defendants filed their reply on May 11, 2016. The Court held a hearing on the motion to dismiss on June 22, 2016.</w:t>
      </w:r>
    </w:p>
    <w:p>
      <w:pPr>
        <w:pStyle w:val="TextBody"/>
        <w:spacing w:lineRule="auto" w:line="288" w:before="0" w:after="0"/>
        <w:rPr>
          <w:sz w:val="17"/>
        </w:rPr>
      </w:pPr>
      <w:r>
        <w:rPr>
          <w:rFonts w:ascii="inherit" w:hAnsi="inherit"/>
          <w:sz w:val="17"/>
        </w:rPr>
        <w:t>On October 18, 2016, the Court granted the defendants’ motion to dismiss and dismissed the Amended Complaint without prejudice. The Court gave the plaintiffs 20</w:t>
      </w:r>
      <w:r>
        <w:rPr>
          <w:sz w:val="17"/>
        </w:rPr>
        <w:t xml:space="preserve"> </w:t>
      </w:r>
      <w:r>
        <w:rPr>
          <w:rFonts w:ascii="inherit" w:hAnsi="inherit"/>
          <w:sz w:val="17"/>
        </w:rPr>
        <w:t>days (until November 7, 2016) to file a further amended complaint. On November 4, 2016, the plaintiffs filed a Second Amended Consolidated Class Action Complaint (“Second Amended Complaint”). The Second Amended Complaint raises the same claims dismissed by the Court on October 18, 2016, except plaintiffs now seek to represent a class of purchasers of EZCORP’s Class A Common Stock between November 7, 2013 and October 20, 2015 (instead of between November 6, 2012 and October 20, 2015). On December 5, 2016, defendants filed a motion to dismiss the Second Amended Compliant. The plaintiffs filed their opposition to the motion to dismiss on January 6, 2017, and the defendants filed their reply brief on January 20, 2017.</w:t>
      </w:r>
    </w:p>
    <w:p>
      <w:pPr>
        <w:pStyle w:val="TextBody"/>
        <w:spacing w:lineRule="auto" w:line="288" w:before="0" w:after="0"/>
        <w:jc w:val="left"/>
        <w:rPr>
          <w:rFonts w:ascii="inherit" w:hAnsi="inherit"/>
          <w:sz w:val="17"/>
        </w:rPr>
      </w:pPr>
      <w:r>
        <w:rPr>
          <w:rFonts w:ascii="inherit" w:hAnsi="inherit"/>
          <w:sz w:val="17"/>
        </w:rPr>
        <w:t>On May 8, 2017, the Court granted the defendants’ motion to dismiss with regard to claims related to accounting errors relating to Grupo Finmart’s bad debt reserve calculations for “nonperforming” loans, but denied the motion to dismiss with regard to claims relating to accounting errors related to certain sales of loan portfolios to third parties. The case is now in the discovery stage.</w:t>
      </w:r>
    </w:p>
    <w:p>
      <w:pPr>
        <w:pStyle w:val="TextBody"/>
        <w:spacing w:lineRule="auto" w:line="288" w:before="0" w:after="0"/>
        <w:jc w:val="left"/>
        <w:rPr>
          <w:rFonts w:ascii="inherit" w:hAnsi="inherit"/>
          <w:sz w:val="17"/>
        </w:rPr>
      </w:pPr>
      <w:r>
        <w:rPr>
          <w:rFonts w:ascii="inherit" w:hAnsi="inherit"/>
          <w:sz w:val="17"/>
        </w:rPr>
        <w:t>The plaintiff has filed a Motion for Class Certification and Appointment of Class Representative and Class Counsel. We have opposed that motion and on March 16, 2018 submitted a brief supporting our opposition. The plaintiff's class certification motion is currently pending before the Court. We cannot predict the outcome of the litigation, but we intend to continue to defend vigorously against all allegations and claims.</w:t>
      </w:r>
    </w:p>
    <w:p>
      <w:pPr>
        <w:pStyle w:val="TextBody"/>
        <w:spacing w:lineRule="auto" w:line="288" w:before="0" w:after="0"/>
        <w:rPr>
          <w:sz w:val="17"/>
        </w:rPr>
      </w:pPr>
      <w:r>
        <w:rPr>
          <w:rFonts w:ascii="inherit" w:hAnsi="inherit"/>
          <w:i/>
          <w:sz w:val="17"/>
        </w:rPr>
        <w:t xml:space="preserve">SEC Investigation </w:t>
      </w:r>
      <w:r>
        <w:rPr>
          <w:sz w:val="17"/>
        </w:rPr>
        <w:t xml:space="preserve">— </w:t>
      </w:r>
      <w:r>
        <w:rPr>
          <w:rFonts w:ascii="inherit" w:hAnsi="inherit"/>
          <w:sz w:val="17"/>
        </w:rPr>
        <w:t>On October 23, 2014, we received a notice from the Fort Worth Regional Office of the SEC that it was conducting an investigation into 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rPr/>
      </w:pPr>
      <w:hyperlink w:anchor="sA33FD6028AA25395924ED4406F429385">
        <w:bookmarkStart w:id="20" w:name="sA203689A62D45F6A9516118D03699F9B"/>
        <w:bookmarkEnd w:id="20"/>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sz w:val="17"/>
        </w:rPr>
      </w:pPr>
      <w:r>
        <w:rPr>
          <w:rFonts w:ascii="inherit" w:hAnsi="inherit"/>
          <w:b/>
          <w:sz w:val="17"/>
        </w:rPr>
        <w:t>NOTE 9: SEGMENT INFORMATION</w:t>
      </w:r>
      <w:r>
        <w:rPr>
          <w:sz w:val="17"/>
        </w:rPr>
        <w:t xml:space="preserve"> </w:t>
      </w:r>
    </w:p>
    <w:p>
      <w:pPr>
        <w:pStyle w:val="TextBody"/>
        <w:spacing w:lineRule="auto" w:line="288" w:before="0" w:after="0"/>
        <w:rPr>
          <w:rFonts w:ascii="inherit" w:hAnsi="inherit"/>
          <w:sz w:val="17"/>
        </w:rPr>
      </w:pPr>
      <w:r>
        <w:rPr>
          <w:rFonts w:ascii="inherit" w:hAnsi="inherit"/>
          <w:sz w:val="17"/>
        </w:rPr>
        <w:t xml:space="preserve">Following the acquisition of GPMX during the first quarter of fiscal 2018 (see Note 2), we have retitled our Mexico Pawn segment to "Latin America Pawn" and have combined the results of GPMX with the results of our Mexico pawn business, as we expect the financial performance and economic characteristics of those businesses to be similar over the long-term. Segment information is prepared on the same basis that our chief operating decision maker reviews financial information for operational decision-making purposes. As a result, we currently report our segments as follows: U.S. Pawn — all pawn activities in the United States; Latin America Pawn — all pawn activities in Mexico and other parts of Latin America; and Other International — primarily our equity interest in the net income of Cash Converters International and consumer finance activities in Canada. There are no inter-segment revenues, and the amounts below were determined in accordance with the same accounting principles used in our consolidated financial statements. </w:t>
      </w:r>
    </w:p>
    <w:tbl>
      <w:tblPr>
        <w:tblW w:w="10205" w:type="dxa"/>
        <w:jc w:val="left"/>
        <w:tblInd w:w="0" w:type="dxa"/>
        <w:tblCellMar>
          <w:top w:w="0" w:type="dxa"/>
          <w:left w:w="0" w:type="dxa"/>
          <w:bottom w:w="0" w:type="dxa"/>
          <w:right w:w="0" w:type="dxa"/>
        </w:tblCellMar>
      </w:tblPr>
      <w:tblGrid>
        <w:gridCol w:w="3251"/>
        <w:gridCol w:w="128"/>
        <w:gridCol w:w="607"/>
        <w:gridCol w:w="30"/>
        <w:gridCol w:w="90"/>
        <w:gridCol w:w="183"/>
        <w:gridCol w:w="867"/>
        <w:gridCol w:w="161"/>
        <w:gridCol w:w="90"/>
        <w:gridCol w:w="218"/>
        <w:gridCol w:w="584"/>
        <w:gridCol w:w="193"/>
        <w:gridCol w:w="90"/>
        <w:gridCol w:w="144"/>
        <w:gridCol w:w="803"/>
        <w:gridCol w:w="126"/>
        <w:gridCol w:w="90"/>
        <w:gridCol w:w="152"/>
        <w:gridCol w:w="793"/>
        <w:gridCol w:w="134"/>
        <w:gridCol w:w="90"/>
        <w:gridCol w:w="125"/>
        <w:gridCol w:w="695"/>
        <w:gridCol w:w="561"/>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25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51" w:type="dxa"/>
            <w:tcBorders/>
            <w:shd w:fill="auto" w:val="clear"/>
            <w:vAlign w:val="center"/>
          </w:tcPr>
          <w:p>
            <w:pPr>
              <w:pStyle w:val="TableContents"/>
              <w:spacing w:before="0" w:after="0"/>
              <w:ind w:left="0" w:right="0" w:firstLine="30"/>
              <w:jc w:val="left"/>
              <w:rPr/>
            </w:pPr>
            <w:r>
              <w:rPr/>
              <w:t> </w:t>
            </w:r>
          </w:p>
        </w:tc>
        <w:tc>
          <w:tcPr>
            <w:tcW w:w="6954"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2018</w:t>
            </w:r>
          </w:p>
        </w:tc>
      </w:tr>
      <w:tr>
        <w:trPr/>
        <w:tc>
          <w:tcPr>
            <w:tcW w:w="3251" w:type="dxa"/>
            <w:tcBorders/>
            <w:shd w:fill="auto" w:val="clear"/>
            <w:vAlign w:val="center"/>
          </w:tcPr>
          <w:p>
            <w:pPr>
              <w:pStyle w:val="TableContents"/>
              <w:spacing w:before="0" w:after="0"/>
              <w:ind w:left="0" w:right="0" w:firstLine="30"/>
              <w:rPr/>
            </w:pPr>
            <w:r>
              <w:rPr/>
              <w:t>  </w:t>
            </w:r>
          </w:p>
        </w:tc>
        <w:tc>
          <w:tcPr>
            <w:tcW w:w="7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90" w:type="dxa"/>
            <w:tcBorders/>
            <w:shd w:fill="auto" w:val="clear"/>
            <w:vAlign w:val="center"/>
          </w:tcPr>
          <w:p>
            <w:pPr>
              <w:pStyle w:val="TableContents"/>
              <w:spacing w:before="0" w:after="0"/>
              <w:ind w:left="0" w:right="0" w:firstLine="30"/>
              <w:rPr/>
            </w:pPr>
            <w:r>
              <w:rPr/>
              <w:t> </w:t>
            </w:r>
          </w:p>
        </w:tc>
        <w:tc>
          <w:tcPr>
            <w:tcW w:w="12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90" w:type="dxa"/>
            <w:tcBorders/>
            <w:shd w:fill="auto" w:val="clear"/>
            <w:vAlign w:val="center"/>
          </w:tcPr>
          <w:p>
            <w:pPr>
              <w:pStyle w:val="TableContents"/>
              <w:spacing w:before="0" w:after="0"/>
              <w:ind w:left="0" w:right="0" w:firstLine="30"/>
              <w:rPr/>
            </w:pPr>
            <w:r>
              <w:rPr/>
              <w:t> </w:t>
            </w:r>
          </w:p>
        </w:tc>
        <w:tc>
          <w:tcPr>
            <w:tcW w:w="10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Segments</w:t>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Corporate Items</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251" w:type="dxa"/>
            <w:tcBorders/>
            <w:shd w:fill="auto" w:val="clear"/>
            <w:vAlign w:val="center"/>
          </w:tcPr>
          <w:p>
            <w:pPr>
              <w:pStyle w:val="TableContents"/>
              <w:spacing w:before="0" w:after="0"/>
              <w:ind w:left="0" w:right="0" w:firstLine="30"/>
              <w:rPr/>
            </w:pPr>
            <w:r>
              <w:rPr/>
              <w:t> </w:t>
            </w:r>
          </w:p>
        </w:tc>
        <w:tc>
          <w:tcPr>
            <w:tcW w:w="7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251" w:type="dxa"/>
            <w:tcBorders/>
            <w:shd w:fill="auto" w:val="clear"/>
            <w:vAlign w:val="center"/>
          </w:tcPr>
          <w:p>
            <w:pPr>
              <w:pStyle w:val="TableContents"/>
              <w:spacing w:before="0" w:after="0"/>
              <w:ind w:left="0" w:right="0" w:firstLine="30"/>
              <w:jc w:val="left"/>
              <w:rPr/>
            </w:pPr>
            <w:r>
              <w:rPr/>
              <w:t> </w:t>
            </w:r>
          </w:p>
        </w:tc>
        <w:tc>
          <w:tcPr>
            <w:tcW w:w="6954"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7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2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07" w:type="dxa"/>
            <w:tcBorders/>
            <w:shd w:fill="auto" w:val="clear"/>
            <w:vAlign w:val="center"/>
          </w:tcPr>
          <w:p>
            <w:pPr>
              <w:pStyle w:val="TableContents"/>
              <w:spacing w:before="0" w:after="0"/>
              <w:jc w:val="right"/>
              <w:rPr>
                <w:rFonts w:ascii="inherit" w:hAnsi="inherit"/>
                <w:sz w:val="17"/>
              </w:rPr>
            </w:pPr>
            <w:r>
              <w:rPr>
                <w:rFonts w:ascii="inherit" w:hAnsi="inherit"/>
                <w:sz w:val="17"/>
              </w:rPr>
              <w:t>94,753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67" w:type="dxa"/>
            <w:tcBorders/>
            <w:shd w:fill="auto" w:val="clear"/>
            <w:vAlign w:val="center"/>
          </w:tcPr>
          <w:p>
            <w:pPr>
              <w:pStyle w:val="TableContents"/>
              <w:spacing w:before="0" w:after="0"/>
              <w:jc w:val="right"/>
              <w:rPr>
                <w:rFonts w:ascii="inherit" w:hAnsi="inherit"/>
                <w:sz w:val="17"/>
              </w:rPr>
            </w:pPr>
            <w:r>
              <w:rPr>
                <w:rFonts w:ascii="inherit" w:hAnsi="inherit"/>
                <w:sz w:val="17"/>
              </w:rPr>
              <w:t>20,192</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3" w:type="dxa"/>
            <w:tcBorders/>
            <w:shd w:fill="auto" w:val="clear"/>
            <w:vAlign w:val="center"/>
          </w:tcPr>
          <w:p>
            <w:pPr>
              <w:pStyle w:val="TableContents"/>
              <w:spacing w:before="0" w:after="0"/>
              <w:jc w:val="right"/>
              <w:rPr>
                <w:rFonts w:ascii="inherit" w:hAnsi="inherit"/>
                <w:sz w:val="17"/>
              </w:rPr>
            </w:pPr>
            <w:r>
              <w:rPr>
                <w:rFonts w:ascii="inherit" w:hAnsi="inherit"/>
                <w:sz w:val="17"/>
              </w:rPr>
              <w:t>114,945</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3" w:type="dxa"/>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114,945</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7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8,177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3,348</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11,525</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pPr>
            <w:r>
              <w:rPr/>
              <w:t>—</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11,525</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59,114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15,253</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74,367</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74,367</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7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76</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174</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1,647</w:t>
            </w:r>
          </w:p>
        </w:tc>
        <w:tc>
          <w:tcPr>
            <w:tcW w:w="1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1,897</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1,897</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162,120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38,967</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1,647</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202,734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202,734</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7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58,537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13,683</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72,220</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pPr>
            <w:r>
              <w:rPr/>
              <w:t>—</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72,220</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6,512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3,062</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9,574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9,574</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cost of revenues</w:t>
            </w:r>
          </w:p>
        </w:tc>
        <w:tc>
          <w:tcPr>
            <w:tcW w:w="73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347</w:t>
            </w:r>
          </w:p>
        </w:tc>
        <w:tc>
          <w:tcPr>
            <w:tcW w:w="1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347</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347</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97,071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22,222</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1,300</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120,593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120,593</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and corporate expenses (income):</w:t>
            </w:r>
          </w:p>
        </w:tc>
        <w:tc>
          <w:tcPr>
            <w:tcW w:w="7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65,191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14,994</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1,975</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82,160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82,160</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73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13,341</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13,341</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3,531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916</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4,494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1,957</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6,451</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(gain) on sale or disposal of assets</w:t>
            </w:r>
          </w:p>
        </w:tc>
        <w:tc>
          <w:tcPr>
            <w:tcW w:w="7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73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5,827</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5,829</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73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(763</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(3,505</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(4,268</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w:t>
            </w:r>
          </w:p>
        </w:tc>
        <w:tc>
          <w:tcPr>
            <w:tcW w:w="73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(876</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(876</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51" w:type="dxa"/>
            <w:tcBorders/>
            <w:shd w:fill="CCEEFF" w:val="clear"/>
            <w:vAlign w:val="center"/>
          </w:tcPr>
          <w:p>
            <w:pPr>
              <w:pStyle w:val="TableContents"/>
              <w:spacing w:before="0" w:after="0"/>
              <w:ind w:left="0" w:right="0" w:firstLine="30"/>
              <w:rPr>
                <w:sz w:val="17"/>
              </w:rPr>
            </w:pPr>
            <w:r>
              <w:rPr>
                <w:rFonts w:ascii="inherit" w:hAnsi="inherit"/>
                <w:sz w:val="17"/>
              </w:rPr>
              <w:t>O</w:t>
            </w:r>
            <w:r>
              <w:rPr>
                <w:rFonts w:ascii="inherit" w:hAnsi="inherit"/>
                <w:sz w:val="17"/>
                <w:highlight w:val="cyan"/>
              </w:rPr>
              <w:t>ther (income) expense</w:t>
            </w:r>
          </w:p>
        </w:tc>
        <w:tc>
          <w:tcPr>
            <w:tcW w:w="7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w:t>
            </w:r>
          </w:p>
        </w:tc>
        <w:tc>
          <w:tcPr>
            <w:tcW w:w="12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w:t>
            </w:r>
          </w:p>
        </w:tc>
        <w:tc>
          <w:tcPr>
            <w:tcW w:w="1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56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contribution </w:t>
            </w:r>
          </w:p>
        </w:tc>
        <w:tc>
          <w:tcPr>
            <w:tcW w:w="1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28,241</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7,079</w:t>
            </w:r>
          </w:p>
        </w:tc>
        <w:tc>
          <w:tcPr>
            <w:tcW w:w="16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189</w:t>
            </w:r>
          </w:p>
        </w:tc>
        <w:tc>
          <w:tcPr>
            <w:tcW w:w="19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35,509</w:t>
            </w:r>
          </w:p>
        </w:tc>
        <w:tc>
          <w:tcPr>
            <w:tcW w:w="1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7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35,509</w:t>
            </w:r>
          </w:p>
        </w:tc>
        <w:tc>
          <w:tcPr>
            <w:tcW w:w="12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(17,649</w:t>
            </w:r>
          </w:p>
        </w:tc>
        <w:tc>
          <w:tcPr>
            <w:tcW w:w="134"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17,860</w:t>
            </w:r>
          </w:p>
        </w:tc>
        <w:tc>
          <w:tcPr>
            <w:tcW w:w="56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3209"/>
        <w:gridCol w:w="125"/>
        <w:gridCol w:w="590"/>
        <w:gridCol w:w="110"/>
        <w:gridCol w:w="90"/>
        <w:gridCol w:w="182"/>
        <w:gridCol w:w="861"/>
        <w:gridCol w:w="160"/>
        <w:gridCol w:w="90"/>
        <w:gridCol w:w="218"/>
        <w:gridCol w:w="584"/>
        <w:gridCol w:w="193"/>
        <w:gridCol w:w="90"/>
        <w:gridCol w:w="143"/>
        <w:gridCol w:w="801"/>
        <w:gridCol w:w="126"/>
        <w:gridCol w:w="90"/>
        <w:gridCol w:w="151"/>
        <w:gridCol w:w="790"/>
        <w:gridCol w:w="133"/>
        <w:gridCol w:w="90"/>
        <w:gridCol w:w="125"/>
        <w:gridCol w:w="695"/>
        <w:gridCol w:w="559"/>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09" w:type="dxa"/>
            <w:tcBorders/>
            <w:shd w:fill="auto" w:val="clear"/>
            <w:vAlign w:val="center"/>
          </w:tcPr>
          <w:p>
            <w:pPr>
              <w:pStyle w:val="TableContents"/>
              <w:spacing w:before="0" w:after="0"/>
              <w:ind w:left="0" w:right="0" w:firstLine="30"/>
              <w:jc w:val="left"/>
              <w:rPr/>
            </w:pPr>
            <w:r>
              <w:rPr/>
              <w:t> </w:t>
            </w:r>
          </w:p>
        </w:tc>
        <w:tc>
          <w:tcPr>
            <w:tcW w:w="6996"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2017</w:t>
            </w:r>
          </w:p>
        </w:tc>
      </w:tr>
      <w:tr>
        <w:trPr/>
        <w:tc>
          <w:tcPr>
            <w:tcW w:w="3209"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90" w:type="dxa"/>
            <w:tcBorders/>
            <w:shd w:fill="auto" w:val="clear"/>
            <w:vAlign w:val="center"/>
          </w:tcPr>
          <w:p>
            <w:pPr>
              <w:pStyle w:val="TableContents"/>
              <w:spacing w:before="0" w:after="0"/>
              <w:ind w:left="0" w:right="0" w:firstLine="30"/>
              <w:rPr/>
            </w:pPr>
            <w:r>
              <w:rPr/>
              <w:t> </w:t>
            </w:r>
          </w:p>
        </w:tc>
        <w:tc>
          <w:tcPr>
            <w:tcW w:w="12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90" w:type="dxa"/>
            <w:tcBorders/>
            <w:shd w:fill="auto" w:val="clear"/>
            <w:vAlign w:val="center"/>
          </w:tcPr>
          <w:p>
            <w:pPr>
              <w:pStyle w:val="TableContents"/>
              <w:spacing w:before="0" w:after="0"/>
              <w:ind w:left="0" w:right="0" w:firstLine="30"/>
              <w:rPr/>
            </w:pPr>
            <w:r>
              <w:rPr/>
              <w:t> </w:t>
            </w:r>
          </w:p>
        </w:tc>
        <w:tc>
          <w:tcPr>
            <w:tcW w:w="10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Segments</w:t>
            </w:r>
          </w:p>
        </w:tc>
        <w:tc>
          <w:tcPr>
            <w:tcW w:w="90" w:type="dxa"/>
            <w:tcBorders/>
            <w:shd w:fill="auto" w:val="clear"/>
            <w:vAlign w:val="center"/>
          </w:tcPr>
          <w:p>
            <w:pPr>
              <w:pStyle w:val="TableContents"/>
              <w:spacing w:before="0" w:after="0"/>
              <w:ind w:left="0" w:right="0" w:firstLine="30"/>
              <w:rPr/>
            </w:pPr>
            <w:r>
              <w:rPr/>
              <w:t> </w:t>
            </w:r>
          </w:p>
        </w:tc>
        <w:tc>
          <w:tcPr>
            <w:tcW w:w="10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Corporate Items</w:t>
            </w:r>
          </w:p>
        </w:tc>
        <w:tc>
          <w:tcPr>
            <w:tcW w:w="90" w:type="dxa"/>
            <w:tcBorders/>
            <w:shd w:fill="auto" w:val="clear"/>
            <w:vAlign w:val="center"/>
          </w:tcPr>
          <w:p>
            <w:pPr>
              <w:pStyle w:val="TableContents"/>
              <w:spacing w:before="0" w:after="0"/>
              <w:ind w:left="0" w:right="0" w:firstLine="30"/>
              <w:rPr/>
            </w:pPr>
            <w:r>
              <w:rPr/>
              <w:t> </w:t>
            </w:r>
          </w:p>
        </w:tc>
        <w:tc>
          <w:tcPr>
            <w:tcW w:w="13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209"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0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79" w:type="dxa"/>
            <w:gridSpan w:val="3"/>
            <w:tcBorders/>
            <w:shd w:fill="auto" w:val="clear"/>
            <w:vAlign w:val="center"/>
          </w:tcPr>
          <w:p>
            <w:pPr>
              <w:pStyle w:val="TableContents"/>
              <w:spacing w:before="0" w:after="0"/>
              <w:ind w:left="0" w:right="0" w:firstLine="30"/>
              <w:rPr/>
            </w:pPr>
            <w:r>
              <w:rPr/>
              <w:t> </w:t>
            </w:r>
          </w:p>
        </w:tc>
      </w:tr>
      <w:tr>
        <w:trPr/>
        <w:tc>
          <w:tcPr>
            <w:tcW w:w="3209" w:type="dxa"/>
            <w:tcBorders/>
            <w:shd w:fill="auto" w:val="clear"/>
            <w:vAlign w:val="center"/>
          </w:tcPr>
          <w:p>
            <w:pPr>
              <w:pStyle w:val="TableContents"/>
              <w:spacing w:before="0" w:after="0"/>
              <w:ind w:left="0" w:right="0" w:firstLine="30"/>
              <w:jc w:val="left"/>
              <w:rPr/>
            </w:pPr>
            <w:r>
              <w:rPr/>
              <w:t> </w:t>
            </w:r>
          </w:p>
        </w:tc>
        <w:tc>
          <w:tcPr>
            <w:tcW w:w="6996"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2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0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79" w:type="dxa"/>
            <w:gridSpan w:val="3"/>
            <w:tcBorders/>
            <w:shd w:fill="CCEEFF" w:val="clear"/>
            <w:vAlign w:val="center"/>
          </w:tcPr>
          <w:p>
            <w:pPr>
              <w:pStyle w:val="TableContents"/>
              <w:spacing w:before="0" w:after="0"/>
              <w:ind w:left="0" w:right="0" w:firstLine="300"/>
              <w:rPr/>
            </w:pPr>
            <w:r>
              <w:rPr/>
              <w:t> </w:t>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95,550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61" w:type="dxa"/>
            <w:tcBorders/>
            <w:shd w:fill="auto" w:val="clear"/>
            <w:vAlign w:val="center"/>
          </w:tcPr>
          <w:p>
            <w:pPr>
              <w:pStyle w:val="TableContents"/>
              <w:spacing w:before="0" w:after="0"/>
              <w:jc w:val="right"/>
              <w:rPr>
                <w:rFonts w:ascii="inherit" w:hAnsi="inherit"/>
                <w:sz w:val="17"/>
              </w:rPr>
            </w:pPr>
            <w:r>
              <w:rPr>
                <w:rFonts w:ascii="inherit" w:hAnsi="inherit"/>
                <w:sz w:val="17"/>
              </w:rPr>
              <w:t>14,688</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1" w:type="dxa"/>
            <w:tcBorders/>
            <w:shd w:fill="auto" w:val="clear"/>
            <w:vAlign w:val="center"/>
          </w:tcPr>
          <w:p>
            <w:pPr>
              <w:pStyle w:val="TableContents"/>
              <w:spacing w:before="0" w:after="0"/>
              <w:jc w:val="right"/>
              <w:rPr>
                <w:rFonts w:ascii="inherit" w:hAnsi="inherit"/>
                <w:sz w:val="17"/>
              </w:rPr>
            </w:pPr>
            <w:r>
              <w:rPr>
                <w:rFonts w:ascii="inherit" w:hAnsi="inherit"/>
                <w:sz w:val="17"/>
              </w:rPr>
              <w:t>110,238</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0" w:type="dxa"/>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110,238</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9,056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1,163</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10,219</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1" w:type="dxa"/>
            <w:gridSpan w:val="2"/>
            <w:tcBorders/>
            <w:shd w:fill="CCEEFF" w:val="clear"/>
            <w:vAlign w:val="center"/>
          </w:tcPr>
          <w:p>
            <w:pPr>
              <w:pStyle w:val="TableContents"/>
              <w:spacing w:before="0" w:after="0"/>
              <w:jc w:val="right"/>
              <w:rPr/>
            </w:pPr>
            <w:r>
              <w:rPr/>
              <w:t>—</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10,219</w:t>
            </w:r>
          </w:p>
        </w:tc>
        <w:tc>
          <w:tcPr>
            <w:tcW w:w="5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59,661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7,431</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67,092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67,092</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4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147</w:t>
            </w:r>
          </w:p>
        </w:tc>
        <w:tc>
          <w:tcPr>
            <w:tcW w:w="16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1,876</w:t>
            </w:r>
          </w:p>
        </w:tc>
        <w:tc>
          <w:tcPr>
            <w:tcW w:w="1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2,079</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2,079</w:t>
            </w:r>
          </w:p>
        </w:tc>
        <w:tc>
          <w:tcPr>
            <w:tcW w:w="559"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164,323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23,429</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1,876</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189,628</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189,628</w:t>
            </w:r>
          </w:p>
        </w:tc>
        <w:tc>
          <w:tcPr>
            <w:tcW w:w="5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60,499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9,994</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70,493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1" w:type="dxa"/>
            <w:gridSpan w:val="2"/>
            <w:tcBorders/>
            <w:shd w:fill="CCEEFF" w:val="clear"/>
            <w:vAlign w:val="center"/>
          </w:tcPr>
          <w:p>
            <w:pPr>
              <w:pStyle w:val="TableContents"/>
              <w:spacing w:before="0" w:after="0"/>
              <w:jc w:val="right"/>
              <w:rPr/>
            </w:pPr>
            <w:r>
              <w:rPr/>
              <w:t>—</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70,493</w:t>
            </w:r>
          </w:p>
        </w:tc>
        <w:tc>
          <w:tcPr>
            <w:tcW w:w="5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7,890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951</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8,841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8,841</w:t>
            </w:r>
          </w:p>
        </w:tc>
        <w:tc>
          <w:tcPr>
            <w:tcW w:w="5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cost of revenues</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4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397</w:t>
            </w:r>
          </w:p>
        </w:tc>
        <w:tc>
          <w:tcPr>
            <w:tcW w:w="1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397</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397</w:t>
            </w:r>
          </w:p>
        </w:tc>
        <w:tc>
          <w:tcPr>
            <w:tcW w:w="559"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95,934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12,484</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1,479</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109,897</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109,897</w:t>
            </w:r>
          </w:p>
        </w:tc>
        <w:tc>
          <w:tcPr>
            <w:tcW w:w="5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and corporate expenses (income):</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0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79" w:type="dxa"/>
            <w:gridSpan w:val="3"/>
            <w:tcBorders/>
            <w:shd w:fill="CCEEFF" w:val="clear"/>
            <w:vAlign w:val="center"/>
          </w:tcPr>
          <w:p>
            <w:pPr>
              <w:pStyle w:val="TableContents"/>
              <w:spacing w:before="0" w:after="0"/>
              <w:ind w:left="0" w:right="0" w:firstLine="300"/>
              <w:rPr/>
            </w:pPr>
            <w:r>
              <w:rPr/>
              <w:t> </w:t>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63,556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8,901</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2,003</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74,460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74,460</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43"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4" w:type="dxa"/>
            <w:gridSpan w:val="2"/>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13,283</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13,283</w:t>
            </w:r>
          </w:p>
        </w:tc>
        <w:tc>
          <w:tcPr>
            <w:tcW w:w="5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2,660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660</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3,370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2,660</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6,030</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(gain) on sale or disposal of assets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1" w:type="dxa"/>
            <w:gridSpan w:val="2"/>
            <w:tcBorders/>
            <w:shd w:fill="CCEEFF" w:val="clear"/>
            <w:vAlign w:val="center"/>
          </w:tcPr>
          <w:p>
            <w:pPr>
              <w:pStyle w:val="TableContents"/>
              <w:spacing w:before="0" w:after="0"/>
              <w:jc w:val="right"/>
              <w:rPr/>
            </w:pPr>
            <w:r>
              <w:rPr/>
              <w:t>—</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w:t>
            </w:r>
          </w:p>
        </w:tc>
        <w:tc>
          <w:tcPr>
            <w:tcW w:w="5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5,625</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5,628</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(342</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(342</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(1,898</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(2,240</w:t>
            </w:r>
          </w:p>
        </w:tc>
        <w:tc>
          <w:tcPr>
            <w:tcW w:w="5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(1,243</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(1,243</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09" w:type="dxa"/>
            <w:tcBorders/>
            <w:shd w:fill="CCEEFF" w:val="clear"/>
            <w:vAlign w:val="center"/>
          </w:tcPr>
          <w:p>
            <w:pPr>
              <w:pStyle w:val="TableContents"/>
              <w:spacing w:before="0" w:after="0"/>
              <w:ind w:left="0" w:right="0" w:firstLine="30"/>
              <w:rPr>
                <w:sz w:val="17"/>
              </w:rPr>
            </w:pPr>
            <w:r>
              <w:rPr>
                <w:rFonts w:ascii="inherit" w:hAnsi="inherit"/>
                <w:sz w:val="17"/>
              </w:rPr>
              <w:t>O</w:t>
            </w:r>
            <w:r>
              <w:rPr>
                <w:rFonts w:ascii="inherit" w:hAnsi="inherit"/>
                <w:sz w:val="17"/>
                <w:highlight w:val="cyan"/>
              </w:rPr>
              <w:t>ther expense (income)</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12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239</w:t>
            </w:r>
          </w:p>
        </w:tc>
        <w:tc>
          <w:tcPr>
            <w:tcW w:w="1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228</w:t>
            </w:r>
          </w:p>
        </w:tc>
        <w:tc>
          <w:tcPr>
            <w:tcW w:w="55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contribution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29,725</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3,236</w:t>
            </w:r>
          </w:p>
        </w:tc>
        <w:tc>
          <w:tcPr>
            <w:tcW w:w="16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628</w:t>
            </w:r>
          </w:p>
        </w:tc>
        <w:tc>
          <w:tcPr>
            <w:tcW w:w="19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33,589</w:t>
            </w:r>
          </w:p>
        </w:tc>
        <w:tc>
          <w:tcPr>
            <w:tcW w:w="1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4"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79" w:type="dxa"/>
            <w:gridSpan w:val="3"/>
            <w:tcBorders/>
            <w:shd w:fill="auto" w:val="clear"/>
            <w:vAlign w:val="center"/>
          </w:tcPr>
          <w:p>
            <w:pPr>
              <w:pStyle w:val="TableContents"/>
              <w:spacing w:before="0" w:after="0"/>
              <w:ind w:left="0" w:right="0" w:firstLine="30"/>
              <w:rPr/>
            </w:pPr>
            <w:r>
              <w:rPr/>
              <w:t> </w:t>
            </w:r>
          </w:p>
        </w:tc>
      </w:tr>
      <w:tr>
        <w:trPr/>
        <w:tc>
          <w:tcPr>
            <w:tcW w:w="32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0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33,589</w:t>
            </w:r>
          </w:p>
        </w:tc>
        <w:tc>
          <w:tcPr>
            <w:tcW w:w="12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(19,909</w:t>
            </w:r>
          </w:p>
        </w:tc>
        <w:tc>
          <w:tcPr>
            <w:tcW w:w="13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13,680</w:t>
            </w:r>
          </w:p>
        </w:tc>
        <w:tc>
          <w:tcPr>
            <w:tcW w:w="559"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3132"/>
        <w:gridCol w:w="125"/>
        <w:gridCol w:w="695"/>
        <w:gridCol w:w="110"/>
        <w:gridCol w:w="90"/>
        <w:gridCol w:w="180"/>
        <w:gridCol w:w="850"/>
        <w:gridCol w:w="158"/>
        <w:gridCol w:w="90"/>
        <w:gridCol w:w="218"/>
        <w:gridCol w:w="584"/>
        <w:gridCol w:w="193"/>
        <w:gridCol w:w="90"/>
        <w:gridCol w:w="142"/>
        <w:gridCol w:w="796"/>
        <w:gridCol w:w="125"/>
        <w:gridCol w:w="90"/>
        <w:gridCol w:w="150"/>
        <w:gridCol w:w="784"/>
        <w:gridCol w:w="132"/>
        <w:gridCol w:w="90"/>
        <w:gridCol w:w="125"/>
        <w:gridCol w:w="695"/>
        <w:gridCol w:w="561"/>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13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2" w:type="dxa"/>
            <w:tcBorders/>
            <w:shd w:fill="auto" w:val="clear"/>
            <w:vAlign w:val="center"/>
          </w:tcPr>
          <w:p>
            <w:pPr>
              <w:pStyle w:val="TableContents"/>
              <w:spacing w:before="0" w:after="0"/>
              <w:ind w:left="0" w:right="0" w:firstLine="30"/>
              <w:jc w:val="left"/>
              <w:rPr/>
            </w:pPr>
            <w:r>
              <w:rPr/>
              <w:t> </w:t>
            </w:r>
          </w:p>
        </w:tc>
        <w:tc>
          <w:tcPr>
            <w:tcW w:w="7073"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2018</w:t>
            </w:r>
          </w:p>
        </w:tc>
      </w:tr>
      <w:tr>
        <w:trPr/>
        <w:tc>
          <w:tcPr>
            <w:tcW w:w="3132" w:type="dxa"/>
            <w:tcBorders/>
            <w:shd w:fill="auto" w:val="clear"/>
            <w:vAlign w:val="center"/>
          </w:tcPr>
          <w:p>
            <w:pPr>
              <w:pStyle w:val="TableContents"/>
              <w:spacing w:before="0" w:after="0"/>
              <w:ind w:left="0" w:right="0" w:firstLine="30"/>
              <w:rPr/>
            </w:pPr>
            <w:r>
              <w:rPr/>
              <w:t>  </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Segments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6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Corporate Items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8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132"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132" w:type="dxa"/>
            <w:tcBorders/>
            <w:shd w:fill="auto" w:val="clear"/>
            <w:vAlign w:val="center"/>
          </w:tcPr>
          <w:p>
            <w:pPr>
              <w:pStyle w:val="TableContents"/>
              <w:spacing w:before="0" w:after="0"/>
              <w:ind w:left="0" w:right="0" w:firstLine="30"/>
              <w:jc w:val="left"/>
              <w:rPr/>
            </w:pPr>
            <w:r>
              <w:rPr/>
              <w:t> </w:t>
            </w:r>
          </w:p>
        </w:tc>
        <w:tc>
          <w:tcPr>
            <w:tcW w:w="7073"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186,247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0" w:type="dxa"/>
            <w:tcBorders/>
            <w:shd w:fill="auto" w:val="clear"/>
            <w:vAlign w:val="center"/>
          </w:tcPr>
          <w:p>
            <w:pPr>
              <w:pStyle w:val="TableContents"/>
              <w:spacing w:before="0" w:after="0"/>
              <w:jc w:val="right"/>
              <w:rPr>
                <w:rFonts w:ascii="inherit" w:hAnsi="inherit"/>
                <w:sz w:val="17"/>
              </w:rPr>
            </w:pPr>
            <w:r>
              <w:rPr>
                <w:rFonts w:ascii="inherit" w:hAnsi="inherit"/>
                <w:sz w:val="17"/>
              </w:rPr>
              <w:t>42,286</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shd w:fill="auto" w:val="clear"/>
            <w:vAlign w:val="center"/>
          </w:tcPr>
          <w:p>
            <w:pPr>
              <w:pStyle w:val="TableContents"/>
              <w:spacing w:before="0" w:after="0"/>
              <w:jc w:val="right"/>
              <w:rPr>
                <w:rFonts w:ascii="inherit" w:hAnsi="inherit"/>
                <w:sz w:val="17"/>
              </w:rPr>
            </w:pPr>
            <w:r>
              <w:rPr>
                <w:rFonts w:ascii="inherit" w:hAnsi="inherit"/>
                <w:sz w:val="17"/>
              </w:rPr>
              <w:t>228,533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228,533</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16,702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7,036</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23,738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23,738</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118,819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31,908</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150,727</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150,727</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150</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343</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3,751</w:t>
            </w:r>
          </w:p>
        </w:tc>
        <w:tc>
          <w:tcPr>
            <w:tcW w:w="1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4,244</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4,244</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321,918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81,573</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3,751</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407,242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407,242</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114,625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28,762</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143,387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143,387</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13,354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6,557</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19,911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19,911</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cost of revenues</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924</w:t>
            </w:r>
          </w:p>
        </w:tc>
        <w:tc>
          <w:tcPr>
            <w:tcW w:w="1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924</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924</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193,939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46,254</w:t>
            </w:r>
          </w:p>
        </w:tc>
        <w:tc>
          <w:tcPr>
            <w:tcW w:w="15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2,827</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243,020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13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243,020</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and corporate expenses (income):</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131,491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29,681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4,598</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165,770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165,770</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82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pPr>
            <w:r>
              <w:rPr/>
              <w:t>—</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26,659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26,659</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6,330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1,761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8,185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3,989</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12,174</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11,673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11,676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82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(1,400</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(1,400</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(7,138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(8,538</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(2,326</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114</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w:t>
            </w:r>
          </w:p>
        </w:tc>
        <w:tc>
          <w:tcPr>
            <w:tcW w:w="19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(179</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(186</w:t>
            </w:r>
          </w:p>
        </w:tc>
        <w:tc>
          <w:tcPr>
            <w:tcW w:w="56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55,998</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16,090</w:t>
            </w:r>
          </w:p>
        </w:tc>
        <w:tc>
          <w:tcPr>
            <w:tcW w:w="15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579</w:t>
            </w:r>
          </w:p>
        </w:tc>
        <w:tc>
          <w:tcPr>
            <w:tcW w:w="1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72,667</w:t>
            </w:r>
          </w:p>
        </w:tc>
        <w:tc>
          <w:tcPr>
            <w:tcW w:w="12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2"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72,667</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(35,015</w:t>
            </w:r>
          </w:p>
        </w:tc>
        <w:tc>
          <w:tcPr>
            <w:tcW w:w="13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37,652</w:t>
            </w:r>
          </w:p>
        </w:tc>
        <w:tc>
          <w:tcPr>
            <w:tcW w:w="56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132"/>
        <w:gridCol w:w="125"/>
        <w:gridCol w:w="695"/>
        <w:gridCol w:w="110"/>
        <w:gridCol w:w="90"/>
        <w:gridCol w:w="180"/>
        <w:gridCol w:w="850"/>
        <w:gridCol w:w="158"/>
        <w:gridCol w:w="90"/>
        <w:gridCol w:w="172"/>
        <w:gridCol w:w="670"/>
        <w:gridCol w:w="153"/>
        <w:gridCol w:w="90"/>
        <w:gridCol w:w="142"/>
        <w:gridCol w:w="796"/>
        <w:gridCol w:w="125"/>
        <w:gridCol w:w="90"/>
        <w:gridCol w:w="150"/>
        <w:gridCol w:w="784"/>
        <w:gridCol w:w="132"/>
        <w:gridCol w:w="90"/>
        <w:gridCol w:w="125"/>
        <w:gridCol w:w="695"/>
        <w:gridCol w:w="561"/>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13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2" w:type="dxa"/>
            <w:tcBorders/>
            <w:shd w:fill="auto" w:val="clear"/>
            <w:vAlign w:val="center"/>
          </w:tcPr>
          <w:p>
            <w:pPr>
              <w:pStyle w:val="TableContents"/>
              <w:spacing w:before="0" w:after="0"/>
              <w:ind w:left="0" w:right="0" w:firstLine="30"/>
              <w:jc w:val="left"/>
              <w:rPr/>
            </w:pPr>
            <w:r>
              <w:rPr/>
              <w:t> </w:t>
            </w:r>
          </w:p>
        </w:tc>
        <w:tc>
          <w:tcPr>
            <w:tcW w:w="7073"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2017</w:t>
            </w:r>
          </w:p>
        </w:tc>
      </w:tr>
      <w:tr>
        <w:trPr/>
        <w:tc>
          <w:tcPr>
            <w:tcW w:w="3132" w:type="dxa"/>
            <w:tcBorders/>
            <w:shd w:fill="auto" w:val="clear"/>
            <w:vAlign w:val="center"/>
          </w:tcPr>
          <w:p>
            <w:pPr>
              <w:pStyle w:val="TableContents"/>
              <w:spacing w:before="0" w:after="0"/>
              <w:ind w:left="0" w:right="0" w:firstLine="30"/>
              <w:rPr/>
            </w:pPr>
            <w:r>
              <w:rPr/>
              <w:t>  </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Segments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6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Corporate Items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8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132"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132" w:type="dxa"/>
            <w:tcBorders/>
            <w:shd w:fill="auto" w:val="clear"/>
            <w:vAlign w:val="center"/>
          </w:tcPr>
          <w:p>
            <w:pPr>
              <w:pStyle w:val="TableContents"/>
              <w:spacing w:before="0" w:after="0"/>
              <w:ind w:left="0" w:right="0" w:firstLine="30"/>
              <w:jc w:val="left"/>
              <w:rPr/>
            </w:pPr>
            <w:r>
              <w:rPr/>
              <w:t> </w:t>
            </w:r>
          </w:p>
        </w:tc>
        <w:tc>
          <w:tcPr>
            <w:tcW w:w="7073"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190,411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0" w:type="dxa"/>
            <w:tcBorders/>
            <w:shd w:fill="auto" w:val="clear"/>
            <w:vAlign w:val="center"/>
          </w:tcPr>
          <w:p>
            <w:pPr>
              <w:pStyle w:val="TableContents"/>
              <w:spacing w:before="0" w:after="0"/>
              <w:jc w:val="right"/>
              <w:rPr>
                <w:rFonts w:ascii="inherit" w:hAnsi="inherit"/>
                <w:sz w:val="17"/>
              </w:rPr>
            </w:pPr>
            <w:r>
              <w:rPr>
                <w:rFonts w:ascii="inherit" w:hAnsi="inherit"/>
                <w:sz w:val="17"/>
              </w:rPr>
              <w:t>31,340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70" w:type="dxa"/>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shd w:fill="auto" w:val="clear"/>
            <w:vAlign w:val="center"/>
          </w:tcPr>
          <w:p>
            <w:pPr>
              <w:pStyle w:val="TableContents"/>
              <w:spacing w:before="0" w:after="0"/>
              <w:jc w:val="right"/>
              <w:rPr>
                <w:rFonts w:ascii="inherit" w:hAnsi="inherit"/>
                <w:sz w:val="17"/>
              </w:rPr>
            </w:pPr>
            <w:r>
              <w:rPr>
                <w:rFonts w:ascii="inherit" w:hAnsi="inherit"/>
                <w:sz w:val="17"/>
              </w:rPr>
              <w:t>221,751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221,751</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17,901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2,116</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42" w:type="dxa"/>
            <w:gridSpan w:val="2"/>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20,017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20,017</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120,706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15,399</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136,105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136,105</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278</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3,994</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4,379</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4,379</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329,125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49,133</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3,994</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382,252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382,252</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120,747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21,478</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42" w:type="dxa"/>
            <w:gridSpan w:val="2"/>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142,225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142,225</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15,440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1,745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17,185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17,185</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cost of revenues</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980</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980</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980</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192,938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25,910</w:t>
            </w:r>
          </w:p>
        </w:tc>
        <w:tc>
          <w:tcPr>
            <w:tcW w:w="15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3,014</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221,862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13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221,862</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and corporate expenses (income):</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130,906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17,541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3,659</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152,106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152,106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82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pPr>
            <w:r>
              <w:rPr/>
              <w:t>—</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42" w:type="dxa"/>
            <w:gridSpan w:val="2"/>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27,210</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27,210</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5,277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6,668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5,735</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12,403</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42" w:type="dxa"/>
            <w:gridSpan w:val="2"/>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11,188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11,193</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82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(409</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42" w:type="dxa"/>
            <w:gridSpan w:val="2"/>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(409</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(4,447</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(4,856</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(2,721</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w:t>
            </w:r>
          </w:p>
        </w:tc>
        <w:tc>
          <w:tcPr>
            <w:tcW w:w="15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(189</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(195</w:t>
            </w:r>
          </w:p>
        </w:tc>
        <w:tc>
          <w:tcPr>
            <w:tcW w:w="56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56,838</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7,451</w:t>
            </w:r>
          </w:p>
        </w:tc>
        <w:tc>
          <w:tcPr>
            <w:tcW w:w="15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1,936</w:t>
            </w:r>
          </w:p>
        </w:tc>
        <w:tc>
          <w:tcPr>
            <w:tcW w:w="1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66,225</w:t>
            </w:r>
          </w:p>
        </w:tc>
        <w:tc>
          <w:tcPr>
            <w:tcW w:w="12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2"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66,225</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(39,497</w:t>
            </w:r>
          </w:p>
        </w:tc>
        <w:tc>
          <w:tcPr>
            <w:tcW w:w="13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26,728</w:t>
            </w:r>
          </w:p>
        </w:tc>
        <w:tc>
          <w:tcPr>
            <w:tcW w:w="56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rPr/>
      </w:pPr>
      <w:hyperlink w:anchor="sA33FD6028AA25395924ED4406F429385">
        <w:bookmarkStart w:id="21" w:name="s6567382AC819505E81C0458BD18A37D3"/>
        <w:bookmarkEnd w:id="21"/>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b/>
          <w:sz w:val="17"/>
        </w:rPr>
        <w:t>NOTE 10: SUPPLEMENTAL CONSOLIDATED FINANCIAL INFORMATION</w:t>
      </w:r>
      <w:r>
        <w:rPr>
          <w:sz w:val="17"/>
        </w:rPr>
        <w:t xml:space="preserve"> </w:t>
      </w:r>
    </w:p>
    <w:p>
      <w:pPr>
        <w:pStyle w:val="TextBody"/>
        <w:spacing w:lineRule="auto" w:line="288" w:before="0" w:after="0"/>
        <w:rPr>
          <w:rFonts w:ascii="inherit" w:hAnsi="inherit"/>
          <w:sz w:val="17"/>
        </w:rPr>
      </w:pPr>
      <w:r>
        <w:rPr>
          <w:rFonts w:ascii="inherit" w:hAnsi="inherit"/>
          <w:sz w:val="17"/>
        </w:rPr>
        <w:t>The following table provides supplemental information on net amounts included in our condensed consolidated balance sheets:</w:t>
      </w:r>
    </w:p>
    <w:tbl>
      <w:tblPr>
        <w:tblW w:w="9525" w:type="dxa"/>
        <w:jc w:val="left"/>
        <w:tblInd w:w="0" w:type="dxa"/>
        <w:tblCellMar>
          <w:top w:w="0" w:type="dxa"/>
          <w:left w:w="0" w:type="dxa"/>
          <w:bottom w:w="0" w:type="dxa"/>
          <w:right w:w="0" w:type="dxa"/>
        </w:tblCellMar>
      </w:tblPr>
      <w:tblGrid>
        <w:gridCol w:w="5465"/>
        <w:gridCol w:w="157"/>
        <w:gridCol w:w="878"/>
        <w:gridCol w:w="138"/>
        <w:gridCol w:w="90"/>
        <w:gridCol w:w="157"/>
        <w:gridCol w:w="878"/>
        <w:gridCol w:w="138"/>
        <w:gridCol w:w="90"/>
        <w:gridCol w:w="157"/>
        <w:gridCol w:w="878"/>
        <w:gridCol w:w="499"/>
      </w:tblGrid>
      <w:tr>
        <w:trPr/>
        <w:tc>
          <w:tcPr>
            <w:tcW w:w="9525" w:type="dxa"/>
            <w:gridSpan w:val="12"/>
            <w:tcBorders/>
            <w:shd w:fill="auto" w:val="clear"/>
            <w:vAlign w:val="center"/>
          </w:tcPr>
          <w:p>
            <w:pPr>
              <w:pStyle w:val="TableContents"/>
              <w:spacing w:before="0" w:after="283"/>
              <w:rPr>
                <w:sz w:val="4"/>
                <w:szCs w:val="4"/>
              </w:rPr>
            </w:pPr>
            <w:r>
              <w:rPr>
                <w:sz w:val="4"/>
                <w:szCs w:val="4"/>
              </w:rPr>
            </w:r>
          </w:p>
        </w:tc>
      </w:tr>
      <w:tr>
        <w:trPr/>
        <w:tc>
          <w:tcPr>
            <w:tcW w:w="546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65" w:type="dxa"/>
            <w:tcBorders/>
            <w:shd w:fill="auto" w:val="clear"/>
            <w:vAlign w:val="center"/>
          </w:tcPr>
          <w:p>
            <w:pPr>
              <w:pStyle w:val="TableContents"/>
              <w:spacing w:before="0" w:after="0"/>
              <w:ind w:left="0" w:right="0" w:firstLine="30"/>
              <w:jc w:val="left"/>
              <w:rPr/>
            </w:pPr>
            <w:r>
              <w:rPr/>
              <w:t> </w:t>
            </w:r>
          </w:p>
        </w:tc>
        <w:tc>
          <w:tcPr>
            <w:tcW w:w="11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2018</w:t>
            </w:r>
          </w:p>
        </w:tc>
        <w:tc>
          <w:tcPr>
            <w:tcW w:w="90" w:type="dxa"/>
            <w:tcBorders/>
            <w:shd w:fill="auto" w:val="clear"/>
            <w:vAlign w:val="center"/>
          </w:tcPr>
          <w:p>
            <w:pPr>
              <w:pStyle w:val="TableContents"/>
              <w:spacing w:before="0" w:after="0"/>
              <w:ind w:left="0" w:right="0" w:firstLine="30"/>
              <w:rPr/>
            </w:pPr>
            <w:r>
              <w:rPr/>
              <w:t> </w:t>
            </w:r>
          </w:p>
        </w:tc>
        <w:tc>
          <w:tcPr>
            <w:tcW w:w="11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2017</w:t>
            </w:r>
          </w:p>
        </w:tc>
        <w:tc>
          <w:tcPr>
            <w:tcW w:w="90" w:type="dxa"/>
            <w:tcBorders/>
            <w:shd w:fill="auto" w:val="clear"/>
            <w:vAlign w:val="center"/>
          </w:tcPr>
          <w:p>
            <w:pPr>
              <w:pStyle w:val="TableContents"/>
              <w:spacing w:before="0" w:after="0"/>
              <w:ind w:left="0" w:right="0" w:firstLine="30"/>
              <w:rPr/>
            </w:pPr>
            <w:r>
              <w:rPr/>
              <w:t> </w:t>
            </w:r>
          </w:p>
        </w:tc>
        <w:tc>
          <w:tcPr>
            <w:tcW w:w="153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2017</w:t>
            </w:r>
          </w:p>
        </w:tc>
      </w:tr>
      <w:tr>
        <w:trPr/>
        <w:tc>
          <w:tcPr>
            <w:tcW w:w="5465" w:type="dxa"/>
            <w:tcBorders/>
            <w:shd w:fill="auto" w:val="clear"/>
            <w:vAlign w:val="center"/>
          </w:tcPr>
          <w:p>
            <w:pPr>
              <w:pStyle w:val="TableContents"/>
              <w:spacing w:before="0" w:after="0"/>
              <w:ind w:left="0" w:right="0" w:firstLine="30"/>
              <w:rPr/>
            </w:pPr>
            <w:r>
              <w:rPr/>
              <w:t> </w:t>
            </w:r>
          </w:p>
        </w:tc>
        <w:tc>
          <w:tcPr>
            <w:tcW w:w="11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34" w:type="dxa"/>
            <w:gridSpan w:val="3"/>
            <w:tcBorders/>
            <w:shd w:fill="auto" w:val="clear"/>
            <w:vAlign w:val="center"/>
          </w:tcPr>
          <w:p>
            <w:pPr>
              <w:pStyle w:val="TableContents"/>
              <w:spacing w:before="0" w:after="0"/>
              <w:ind w:left="0" w:right="0" w:firstLine="30"/>
              <w:rPr/>
            </w:pPr>
            <w:r>
              <w:rPr/>
              <w:t> </w:t>
            </w:r>
          </w:p>
        </w:tc>
      </w:tr>
      <w:tr>
        <w:trPr/>
        <w:tc>
          <w:tcPr>
            <w:tcW w:w="5465" w:type="dxa"/>
            <w:tcBorders/>
            <w:shd w:fill="auto" w:val="clear"/>
            <w:vAlign w:val="center"/>
          </w:tcPr>
          <w:p>
            <w:pPr>
              <w:pStyle w:val="TableContents"/>
              <w:spacing w:before="0" w:after="0"/>
              <w:ind w:left="0" w:right="0" w:firstLine="30"/>
              <w:jc w:val="left"/>
              <w:rPr/>
            </w:pPr>
            <w:r>
              <w:rPr/>
              <w:t> </w:t>
            </w:r>
          </w:p>
        </w:tc>
        <w:tc>
          <w:tcPr>
            <w:tcW w:w="4060"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pawn service charges receivable</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39,065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35,177</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42,117</w:t>
            </w:r>
          </w:p>
        </w:tc>
        <w:tc>
          <w:tcPr>
            <w:tcW w:w="4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pawn service charges receivable</w:t>
            </w:r>
          </w:p>
        </w:tc>
        <w:tc>
          <w:tcPr>
            <w:tcW w:w="10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(8,572</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(8,149</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(10,569</w:t>
            </w:r>
          </w:p>
        </w:tc>
        <w:tc>
          <w:tcPr>
            <w:tcW w:w="499" w:type="dxa"/>
            <w:tcBorders>
              <w:bottom w:val="single" w:sz="2" w:space="0" w:color="000000"/>
            </w:tcBorders>
            <w:shd w:fill="auto" w:val="clear"/>
            <w:tcMar>
              <w:bottom w:w="30" w:type="dxa"/>
            </w:tcM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30,493</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27,028</w:t>
            </w:r>
          </w:p>
        </w:tc>
        <w:tc>
          <w:tcPr>
            <w:tcW w:w="13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31,548</w:t>
            </w:r>
          </w:p>
        </w:tc>
        <w:tc>
          <w:tcPr>
            <w:tcW w:w="4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rPr/>
            </w:pPr>
            <w:r>
              <w:rPr/>
              <w:t> </w:t>
            </w:r>
          </w:p>
        </w:tc>
        <w:tc>
          <w:tcPr>
            <w:tcW w:w="11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34" w:type="dxa"/>
            <w:gridSpan w:val="3"/>
            <w:tcBorders/>
            <w:shd w:fill="auto" w:val="clear"/>
            <w:vAlign w:val="center"/>
          </w:tcPr>
          <w:p>
            <w:pPr>
              <w:pStyle w:val="TableContents"/>
              <w:spacing w:before="0" w:after="0"/>
              <w:ind w:left="0" w:right="0" w:firstLine="30"/>
              <w:rPr/>
            </w:pPr>
            <w:r>
              <w:rPr/>
              <w:t> </w:t>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inventory</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166,802</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143,237</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161,212</w:t>
            </w:r>
          </w:p>
        </w:tc>
        <w:tc>
          <w:tcPr>
            <w:tcW w:w="4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reserves</w:t>
            </w:r>
          </w:p>
        </w:tc>
        <w:tc>
          <w:tcPr>
            <w:tcW w:w="10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(8,160</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(6,229</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(6,801</w:t>
            </w:r>
          </w:p>
        </w:tc>
        <w:tc>
          <w:tcPr>
            <w:tcW w:w="499" w:type="dxa"/>
            <w:tcBorders>
              <w:bottom w:val="single" w:sz="2" w:space="0" w:color="000000"/>
            </w:tcBorders>
            <w:shd w:fill="auto" w:val="clear"/>
            <w:tcMar>
              <w:bottom w:w="30" w:type="dxa"/>
            </w:tcM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158,642</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137,008</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154,411</w:t>
            </w:r>
          </w:p>
        </w:tc>
        <w:tc>
          <w:tcPr>
            <w:tcW w:w="4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rPr/>
            </w:pPr>
            <w:r>
              <w:rPr/>
              <w:t> </w:t>
            </w:r>
          </w:p>
        </w:tc>
        <w:tc>
          <w:tcPr>
            <w:tcW w:w="11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34" w:type="dxa"/>
            <w:gridSpan w:val="3"/>
            <w:tcBorders/>
            <w:shd w:fill="auto" w:val="clear"/>
            <w:vAlign w:val="center"/>
          </w:tcPr>
          <w:p>
            <w:pPr>
              <w:pStyle w:val="TableContents"/>
              <w:spacing w:before="0" w:after="0"/>
              <w:ind w:left="0" w:right="0" w:firstLine="30"/>
              <w:rPr/>
            </w:pPr>
            <w:r>
              <w:rPr/>
              <w:t> </w:t>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16,217</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13,326</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12,047</w:t>
            </w:r>
          </w:p>
        </w:tc>
        <w:tc>
          <w:tcPr>
            <w:tcW w:w="4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and other</w:t>
            </w:r>
          </w:p>
        </w:tc>
        <w:tc>
          <w:tcPr>
            <w:tcW w:w="10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12,732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10,596</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16,718</w:t>
            </w:r>
          </w:p>
        </w:tc>
        <w:tc>
          <w:tcPr>
            <w:tcW w:w="4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0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273</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7,089</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499"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current assets</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29,222</w:t>
            </w:r>
          </w:p>
        </w:tc>
        <w:tc>
          <w:tcPr>
            <w:tcW w:w="1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31,011</w:t>
            </w:r>
          </w:p>
        </w:tc>
        <w:tc>
          <w:tcPr>
            <w:tcW w:w="1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28,765</w:t>
            </w:r>
          </w:p>
        </w:tc>
        <w:tc>
          <w:tcPr>
            <w:tcW w:w="49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CCEEFF" w:val="clear"/>
            <w:vAlign w:val="center"/>
          </w:tcPr>
          <w:p>
            <w:pPr>
              <w:pStyle w:val="TableContents"/>
              <w:spacing w:before="0" w:after="0"/>
              <w:ind w:left="0" w:right="0" w:firstLine="30"/>
              <w:rPr/>
            </w:pPr>
            <w:r>
              <w:rPr/>
              <w:t> </w:t>
            </w:r>
          </w:p>
        </w:tc>
        <w:tc>
          <w:tcPr>
            <w:tcW w:w="11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34" w:type="dxa"/>
            <w:gridSpan w:val="3"/>
            <w:tcBorders/>
            <w:shd w:fill="CCEEFF" w:val="clear"/>
            <w:vAlign w:val="center"/>
          </w:tcPr>
          <w:p>
            <w:pPr>
              <w:pStyle w:val="TableContents"/>
              <w:spacing w:before="0" w:after="0"/>
              <w:ind w:left="0" w:right="0" w:firstLine="30"/>
              <w:rPr/>
            </w:pPr>
            <w:r>
              <w:rPr/>
              <w:t> </w:t>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gross</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auto" w:val="clear"/>
            <w:vAlign w:val="center"/>
          </w:tcPr>
          <w:p>
            <w:pPr>
              <w:pStyle w:val="TableContents"/>
              <w:spacing w:before="0" w:after="0"/>
              <w:jc w:val="right"/>
              <w:rPr>
                <w:rFonts w:ascii="inherit" w:hAnsi="inherit"/>
                <w:sz w:val="17"/>
              </w:rPr>
            </w:pPr>
            <w:r>
              <w:rPr>
                <w:rFonts w:ascii="inherit" w:hAnsi="inherit"/>
                <w:sz w:val="17"/>
              </w:rPr>
              <w:t>239,954</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auto" w:val="clear"/>
            <w:vAlign w:val="center"/>
          </w:tcPr>
          <w:p>
            <w:pPr>
              <w:pStyle w:val="TableContents"/>
              <w:spacing w:before="0" w:after="0"/>
              <w:jc w:val="right"/>
              <w:rPr>
                <w:rFonts w:ascii="inherit" w:hAnsi="inherit"/>
                <w:sz w:val="17"/>
              </w:rPr>
            </w:pPr>
            <w:r>
              <w:rPr>
                <w:rFonts w:ascii="inherit" w:hAnsi="inherit"/>
                <w:sz w:val="17"/>
              </w:rPr>
              <w:t>212,460</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auto" w:val="clear"/>
            <w:vAlign w:val="center"/>
          </w:tcPr>
          <w:p>
            <w:pPr>
              <w:pStyle w:val="TableContents"/>
              <w:spacing w:before="0" w:after="0"/>
              <w:jc w:val="right"/>
              <w:rPr>
                <w:rFonts w:ascii="inherit" w:hAnsi="inherit"/>
                <w:sz w:val="17"/>
              </w:rPr>
            </w:pPr>
            <w:r>
              <w:rPr>
                <w:rFonts w:ascii="inherit" w:hAnsi="inherit"/>
                <w:sz w:val="17"/>
              </w:rPr>
              <w:t>224,240</w:t>
            </w:r>
          </w:p>
        </w:tc>
        <w:tc>
          <w:tcPr>
            <w:tcW w:w="4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Accumulated depreciation</w:t>
            </w:r>
          </w:p>
        </w:tc>
        <w:tc>
          <w:tcPr>
            <w:tcW w:w="10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(175,121</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(158,830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(166,281</w:t>
            </w:r>
          </w:p>
        </w:tc>
        <w:tc>
          <w:tcPr>
            <w:tcW w:w="499" w:type="dxa"/>
            <w:tcBorders>
              <w:bottom w:val="single" w:sz="2" w:space="0" w:color="000000"/>
            </w:tcBorders>
            <w:shd w:fill="CCEEFF" w:val="clear"/>
            <w:tcMar>
              <w:bottom w:w="30" w:type="dxa"/>
            </w:tcM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64,833</w:t>
            </w:r>
          </w:p>
        </w:tc>
        <w:tc>
          <w:tcPr>
            <w:tcW w:w="1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53,630</w:t>
            </w:r>
          </w:p>
        </w:tc>
        <w:tc>
          <w:tcPr>
            <w:tcW w:w="1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57,959</w:t>
            </w:r>
          </w:p>
        </w:tc>
        <w:tc>
          <w:tcPr>
            <w:tcW w:w="49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CCEEFF" w:val="clear"/>
            <w:vAlign w:val="center"/>
          </w:tcPr>
          <w:p>
            <w:pPr>
              <w:pStyle w:val="TableContents"/>
              <w:spacing w:before="0" w:after="0"/>
              <w:ind w:left="0" w:right="0" w:firstLine="30"/>
              <w:rPr/>
            </w:pPr>
            <w:r>
              <w:rPr/>
              <w:t> </w:t>
            </w:r>
          </w:p>
        </w:tc>
        <w:tc>
          <w:tcPr>
            <w:tcW w:w="11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34" w:type="dxa"/>
            <w:gridSpan w:val="3"/>
            <w:tcBorders/>
            <w:shd w:fill="CCEEFF" w:val="clear"/>
            <w:vAlign w:val="center"/>
          </w:tcPr>
          <w:p>
            <w:pPr>
              <w:pStyle w:val="TableContents"/>
              <w:spacing w:before="0" w:after="0"/>
              <w:ind w:left="0" w:right="0" w:firstLine="30"/>
              <w:rPr/>
            </w:pPr>
            <w:r>
              <w:rPr/>
              <w:t> </w:t>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auto" w:val="clear"/>
            <w:vAlign w:val="center"/>
          </w:tcPr>
          <w:p>
            <w:pPr>
              <w:pStyle w:val="TableContents"/>
              <w:spacing w:before="0" w:after="0"/>
              <w:jc w:val="right"/>
              <w:rPr>
                <w:rFonts w:ascii="inherit" w:hAnsi="inherit"/>
                <w:sz w:val="17"/>
              </w:rPr>
            </w:pPr>
            <w:r>
              <w:rPr>
                <w:rFonts w:ascii="inherit" w:hAnsi="inherit"/>
                <w:sz w:val="17"/>
              </w:rPr>
              <w:t>10,542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auto" w:val="clear"/>
            <w:vAlign w:val="center"/>
          </w:tcPr>
          <w:p>
            <w:pPr>
              <w:pStyle w:val="TableContents"/>
              <w:spacing w:before="0" w:after="0"/>
              <w:jc w:val="right"/>
              <w:rPr>
                <w:rFonts w:ascii="inherit" w:hAnsi="inherit"/>
                <w:sz w:val="17"/>
              </w:rPr>
            </w:pPr>
            <w:r>
              <w:rPr>
                <w:rFonts w:ascii="inherit" w:hAnsi="inherit"/>
                <w:sz w:val="17"/>
              </w:rPr>
              <w:t>8,459</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auto" w:val="clear"/>
            <w:vAlign w:val="center"/>
          </w:tcPr>
          <w:p>
            <w:pPr>
              <w:pStyle w:val="TableContents"/>
              <w:spacing w:before="0" w:after="0"/>
              <w:jc w:val="right"/>
              <w:rPr>
                <w:rFonts w:ascii="inherit" w:hAnsi="inherit"/>
                <w:sz w:val="17"/>
              </w:rPr>
            </w:pPr>
            <w:r>
              <w:rPr>
                <w:rFonts w:ascii="inherit" w:hAnsi="inherit"/>
                <w:sz w:val="17"/>
              </w:rPr>
              <w:t>13,064</w:t>
            </w:r>
          </w:p>
        </w:tc>
        <w:tc>
          <w:tcPr>
            <w:tcW w:w="4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Accrued expenses and other</w:t>
            </w:r>
          </w:p>
        </w:tc>
        <w:tc>
          <w:tcPr>
            <w:tcW w:w="10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50,147</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53,880</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48,479</w:t>
            </w:r>
          </w:p>
        </w:tc>
        <w:tc>
          <w:tcPr>
            <w:tcW w:w="499"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accrued expenses and other current liabilities</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60,689</w:t>
            </w:r>
          </w:p>
        </w:tc>
        <w:tc>
          <w:tcPr>
            <w:tcW w:w="1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62,339</w:t>
            </w:r>
          </w:p>
        </w:tc>
        <w:tc>
          <w:tcPr>
            <w:tcW w:w="1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61,543</w:t>
            </w:r>
          </w:p>
        </w:tc>
        <w:tc>
          <w:tcPr>
            <w:tcW w:w="49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b/>
          <w:sz w:val="17"/>
        </w:rPr>
      </w:pPr>
      <w:bookmarkStart w:id="22" w:name="s5046763D502E5E65AFBF1FF3B9D86937"/>
      <w:bookmarkEnd w:id="22"/>
      <w:r>
        <w:rPr>
          <w:rFonts w:ascii="inherit" w:hAnsi="inherit"/>
          <w:b/>
          <w:sz w:val="17"/>
        </w:rPr>
        <w:t>ITEM 2. MANAGEMENT'S DISCUSSION AND ANALYSIS OF FINANCIAL CONDITION AND RESULTS OF OPERATIONS</w:t>
      </w:r>
    </w:p>
    <w:p>
      <w:pPr>
        <w:pStyle w:val="TextBody"/>
        <w:spacing w:lineRule="auto" w:line="288" w:before="0" w:after="0"/>
        <w:jc w:val="left"/>
        <w:rPr>
          <w:rFonts w:ascii="inherit" w:hAnsi="inherit"/>
          <w:sz w:val="17"/>
        </w:rPr>
      </w:pPr>
      <w:r>
        <w:rPr>
          <w:rFonts w:ascii="inherit" w:hAnsi="inherit"/>
          <w:sz w:val="17"/>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 — Risk Factors" of our Annual Report on Form 10-K for the year ended September 30, 2017, as supplemented by the information set forth in “Part I, Item 3 — Quantitative and Qualitative Disclosures about Market Risk” and "Part II, Item 1 — Legal Proceedings" of this Quarterly Report.</w:t>
      </w:r>
    </w:p>
    <w:p>
      <w:pPr>
        <w:pStyle w:val="TextBody"/>
        <w:spacing w:lineRule="auto" w:line="288" w:before="0" w:after="0"/>
        <w:rPr>
          <w:rFonts w:ascii="inherit" w:hAnsi="inherit"/>
          <w:b/>
          <w:sz w:val="17"/>
        </w:rPr>
      </w:pPr>
      <w:bookmarkStart w:id="23" w:name="sE1D9C848A41B5B3D9B30DEFDD0289681"/>
      <w:bookmarkEnd w:id="23"/>
      <w:r>
        <w:rPr>
          <w:rFonts w:ascii="inherit" w:hAnsi="inherit"/>
          <w:b/>
          <w:sz w:val="17"/>
        </w:rPr>
        <w:t>Overview and Financial Highlights</w:t>
      </w:r>
    </w:p>
    <w:p>
      <w:pPr>
        <w:pStyle w:val="TextBody"/>
        <w:spacing w:lineRule="auto" w:line="288" w:before="0" w:after="0"/>
        <w:jc w:val="left"/>
        <w:rPr>
          <w:rFonts w:ascii="inherit" w:hAnsi="inherit"/>
          <w:sz w:val="17"/>
        </w:rPr>
      </w:pPr>
      <w:r>
        <w:rPr>
          <w:rFonts w:ascii="inherit" w:hAnsi="inherit"/>
          <w:sz w:val="17"/>
        </w:rPr>
        <w:t>EZCORP is a Delaware corporation headquartered in Austin, Texas. We are a leading provider of pawn loans in the United States and Latin America.</w:t>
      </w:r>
    </w:p>
    <w:p>
      <w:pPr>
        <w:pStyle w:val="TextBody"/>
        <w:spacing w:lineRule="auto" w:line="288" w:before="0" w:after="0"/>
        <w:jc w:val="left"/>
        <w:rPr>
          <w:rFonts w:ascii="inherit" w:hAnsi="inherit"/>
          <w:sz w:val="17"/>
        </w:rPr>
      </w:pPr>
      <w:r>
        <w:rPr>
          <w:rFonts w:ascii="inherit" w:hAnsi="inherit"/>
          <w:sz w:val="17"/>
        </w:rPr>
        <w:t>Our vision is to be the leader internationally in responsibly and respectfully meeting our customers' desire for access to cash whenever they want it. That vision is supported by four key imperatives:</w:t>
      </w:r>
    </w:p>
    <w:tbl>
      <w:tblPr>
        <w:tblW w:w="3745" w:type="dxa"/>
        <w:jc w:val="left"/>
        <w:tblInd w:w="0" w:type="dxa"/>
        <w:tblCellMar>
          <w:top w:w="0" w:type="dxa"/>
          <w:left w:w="0" w:type="dxa"/>
          <w:bottom w:w="0" w:type="dxa"/>
          <w:right w:w="0" w:type="dxa"/>
        </w:tblCellMar>
      </w:tblPr>
      <w:tblGrid>
        <w:gridCol w:w="485"/>
        <w:gridCol w:w="3260"/>
      </w:tblGrid>
      <w:tr>
        <w:trPr/>
        <w:tc>
          <w:tcPr>
            <w:tcW w:w="485" w:type="dxa"/>
            <w:tcBorders/>
            <w:shd w:fill="auto" w:val="clear"/>
            <w:vAlign w:val="center"/>
          </w:tcPr>
          <w:p>
            <w:pPr>
              <w:pStyle w:val="TableContents"/>
              <w:spacing w:before="0" w:after="283"/>
              <w:rPr>
                <w:sz w:val="4"/>
                <w:szCs w:val="4"/>
              </w:rPr>
            </w:pPr>
            <w:r>
              <w:rPr>
                <w:sz w:val="4"/>
                <w:szCs w:val="4"/>
              </w:rPr>
            </w:r>
          </w:p>
        </w:tc>
        <w:tc>
          <w:tcPr>
            <w:tcW w:w="326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2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Market Leading Customer Satisfaction;</w:t>
            </w:r>
          </w:p>
        </w:tc>
      </w:tr>
    </w:tbl>
    <w:tbl>
      <w:tblPr>
        <w:tblW w:w="3100" w:type="dxa"/>
        <w:jc w:val="left"/>
        <w:tblInd w:w="0" w:type="dxa"/>
        <w:tblCellMar>
          <w:top w:w="0" w:type="dxa"/>
          <w:left w:w="0" w:type="dxa"/>
          <w:bottom w:w="0" w:type="dxa"/>
          <w:right w:w="0" w:type="dxa"/>
        </w:tblCellMar>
      </w:tblPr>
      <w:tblGrid>
        <w:gridCol w:w="485"/>
        <w:gridCol w:w="2615"/>
      </w:tblGrid>
      <w:tr>
        <w:trPr/>
        <w:tc>
          <w:tcPr>
            <w:tcW w:w="485" w:type="dxa"/>
            <w:tcBorders/>
            <w:shd w:fill="auto" w:val="clear"/>
            <w:vAlign w:val="center"/>
          </w:tcPr>
          <w:p>
            <w:pPr>
              <w:pStyle w:val="TableContents"/>
              <w:spacing w:before="0" w:after="283"/>
              <w:rPr>
                <w:sz w:val="4"/>
                <w:szCs w:val="4"/>
              </w:rPr>
            </w:pPr>
            <w:r>
              <w:rPr>
                <w:sz w:val="4"/>
                <w:szCs w:val="4"/>
              </w:rPr>
            </w:r>
          </w:p>
        </w:tc>
        <w:tc>
          <w:tcPr>
            <w:tcW w:w="26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6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Exceptional Staff Engagement;</w:t>
            </w:r>
          </w:p>
        </w:tc>
      </w:tr>
    </w:tbl>
    <w:tbl>
      <w:tblPr>
        <w:tblW w:w="3490" w:type="dxa"/>
        <w:jc w:val="left"/>
        <w:tblInd w:w="0" w:type="dxa"/>
        <w:tblCellMar>
          <w:top w:w="0" w:type="dxa"/>
          <w:left w:w="0" w:type="dxa"/>
          <w:bottom w:w="0" w:type="dxa"/>
          <w:right w:w="0" w:type="dxa"/>
        </w:tblCellMar>
      </w:tblPr>
      <w:tblGrid>
        <w:gridCol w:w="485"/>
        <w:gridCol w:w="3005"/>
      </w:tblGrid>
      <w:tr>
        <w:trPr/>
        <w:tc>
          <w:tcPr>
            <w:tcW w:w="485" w:type="dxa"/>
            <w:tcBorders/>
            <w:shd w:fill="auto" w:val="clear"/>
            <w:vAlign w:val="center"/>
          </w:tcPr>
          <w:p>
            <w:pPr>
              <w:pStyle w:val="TableContents"/>
              <w:spacing w:before="0" w:after="283"/>
              <w:rPr>
                <w:sz w:val="4"/>
                <w:szCs w:val="4"/>
              </w:rPr>
            </w:pPr>
            <w:r>
              <w:rPr>
                <w:sz w:val="4"/>
                <w:szCs w:val="4"/>
              </w:rPr>
            </w:r>
          </w:p>
        </w:tc>
        <w:tc>
          <w:tcPr>
            <w:tcW w:w="30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0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Most Efficient Provider of Cash; and</w:t>
            </w:r>
          </w:p>
        </w:tc>
      </w:tr>
    </w:tbl>
    <w:tbl>
      <w:tblPr>
        <w:tblW w:w="3175" w:type="dxa"/>
        <w:jc w:val="left"/>
        <w:tblInd w:w="0" w:type="dxa"/>
        <w:tblCellMar>
          <w:top w:w="0" w:type="dxa"/>
          <w:left w:w="0" w:type="dxa"/>
          <w:bottom w:w="0" w:type="dxa"/>
          <w:right w:w="0" w:type="dxa"/>
        </w:tblCellMar>
      </w:tblPr>
      <w:tblGrid>
        <w:gridCol w:w="485"/>
        <w:gridCol w:w="2690"/>
      </w:tblGrid>
      <w:tr>
        <w:trPr/>
        <w:tc>
          <w:tcPr>
            <w:tcW w:w="485"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6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Attractive Shareholder Returns.</w:t>
            </w:r>
          </w:p>
        </w:tc>
      </w:tr>
    </w:tbl>
    <w:p>
      <w:pPr>
        <w:pStyle w:val="TextBody"/>
        <w:spacing w:lineRule="auto" w:line="288" w:before="0" w:after="0"/>
        <w:jc w:val="left"/>
        <w:rPr>
          <w:rFonts w:ascii="inherit" w:hAnsi="inherit"/>
          <w:sz w:val="17"/>
        </w:rPr>
      </w:pPr>
      <w:r>
        <w:rPr>
          <w:rFonts w:ascii="inherit" w:hAnsi="inherit"/>
          <w:sz w:val="17"/>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pStyle w:val="TextBody"/>
        <w:spacing w:lineRule="auto" w:line="288" w:before="0" w:after="0"/>
        <w:jc w:val="left"/>
        <w:rPr>
          <w:rFonts w:ascii="inherit" w:hAnsi="inherit"/>
          <w:sz w:val="17"/>
        </w:rPr>
      </w:pPr>
      <w:r>
        <w:rPr>
          <w:rFonts w:ascii="inherit" w:hAnsi="inherit"/>
          <w:sz w:val="17"/>
        </w:rPr>
        <w:t>We remain focused on growing our balance of pawn loans outstanding (“PLO”) and generating higher pawn service charges (“PSC”). The following charts present sources of net revenues, including PSC, merchandise sales gross profit ("Merchandise sales GP") and jewelry scrapping gross profit ("Jewelry scrapping GP"):</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pPr>
      <w:r>
        <w:rPr/>
        <w:drawing>
          <wp:inline distT="0" distB="0" distL="0" distR="0">
            <wp:extent cx="3248025" cy="2638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248025" cy="2638425"/>
                    </a:xfrm>
                    <a:prstGeom prst="rect">
                      <a:avLst/>
                    </a:prstGeom>
                  </pic:spPr>
                </pic:pic>
              </a:graphicData>
            </a:graphic>
          </wp:inline>
        </w:drawing>
      </w:r>
    </w:p>
    <w:p>
      <w:pPr>
        <w:pStyle w:val="TextBody"/>
        <w:spacing w:lineRule="auto" w:line="288" w:before="0" w:after="0"/>
        <w:rPr>
          <w:rFonts w:ascii="inherit" w:hAnsi="inherit"/>
          <w:sz w:val="17"/>
        </w:rPr>
      </w:pPr>
      <w:r>
        <w:rPr>
          <w:rFonts w:ascii="inherit" w:hAnsi="inherit"/>
          <w:sz w:val="17"/>
        </w:rPr>
        <w:t>The following charts present sources of net revenues by geographic disbursement:</w:t>
      </w:r>
    </w:p>
    <w:p>
      <w:pPr>
        <w:pStyle w:val="TextBody"/>
        <w:spacing w:lineRule="auto" w:line="288" w:before="0" w:after="0"/>
        <w:jc w:val="left"/>
        <w:rPr/>
      </w:pPr>
      <w:r>
        <w:rPr/>
        <w:drawing>
          <wp:inline distT="0" distB="0" distL="0" distR="0">
            <wp:extent cx="3248025" cy="2638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248025" cy="2638425"/>
                    </a:xfrm>
                    <a:prstGeom prst="rect">
                      <a:avLst/>
                    </a:prstGeom>
                  </pic:spPr>
                </pic:pic>
              </a:graphicData>
            </a:graphic>
          </wp:inline>
        </w:drawing>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pPr>
      <w:r>
        <w:rPr/>
        <w:drawing>
          <wp:inline distT="0" distB="0" distL="0" distR="0">
            <wp:extent cx="3248025" cy="2638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248025" cy="2638425"/>
                    </a:xfrm>
                    <a:prstGeom prst="rect">
                      <a:avLst/>
                    </a:prstGeom>
                  </pic:spPr>
                </pic:pic>
              </a:graphicData>
            </a:graphic>
          </wp:inline>
        </w:drawing>
      </w:r>
    </w:p>
    <w:p>
      <w:pPr>
        <w:pStyle w:val="TextBody"/>
        <w:spacing w:lineRule="auto" w:line="288" w:before="0" w:after="0"/>
        <w:rPr>
          <w:rFonts w:ascii="inherit" w:hAnsi="inherit"/>
          <w:sz w:val="17"/>
        </w:rPr>
      </w:pPr>
      <w:r>
        <w:rPr>
          <w:rFonts w:ascii="inherit" w:hAnsi="inherit"/>
          <w:sz w:val="17"/>
        </w:rPr>
        <w:t>The following charts present store counts by geographic disbursement:</w:t>
      </w:r>
    </w:p>
    <w:p>
      <w:pPr>
        <w:pStyle w:val="TextBody"/>
        <w:spacing w:lineRule="auto" w:line="288" w:before="0" w:after="0"/>
        <w:jc w:val="left"/>
        <w:rPr/>
      </w:pPr>
      <w:r>
        <w:rPr/>
        <w:drawing>
          <wp:inline distT="0" distB="0" distL="0" distR="0">
            <wp:extent cx="3248025" cy="26384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248025" cy="2638425"/>
                    </a:xfrm>
                    <a:prstGeom prst="rect">
                      <a:avLst/>
                    </a:prstGeom>
                  </pic:spPr>
                </pic:pic>
              </a:graphicData>
            </a:graphic>
          </wp:inline>
        </w:drawing>
      </w:r>
    </w:p>
    <w:p>
      <w:pPr>
        <w:pStyle w:val="TextBody"/>
        <w:spacing w:lineRule="auto" w:line="288" w:before="0" w:after="0"/>
        <w:rPr>
          <w:rFonts w:ascii="inherit" w:hAnsi="inherit"/>
          <w:b/>
          <w:i/>
          <w:sz w:val="17"/>
        </w:rPr>
      </w:pPr>
      <w:r>
        <w:rPr>
          <w:rFonts w:ascii="inherit" w:hAnsi="inherit"/>
          <w:b/>
          <w:i/>
          <w:sz w:val="17"/>
        </w:rPr>
        <w:t>Pawn Activities</w:t>
      </w:r>
    </w:p>
    <w:p>
      <w:pPr>
        <w:pStyle w:val="TextBody"/>
        <w:spacing w:lineRule="auto" w:line="288" w:before="0" w:after="0"/>
        <w:jc w:val="left"/>
        <w:rPr>
          <w:rFonts w:ascii="inherit" w:hAnsi="inherit"/>
          <w:sz w:val="17"/>
        </w:rPr>
      </w:pPr>
      <w:r>
        <w:rPr>
          <w:rFonts w:ascii="inherit" w:hAnsi="inherit"/>
          <w:sz w:val="17"/>
        </w:rPr>
        <w:t xml:space="preserve">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 and the perceived probability of the loan’s redemption. </w:t>
      </w:r>
    </w:p>
    <w:p>
      <w:pPr>
        <w:pStyle w:val="TextBody"/>
        <w:spacing w:lineRule="auto" w:line="288" w:before="0" w:after="0"/>
        <w:jc w:val="left"/>
        <w:rPr>
          <w:rFonts w:ascii="inherit" w:hAnsi="inherit"/>
          <w:sz w:val="17"/>
        </w:rPr>
      </w:pPr>
      <w:r>
        <w:rPr>
          <w:rFonts w:ascii="inherit" w:hAnsi="inherit"/>
          <w:sz w:val="17"/>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a significant portion of our inventory and sales involve gold and jewelry, our results can be heavily influenced by the market price of gold.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Growth and Expansion</w:t>
      </w:r>
    </w:p>
    <w:p>
      <w:pPr>
        <w:pStyle w:val="TextBody"/>
        <w:spacing w:lineRule="auto" w:line="288" w:before="0" w:after="0"/>
        <w:rPr>
          <w:rFonts w:ascii="inherit" w:hAnsi="inherit"/>
          <w:sz w:val="17"/>
        </w:rPr>
      </w:pPr>
      <w:r>
        <w:rPr>
          <w:rFonts w:ascii="inherit" w:hAnsi="inherit"/>
          <w:sz w:val="17"/>
        </w:rPr>
        <w:t>We plan to expand the number of locations we operate through opening new (“de novo”) locations and through acquisitions. We believe there are growth opportunities with de novo stores in Latin America and pawn store acquisitions in both Latin America and in the U.S. Our ability to add new stores is dependent on several variables, such as the availability of acceptable sites or acquisition candidates, the regulatory environment, local zoning ordinances, access to capital, availability of qualified personnel and projected financial results meeting our investment hurdles.</w:t>
      </w:r>
    </w:p>
    <w:p>
      <w:pPr>
        <w:pStyle w:val="TextBody"/>
        <w:spacing w:lineRule="auto" w:line="288" w:before="0" w:after="0"/>
        <w:rPr>
          <w:rFonts w:ascii="inherit" w:hAnsi="inherit"/>
          <w:b/>
          <w:i/>
          <w:sz w:val="17"/>
        </w:rPr>
      </w:pPr>
      <w:r>
        <w:rPr>
          <w:rFonts w:ascii="inherit" w:hAnsi="inherit"/>
          <w:b/>
          <w:i/>
          <w:sz w:val="17"/>
        </w:rPr>
        <w:t>Seasonality and Quarterly Results</w:t>
      </w:r>
    </w:p>
    <w:p>
      <w:pPr>
        <w:pStyle w:val="TextBody"/>
        <w:spacing w:lineRule="auto" w:line="288" w:before="0" w:after="0"/>
        <w:rPr>
          <w:rFonts w:ascii="inherit" w:hAnsi="inherit"/>
          <w:sz w:val="17"/>
        </w:rPr>
      </w:pPr>
      <w:r>
        <w:rPr>
          <w:rFonts w:ascii="inherit" w:hAnsi="inherit"/>
          <w:sz w:val="17"/>
        </w:rPr>
        <w:t>Historically, pawn service charges are highest in our fourth fiscal quarter (July through September) due to a higher average loan balance during the summer lending season. Loan balances are generally lower in our second fiscal quarter (January through March). Merchandise sales are highest in our first and second fiscal quarters (October through March) due to the holiday season, jewelry sales surrounding Valentine’s Day and the availability of tax refunds in the United States. As a net effect of these factors, our earnings generally are lowest during our third fiscal quarter (April through June).</w:t>
      </w:r>
    </w:p>
    <w:p>
      <w:pPr>
        <w:pStyle w:val="TextBody"/>
        <w:spacing w:lineRule="auto" w:line="288" w:before="0" w:after="0"/>
        <w:jc w:val="left"/>
        <w:rPr>
          <w:rFonts w:ascii="inherit" w:hAnsi="inherit"/>
          <w:b/>
          <w:i/>
          <w:sz w:val="17"/>
        </w:rPr>
      </w:pPr>
      <w:r>
        <w:rPr>
          <w:rFonts w:ascii="inherit" w:hAnsi="inherit"/>
          <w:b/>
          <w:i/>
          <w:sz w:val="17"/>
        </w:rPr>
        <w:t>Store Data by Segment</w:t>
      </w:r>
    </w:p>
    <w:tbl>
      <w:tblPr>
        <w:tblW w:w="8125" w:type="dxa"/>
        <w:jc w:val="left"/>
        <w:tblInd w:w="0" w:type="dxa"/>
        <w:tblCellMar>
          <w:top w:w="0" w:type="dxa"/>
          <w:left w:w="0" w:type="dxa"/>
          <w:bottom w:w="0" w:type="dxa"/>
          <w:right w:w="0" w:type="dxa"/>
        </w:tblCellMar>
      </w:tblPr>
      <w:tblGrid>
        <w:gridCol w:w="2975"/>
        <w:gridCol w:w="591"/>
        <w:gridCol w:w="193"/>
        <w:gridCol w:w="121"/>
        <w:gridCol w:w="1393"/>
        <w:gridCol w:w="126"/>
        <w:gridCol w:w="121"/>
        <w:gridCol w:w="1308"/>
        <w:gridCol w:w="151"/>
        <w:gridCol w:w="121"/>
        <w:gridCol w:w="528"/>
        <w:gridCol w:w="497"/>
      </w:tblGrid>
      <w:tr>
        <w:trPr/>
        <w:tc>
          <w:tcPr>
            <w:tcW w:w="8125" w:type="dxa"/>
            <w:gridSpan w:val="12"/>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jc w:val="left"/>
              <w:rPr/>
            </w:pPr>
            <w:r>
              <w:rPr/>
              <w:t> </w:t>
            </w:r>
          </w:p>
        </w:tc>
        <w:tc>
          <w:tcPr>
            <w:tcW w:w="515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2018</w:t>
            </w:r>
          </w:p>
        </w:tc>
      </w:tr>
      <w:tr>
        <w:trPr/>
        <w:tc>
          <w:tcPr>
            <w:tcW w:w="2975" w:type="dxa"/>
            <w:tcBorders/>
            <w:shd w:fill="auto" w:val="clear"/>
            <w:vAlign w:val="center"/>
          </w:tcPr>
          <w:p>
            <w:pPr>
              <w:pStyle w:val="TableContents"/>
              <w:spacing w:before="0" w:after="0"/>
              <w:ind w:left="0" w:right="0" w:firstLine="30"/>
              <w:jc w:val="left"/>
              <w:rPr/>
            </w:pPr>
            <w:r>
              <w:rPr/>
              <w:t> </w:t>
            </w:r>
          </w:p>
        </w:tc>
        <w:tc>
          <w:tcPr>
            <w:tcW w:w="515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r>
      <w:tr>
        <w:trPr/>
        <w:tc>
          <w:tcPr>
            <w:tcW w:w="2975" w:type="dxa"/>
            <w:tcBorders/>
            <w:shd w:fill="auto" w:val="clear"/>
            <w:vAlign w:val="center"/>
          </w:tcPr>
          <w:p>
            <w:pPr>
              <w:pStyle w:val="TableContents"/>
              <w:spacing w:before="0" w:after="0"/>
              <w:ind w:left="0" w:right="0" w:firstLine="30"/>
              <w:jc w:val="left"/>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121" w:type="dxa"/>
            <w:tcBorders/>
            <w:shd w:fill="auto" w:val="clear"/>
            <w:vAlign w:val="center"/>
          </w:tcPr>
          <w:p>
            <w:pPr>
              <w:pStyle w:val="TableContents"/>
              <w:spacing w:before="0" w:after="0"/>
              <w:ind w:left="0" w:right="0" w:firstLine="30"/>
              <w:rPr/>
            </w:pPr>
            <w:r>
              <w:rPr/>
              <w:t> </w:t>
            </w:r>
          </w:p>
        </w:tc>
        <w:tc>
          <w:tcPr>
            <w:tcW w:w="151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121" w:type="dxa"/>
            <w:tcBorders/>
            <w:shd w:fill="auto" w:val="clear"/>
            <w:vAlign w:val="center"/>
          </w:tcPr>
          <w:p>
            <w:pPr>
              <w:pStyle w:val="TableContents"/>
              <w:spacing w:before="0" w:after="0"/>
              <w:ind w:left="0" w:right="0" w:firstLine="30"/>
              <w:rPr/>
            </w:pPr>
            <w:r>
              <w:rPr/>
              <w:t> </w:t>
            </w:r>
          </w:p>
        </w:tc>
        <w:tc>
          <w:tcPr>
            <w:tcW w:w="145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21"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75" w:type="dxa"/>
            <w:tcBorders/>
            <w:shd w:fill="auto" w:val="clear"/>
            <w:vAlign w:val="center"/>
          </w:tcPr>
          <w:p>
            <w:pPr>
              <w:pStyle w:val="TableContents"/>
              <w:spacing w:before="0" w:after="0"/>
              <w:ind w:left="0" w:right="0" w:firstLine="30"/>
              <w:rPr/>
            </w:pPr>
            <w:r>
              <w:rPr/>
              <w:t> </w:t>
            </w:r>
          </w:p>
        </w:tc>
        <w:tc>
          <w:tcPr>
            <w:tcW w:w="784" w:type="dxa"/>
            <w:gridSpan w:val="2"/>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519" w:type="dxa"/>
            <w:gridSpan w:val="2"/>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ind w:left="0" w:right="0" w:firstLine="30"/>
              <w:rPr/>
            </w:pPr>
            <w:r>
              <w:rPr/>
              <w:t> </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December 31, 2017</w:t>
            </w:r>
          </w:p>
        </w:tc>
        <w:tc>
          <w:tcPr>
            <w:tcW w:w="591" w:type="dxa"/>
            <w:tcBorders/>
            <w:shd w:fill="CCEEFF" w:val="clear"/>
            <w:vAlign w:val="center"/>
          </w:tcPr>
          <w:p>
            <w:pPr>
              <w:pStyle w:val="TableContents"/>
              <w:spacing w:before="0" w:after="0"/>
              <w:jc w:val="right"/>
              <w:rPr>
                <w:rFonts w:ascii="inherit" w:hAnsi="inherit"/>
                <w:sz w:val="17"/>
              </w:rPr>
            </w:pPr>
            <w:r>
              <w:rPr>
                <w:rFonts w:ascii="inherit" w:hAnsi="inherit"/>
                <w:sz w:val="17"/>
              </w:rPr>
              <w:t>513</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393" w:type="dxa"/>
            <w:tcBorders/>
            <w:shd w:fill="CCEEFF" w:val="clear"/>
            <w:vAlign w:val="center"/>
          </w:tcPr>
          <w:p>
            <w:pPr>
              <w:pStyle w:val="TableContents"/>
              <w:spacing w:before="0" w:after="0"/>
              <w:jc w:val="right"/>
              <w:rPr>
                <w:rFonts w:ascii="inherit" w:hAnsi="inherit"/>
                <w:sz w:val="17"/>
              </w:rPr>
            </w:pPr>
            <w:r>
              <w:rPr>
                <w:rFonts w:ascii="inherit" w:hAnsi="inherit"/>
                <w:sz w:val="17"/>
              </w:rPr>
              <w:t>383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308"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923</w:t>
            </w:r>
          </w:p>
        </w:tc>
        <w:tc>
          <w:tcPr>
            <w:tcW w:w="49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locations opened</w:t>
            </w:r>
          </w:p>
        </w:tc>
        <w:tc>
          <w:tcPr>
            <w:tcW w:w="591"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93"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Locations sold, combined or closed</w:t>
            </w:r>
          </w:p>
        </w:tc>
        <w:tc>
          <w:tcPr>
            <w:tcW w:w="59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9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393"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308" w:type="dxa"/>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52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49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March 31, 2018</w:t>
            </w:r>
          </w:p>
        </w:tc>
        <w:tc>
          <w:tcPr>
            <w:tcW w:w="59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510</w:t>
            </w:r>
          </w:p>
        </w:tc>
        <w:tc>
          <w:tcPr>
            <w:tcW w:w="1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9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387</w:t>
            </w:r>
          </w:p>
        </w:tc>
        <w:tc>
          <w:tcPr>
            <w:tcW w:w="12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924</w:t>
            </w:r>
          </w:p>
        </w:tc>
        <w:tc>
          <w:tcPr>
            <w:tcW w:w="49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8125" w:type="dxa"/>
        <w:jc w:val="left"/>
        <w:tblInd w:w="0" w:type="dxa"/>
        <w:tblCellMar>
          <w:top w:w="0" w:type="dxa"/>
          <w:left w:w="0" w:type="dxa"/>
          <w:bottom w:w="0" w:type="dxa"/>
          <w:right w:w="0" w:type="dxa"/>
        </w:tblCellMar>
      </w:tblPr>
      <w:tblGrid>
        <w:gridCol w:w="2975"/>
        <w:gridCol w:w="721"/>
        <w:gridCol w:w="63"/>
        <w:gridCol w:w="121"/>
        <w:gridCol w:w="1143"/>
        <w:gridCol w:w="376"/>
        <w:gridCol w:w="121"/>
        <w:gridCol w:w="1308"/>
        <w:gridCol w:w="151"/>
        <w:gridCol w:w="121"/>
        <w:gridCol w:w="528"/>
        <w:gridCol w:w="497"/>
      </w:tblGrid>
      <w:tr>
        <w:trPr/>
        <w:tc>
          <w:tcPr>
            <w:tcW w:w="8125" w:type="dxa"/>
            <w:gridSpan w:val="12"/>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jc w:val="left"/>
              <w:rPr/>
            </w:pPr>
            <w:r>
              <w:rPr/>
              <w:t> </w:t>
            </w:r>
          </w:p>
        </w:tc>
        <w:tc>
          <w:tcPr>
            <w:tcW w:w="515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2017</w:t>
            </w:r>
          </w:p>
        </w:tc>
      </w:tr>
      <w:tr>
        <w:trPr/>
        <w:tc>
          <w:tcPr>
            <w:tcW w:w="2975" w:type="dxa"/>
            <w:tcBorders/>
            <w:shd w:fill="auto" w:val="clear"/>
            <w:vAlign w:val="center"/>
          </w:tcPr>
          <w:p>
            <w:pPr>
              <w:pStyle w:val="TableContents"/>
              <w:spacing w:before="0" w:after="0"/>
              <w:ind w:left="0" w:right="0" w:firstLine="30"/>
              <w:jc w:val="left"/>
              <w:rPr/>
            </w:pPr>
            <w:r>
              <w:rPr/>
              <w:t> </w:t>
            </w:r>
          </w:p>
        </w:tc>
        <w:tc>
          <w:tcPr>
            <w:tcW w:w="515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r>
      <w:tr>
        <w:trPr/>
        <w:tc>
          <w:tcPr>
            <w:tcW w:w="2975" w:type="dxa"/>
            <w:tcBorders/>
            <w:shd w:fill="auto" w:val="clear"/>
            <w:vAlign w:val="center"/>
          </w:tcPr>
          <w:p>
            <w:pPr>
              <w:pStyle w:val="TableContents"/>
              <w:spacing w:before="0" w:after="0"/>
              <w:ind w:left="0" w:right="0" w:firstLine="30"/>
              <w:jc w:val="left"/>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121" w:type="dxa"/>
            <w:tcBorders/>
            <w:shd w:fill="auto" w:val="clear"/>
            <w:vAlign w:val="center"/>
          </w:tcPr>
          <w:p>
            <w:pPr>
              <w:pStyle w:val="TableContents"/>
              <w:spacing w:before="0" w:after="0"/>
              <w:ind w:left="0" w:right="0" w:firstLine="30"/>
              <w:rPr/>
            </w:pPr>
            <w:r>
              <w:rPr/>
              <w:t> </w:t>
            </w:r>
          </w:p>
        </w:tc>
        <w:tc>
          <w:tcPr>
            <w:tcW w:w="151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121" w:type="dxa"/>
            <w:tcBorders/>
            <w:shd w:fill="auto" w:val="clear"/>
            <w:vAlign w:val="center"/>
          </w:tcPr>
          <w:p>
            <w:pPr>
              <w:pStyle w:val="TableContents"/>
              <w:spacing w:before="0" w:after="0"/>
              <w:ind w:left="0" w:right="0" w:firstLine="30"/>
              <w:rPr/>
            </w:pPr>
            <w:r>
              <w:rPr/>
              <w:t> </w:t>
            </w:r>
          </w:p>
        </w:tc>
        <w:tc>
          <w:tcPr>
            <w:tcW w:w="145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21"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75" w:type="dxa"/>
            <w:tcBorders/>
            <w:shd w:fill="auto" w:val="clear"/>
            <w:vAlign w:val="center"/>
          </w:tcPr>
          <w:p>
            <w:pPr>
              <w:pStyle w:val="TableContents"/>
              <w:spacing w:before="0" w:after="0"/>
              <w:ind w:left="0" w:right="0" w:firstLine="30"/>
              <w:rPr/>
            </w:pPr>
            <w:r>
              <w:rPr/>
              <w:t> </w:t>
            </w:r>
          </w:p>
        </w:tc>
        <w:tc>
          <w:tcPr>
            <w:tcW w:w="784" w:type="dxa"/>
            <w:gridSpan w:val="2"/>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519" w:type="dxa"/>
            <w:gridSpan w:val="2"/>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ind w:left="0" w:right="0" w:firstLine="30"/>
              <w:rPr/>
            </w:pPr>
            <w:r>
              <w:rPr/>
              <w:t> </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December 31, 2016</w:t>
            </w:r>
          </w:p>
        </w:tc>
        <w:tc>
          <w:tcPr>
            <w:tcW w:w="721" w:type="dxa"/>
            <w:tcBorders/>
            <w:shd w:fill="CCEEFF" w:val="clear"/>
            <w:vAlign w:val="center"/>
          </w:tcPr>
          <w:p>
            <w:pPr>
              <w:pStyle w:val="TableContents"/>
              <w:spacing w:before="0" w:after="0"/>
              <w:jc w:val="right"/>
              <w:rPr>
                <w:rFonts w:ascii="inherit" w:hAnsi="inherit"/>
                <w:sz w:val="17"/>
              </w:rPr>
            </w:pPr>
            <w:r>
              <w:rPr>
                <w:rFonts w:ascii="inherit" w:hAnsi="inherit"/>
                <w:sz w:val="17"/>
              </w:rPr>
              <w:t>517</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3" w:type="dxa"/>
            <w:tcBorders/>
            <w:shd w:fill="CCEEFF" w:val="clear"/>
            <w:vAlign w:val="center"/>
          </w:tcPr>
          <w:p>
            <w:pPr>
              <w:pStyle w:val="TableContents"/>
              <w:spacing w:before="0" w:after="0"/>
              <w:jc w:val="right"/>
              <w:rPr>
                <w:rFonts w:ascii="inherit" w:hAnsi="inherit"/>
                <w:sz w:val="17"/>
              </w:rPr>
            </w:pPr>
            <w:r>
              <w:rPr>
                <w:rFonts w:ascii="inherit" w:hAnsi="inherit"/>
                <w:sz w:val="17"/>
              </w:rPr>
              <w:t>239</w:t>
            </w:r>
          </w:p>
        </w:tc>
        <w:tc>
          <w:tcPr>
            <w:tcW w:w="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8"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783</w:t>
            </w:r>
          </w:p>
        </w:tc>
        <w:tc>
          <w:tcPr>
            <w:tcW w:w="49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locations opened</w:t>
            </w:r>
          </w:p>
        </w:tc>
        <w:tc>
          <w:tcPr>
            <w:tcW w:w="721" w:type="dxa"/>
            <w:tcBorders/>
            <w:shd w:fill="auto" w:val="clear"/>
            <w:vAlign w:val="center"/>
          </w:tcPr>
          <w:p>
            <w:pPr>
              <w:pStyle w:val="TableContents"/>
              <w:spacing w:before="0" w:after="0"/>
              <w:jc w:val="right"/>
              <w:rPr/>
            </w:pPr>
            <w:r>
              <w:rPr/>
              <w:t>—</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3"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Locations sold, combined or closed</w:t>
            </w:r>
          </w:p>
        </w:tc>
        <w:tc>
          <w:tcPr>
            <w:tcW w:w="721"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6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3"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308" w:type="dxa"/>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4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March 31, 2017</w:t>
            </w:r>
          </w:p>
        </w:tc>
        <w:tc>
          <w:tcPr>
            <w:tcW w:w="7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517</w:t>
            </w:r>
          </w:p>
        </w:tc>
        <w:tc>
          <w:tcPr>
            <w:tcW w:w="6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240</w:t>
            </w:r>
          </w:p>
        </w:tc>
        <w:tc>
          <w:tcPr>
            <w:tcW w:w="3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784</w:t>
            </w:r>
          </w:p>
        </w:tc>
        <w:tc>
          <w:tcPr>
            <w:tcW w:w="4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8101" w:type="dxa"/>
        <w:jc w:val="left"/>
        <w:tblInd w:w="0" w:type="dxa"/>
        <w:tblCellMar>
          <w:top w:w="0" w:type="dxa"/>
          <w:left w:w="0" w:type="dxa"/>
          <w:bottom w:w="0" w:type="dxa"/>
          <w:right w:w="0" w:type="dxa"/>
        </w:tblCellMar>
      </w:tblPr>
      <w:tblGrid>
        <w:gridCol w:w="2975"/>
        <w:gridCol w:w="591"/>
        <w:gridCol w:w="193"/>
        <w:gridCol w:w="113"/>
        <w:gridCol w:w="1393"/>
        <w:gridCol w:w="126"/>
        <w:gridCol w:w="113"/>
        <w:gridCol w:w="1308"/>
        <w:gridCol w:w="151"/>
        <w:gridCol w:w="113"/>
        <w:gridCol w:w="528"/>
        <w:gridCol w:w="497"/>
      </w:tblGrid>
      <w:tr>
        <w:trPr/>
        <w:tc>
          <w:tcPr>
            <w:tcW w:w="8101" w:type="dxa"/>
            <w:gridSpan w:val="12"/>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jc w:val="left"/>
              <w:rPr/>
            </w:pPr>
            <w:r>
              <w:rPr/>
              <w:t> </w:t>
            </w:r>
          </w:p>
        </w:tc>
        <w:tc>
          <w:tcPr>
            <w:tcW w:w="512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2018</w:t>
            </w:r>
          </w:p>
        </w:tc>
      </w:tr>
      <w:tr>
        <w:trPr/>
        <w:tc>
          <w:tcPr>
            <w:tcW w:w="2975" w:type="dxa"/>
            <w:tcBorders/>
            <w:shd w:fill="auto" w:val="clear"/>
            <w:vAlign w:val="center"/>
          </w:tcPr>
          <w:p>
            <w:pPr>
              <w:pStyle w:val="TableContents"/>
              <w:spacing w:before="0" w:after="0"/>
              <w:ind w:left="0" w:right="0" w:firstLine="30"/>
              <w:jc w:val="left"/>
              <w:rPr/>
            </w:pPr>
            <w:r>
              <w:rPr/>
              <w:t> </w:t>
            </w:r>
          </w:p>
        </w:tc>
        <w:tc>
          <w:tcPr>
            <w:tcW w:w="512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r>
      <w:tr>
        <w:trPr/>
        <w:tc>
          <w:tcPr>
            <w:tcW w:w="2975" w:type="dxa"/>
            <w:tcBorders/>
            <w:shd w:fill="auto" w:val="clear"/>
            <w:vAlign w:val="center"/>
          </w:tcPr>
          <w:p>
            <w:pPr>
              <w:pStyle w:val="TableContents"/>
              <w:spacing w:before="0" w:after="0"/>
              <w:ind w:left="0" w:right="0" w:firstLine="30"/>
              <w:jc w:val="left"/>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113" w:type="dxa"/>
            <w:tcBorders/>
            <w:shd w:fill="auto" w:val="clear"/>
            <w:vAlign w:val="center"/>
          </w:tcPr>
          <w:p>
            <w:pPr>
              <w:pStyle w:val="TableContents"/>
              <w:spacing w:before="0" w:after="0"/>
              <w:ind w:left="0" w:right="0" w:firstLine="30"/>
              <w:rPr/>
            </w:pPr>
            <w:r>
              <w:rPr/>
              <w:t> </w:t>
            </w:r>
          </w:p>
        </w:tc>
        <w:tc>
          <w:tcPr>
            <w:tcW w:w="151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113" w:type="dxa"/>
            <w:tcBorders/>
            <w:shd w:fill="auto" w:val="clear"/>
            <w:vAlign w:val="center"/>
          </w:tcPr>
          <w:p>
            <w:pPr>
              <w:pStyle w:val="TableContents"/>
              <w:spacing w:before="0" w:after="0"/>
              <w:ind w:left="0" w:right="0" w:firstLine="30"/>
              <w:rPr/>
            </w:pPr>
            <w:r>
              <w:rPr/>
              <w:t> </w:t>
            </w:r>
          </w:p>
        </w:tc>
        <w:tc>
          <w:tcPr>
            <w:tcW w:w="145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13"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75" w:type="dxa"/>
            <w:tcBorders/>
            <w:shd w:fill="auto" w:val="clear"/>
            <w:vAlign w:val="center"/>
          </w:tcPr>
          <w:p>
            <w:pPr>
              <w:pStyle w:val="TableContents"/>
              <w:spacing w:before="0" w:after="0"/>
              <w:ind w:left="0" w:right="0" w:firstLine="30"/>
              <w:rPr/>
            </w:pPr>
            <w:r>
              <w:rPr/>
              <w:t> </w:t>
            </w:r>
          </w:p>
        </w:tc>
        <w:tc>
          <w:tcPr>
            <w:tcW w:w="784" w:type="dxa"/>
            <w:gridSpan w:val="2"/>
            <w:tcBorders/>
            <w:shd w:fill="auto" w:val="clear"/>
            <w:vAlign w:val="center"/>
          </w:tcPr>
          <w:p>
            <w:pPr>
              <w:pStyle w:val="TableContents"/>
              <w:spacing w:before="0" w:after="0"/>
              <w:ind w:left="0" w:right="0" w:firstLine="30"/>
              <w:rPr/>
            </w:pPr>
            <w:r>
              <w:rPr/>
              <w:t> </w:t>
            </w:r>
          </w:p>
        </w:tc>
        <w:tc>
          <w:tcPr>
            <w:tcW w:w="113" w:type="dxa"/>
            <w:tcBorders/>
            <w:shd w:fill="auto" w:val="clear"/>
            <w:vAlign w:val="center"/>
          </w:tcPr>
          <w:p>
            <w:pPr>
              <w:pStyle w:val="TableContents"/>
              <w:spacing w:before="0" w:after="0"/>
              <w:ind w:left="0" w:right="0" w:firstLine="30"/>
              <w:rPr/>
            </w:pPr>
            <w:r>
              <w:rPr/>
              <w:t> </w:t>
            </w:r>
          </w:p>
        </w:tc>
        <w:tc>
          <w:tcPr>
            <w:tcW w:w="1519" w:type="dxa"/>
            <w:gridSpan w:val="2"/>
            <w:tcBorders/>
            <w:shd w:fill="auto" w:val="clear"/>
            <w:vAlign w:val="center"/>
          </w:tcPr>
          <w:p>
            <w:pPr>
              <w:pStyle w:val="TableContents"/>
              <w:spacing w:before="0" w:after="0"/>
              <w:ind w:left="0" w:right="0" w:firstLine="30"/>
              <w:rPr/>
            </w:pPr>
            <w:r>
              <w:rPr/>
              <w:t> </w:t>
            </w:r>
          </w:p>
        </w:tc>
        <w:tc>
          <w:tcPr>
            <w:tcW w:w="113"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ind w:left="0" w:right="0" w:firstLine="30"/>
              <w:rPr/>
            </w:pPr>
            <w:r>
              <w:rPr/>
              <w:t> </w:t>
            </w:r>
          </w:p>
        </w:tc>
        <w:tc>
          <w:tcPr>
            <w:tcW w:w="113"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ind w:left="0" w:right="0" w:firstLine="30"/>
              <w:rPr/>
            </w:pPr>
            <w:r>
              <w:rPr/>
              <w:t> </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September 30, 2017</w:t>
            </w:r>
          </w:p>
        </w:tc>
        <w:tc>
          <w:tcPr>
            <w:tcW w:w="591" w:type="dxa"/>
            <w:tcBorders/>
            <w:shd w:fill="CCEEFF" w:val="clear"/>
            <w:vAlign w:val="center"/>
          </w:tcPr>
          <w:p>
            <w:pPr>
              <w:pStyle w:val="TableContents"/>
              <w:spacing w:before="0" w:after="0"/>
              <w:jc w:val="right"/>
              <w:rPr>
                <w:rFonts w:ascii="inherit" w:hAnsi="inherit"/>
                <w:sz w:val="17"/>
              </w:rPr>
            </w:pPr>
            <w:r>
              <w:rPr>
                <w:rFonts w:ascii="inherit" w:hAnsi="inherit"/>
                <w:sz w:val="17"/>
              </w:rPr>
              <w:t>513</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393" w:type="dxa"/>
            <w:tcBorders/>
            <w:shd w:fill="CCEEFF" w:val="clear"/>
            <w:vAlign w:val="center"/>
          </w:tcPr>
          <w:p>
            <w:pPr>
              <w:pStyle w:val="TableContents"/>
              <w:spacing w:before="0" w:after="0"/>
              <w:jc w:val="right"/>
              <w:rPr>
                <w:rFonts w:ascii="inherit" w:hAnsi="inherit"/>
                <w:sz w:val="17"/>
              </w:rPr>
            </w:pPr>
            <w:r>
              <w:rPr>
                <w:rFonts w:ascii="inherit" w:hAnsi="inherit"/>
                <w:sz w:val="17"/>
              </w:rPr>
              <w:t>246</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308"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786</w:t>
            </w:r>
          </w:p>
        </w:tc>
        <w:tc>
          <w:tcPr>
            <w:tcW w:w="49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locations opened</w:t>
            </w:r>
          </w:p>
        </w:tc>
        <w:tc>
          <w:tcPr>
            <w:tcW w:w="591"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393"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Locations acquired</w:t>
            </w:r>
          </w:p>
        </w:tc>
        <w:tc>
          <w:tcPr>
            <w:tcW w:w="591" w:type="dxa"/>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393" w:type="dxa"/>
            <w:tcBorders/>
            <w:shd w:fill="CCEEFF" w:val="clear"/>
            <w:vAlign w:val="center"/>
          </w:tcPr>
          <w:p>
            <w:pPr>
              <w:pStyle w:val="TableContents"/>
              <w:spacing w:before="0" w:after="0"/>
              <w:jc w:val="right"/>
              <w:rPr>
                <w:rFonts w:ascii="inherit" w:hAnsi="inherit"/>
                <w:sz w:val="17"/>
              </w:rPr>
            </w:pPr>
            <w:r>
              <w:rPr>
                <w:rFonts w:ascii="inherit" w:hAnsi="inherit"/>
                <w:sz w:val="17"/>
              </w:rPr>
              <w:t>133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308" w:type="dxa"/>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133</w:t>
            </w:r>
          </w:p>
        </w:tc>
        <w:tc>
          <w:tcPr>
            <w:tcW w:w="49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Locations sold, combined or closed</w:t>
            </w:r>
          </w:p>
        </w:tc>
        <w:tc>
          <w:tcPr>
            <w:tcW w:w="59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9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1393"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4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March 31, 2018</w:t>
            </w:r>
          </w:p>
        </w:tc>
        <w:tc>
          <w:tcPr>
            <w:tcW w:w="59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510</w:t>
            </w:r>
          </w:p>
        </w:tc>
        <w:tc>
          <w:tcPr>
            <w:tcW w:w="19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39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387</w:t>
            </w:r>
          </w:p>
        </w:tc>
        <w:tc>
          <w:tcPr>
            <w:tcW w:w="12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30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52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924</w:t>
            </w:r>
          </w:p>
        </w:tc>
        <w:tc>
          <w:tcPr>
            <w:tcW w:w="49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8086" w:type="dxa"/>
        <w:jc w:val="left"/>
        <w:tblInd w:w="0" w:type="dxa"/>
        <w:tblCellMar>
          <w:top w:w="0" w:type="dxa"/>
          <w:left w:w="0" w:type="dxa"/>
          <w:bottom w:w="0" w:type="dxa"/>
          <w:right w:w="0" w:type="dxa"/>
        </w:tblCellMar>
      </w:tblPr>
      <w:tblGrid>
        <w:gridCol w:w="2975"/>
        <w:gridCol w:w="590"/>
        <w:gridCol w:w="194"/>
        <w:gridCol w:w="108"/>
        <w:gridCol w:w="1143"/>
        <w:gridCol w:w="376"/>
        <w:gridCol w:w="108"/>
        <w:gridCol w:w="1308"/>
        <w:gridCol w:w="151"/>
        <w:gridCol w:w="108"/>
        <w:gridCol w:w="528"/>
        <w:gridCol w:w="497"/>
      </w:tblGrid>
      <w:tr>
        <w:trPr/>
        <w:tc>
          <w:tcPr>
            <w:tcW w:w="8086" w:type="dxa"/>
            <w:gridSpan w:val="12"/>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jc w:val="left"/>
              <w:rPr/>
            </w:pPr>
            <w:r>
              <w:rPr/>
              <w:t> </w:t>
            </w:r>
          </w:p>
        </w:tc>
        <w:tc>
          <w:tcPr>
            <w:tcW w:w="511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2017</w:t>
            </w:r>
          </w:p>
        </w:tc>
      </w:tr>
      <w:tr>
        <w:trPr/>
        <w:tc>
          <w:tcPr>
            <w:tcW w:w="2975" w:type="dxa"/>
            <w:tcBorders/>
            <w:shd w:fill="auto" w:val="clear"/>
            <w:vAlign w:val="center"/>
          </w:tcPr>
          <w:p>
            <w:pPr>
              <w:pStyle w:val="TableContents"/>
              <w:spacing w:before="0" w:after="0"/>
              <w:ind w:left="0" w:right="0" w:firstLine="30"/>
              <w:jc w:val="left"/>
              <w:rPr/>
            </w:pPr>
            <w:r>
              <w:rPr/>
              <w:t> </w:t>
            </w:r>
          </w:p>
        </w:tc>
        <w:tc>
          <w:tcPr>
            <w:tcW w:w="511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r>
      <w:tr>
        <w:trPr/>
        <w:tc>
          <w:tcPr>
            <w:tcW w:w="2975" w:type="dxa"/>
            <w:tcBorders/>
            <w:shd w:fill="auto" w:val="clear"/>
            <w:vAlign w:val="center"/>
          </w:tcPr>
          <w:p>
            <w:pPr>
              <w:pStyle w:val="TableContents"/>
              <w:spacing w:before="0" w:after="0"/>
              <w:ind w:left="0" w:right="0" w:firstLine="30"/>
              <w:jc w:val="left"/>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108" w:type="dxa"/>
            <w:tcBorders/>
            <w:shd w:fill="auto" w:val="clear"/>
            <w:vAlign w:val="center"/>
          </w:tcPr>
          <w:p>
            <w:pPr>
              <w:pStyle w:val="TableContents"/>
              <w:spacing w:before="0" w:after="0"/>
              <w:ind w:left="0" w:right="0" w:firstLine="30"/>
              <w:rPr/>
            </w:pPr>
            <w:r>
              <w:rPr/>
              <w:t> </w:t>
            </w:r>
          </w:p>
        </w:tc>
        <w:tc>
          <w:tcPr>
            <w:tcW w:w="151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108" w:type="dxa"/>
            <w:tcBorders/>
            <w:shd w:fill="auto" w:val="clear"/>
            <w:vAlign w:val="center"/>
          </w:tcPr>
          <w:p>
            <w:pPr>
              <w:pStyle w:val="TableContents"/>
              <w:spacing w:before="0" w:after="0"/>
              <w:ind w:left="0" w:right="0" w:firstLine="30"/>
              <w:rPr/>
            </w:pPr>
            <w:r>
              <w:rPr/>
              <w:t> </w:t>
            </w:r>
          </w:p>
        </w:tc>
        <w:tc>
          <w:tcPr>
            <w:tcW w:w="145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08"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75" w:type="dxa"/>
            <w:tcBorders/>
            <w:shd w:fill="auto" w:val="clear"/>
            <w:vAlign w:val="center"/>
          </w:tcPr>
          <w:p>
            <w:pPr>
              <w:pStyle w:val="TableContents"/>
              <w:spacing w:before="0" w:after="0"/>
              <w:ind w:left="0" w:right="0" w:firstLine="30"/>
              <w:rPr/>
            </w:pPr>
            <w:r>
              <w:rPr/>
              <w:t> </w:t>
            </w:r>
          </w:p>
        </w:tc>
        <w:tc>
          <w:tcPr>
            <w:tcW w:w="784" w:type="dxa"/>
            <w:gridSpan w:val="2"/>
            <w:tcBorders/>
            <w:shd w:fill="auto" w:val="clear"/>
            <w:vAlign w:val="center"/>
          </w:tcPr>
          <w:p>
            <w:pPr>
              <w:pStyle w:val="TableContents"/>
              <w:spacing w:before="0" w:after="0"/>
              <w:ind w:left="0" w:right="0" w:firstLine="30"/>
              <w:rPr/>
            </w:pPr>
            <w:r>
              <w:rPr/>
              <w:t> </w:t>
            </w:r>
          </w:p>
        </w:tc>
        <w:tc>
          <w:tcPr>
            <w:tcW w:w="108" w:type="dxa"/>
            <w:tcBorders/>
            <w:shd w:fill="auto" w:val="clear"/>
            <w:vAlign w:val="center"/>
          </w:tcPr>
          <w:p>
            <w:pPr>
              <w:pStyle w:val="TableContents"/>
              <w:spacing w:before="0" w:after="0"/>
              <w:ind w:left="0" w:right="0" w:firstLine="30"/>
              <w:rPr/>
            </w:pPr>
            <w:r>
              <w:rPr/>
              <w:t> </w:t>
            </w:r>
          </w:p>
        </w:tc>
        <w:tc>
          <w:tcPr>
            <w:tcW w:w="1519" w:type="dxa"/>
            <w:gridSpan w:val="2"/>
            <w:tcBorders/>
            <w:shd w:fill="auto" w:val="clear"/>
            <w:vAlign w:val="center"/>
          </w:tcPr>
          <w:p>
            <w:pPr>
              <w:pStyle w:val="TableContents"/>
              <w:spacing w:before="0" w:after="0"/>
              <w:ind w:left="0" w:right="0" w:firstLine="30"/>
              <w:rPr/>
            </w:pPr>
            <w:r>
              <w:rPr/>
              <w:t> </w:t>
            </w:r>
          </w:p>
        </w:tc>
        <w:tc>
          <w:tcPr>
            <w:tcW w:w="108"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ind w:left="0" w:right="0" w:firstLine="30"/>
              <w:rPr/>
            </w:pPr>
            <w:r>
              <w:rPr/>
              <w:t> </w:t>
            </w:r>
          </w:p>
        </w:tc>
        <w:tc>
          <w:tcPr>
            <w:tcW w:w="108"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ind w:left="0" w:right="0" w:firstLine="30"/>
              <w:rPr/>
            </w:pPr>
            <w:r>
              <w:rPr/>
              <w:t> </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September 30, 2016</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520</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1143" w:type="dxa"/>
            <w:tcBorders/>
            <w:shd w:fill="CCEEFF" w:val="clear"/>
            <w:vAlign w:val="center"/>
          </w:tcPr>
          <w:p>
            <w:pPr>
              <w:pStyle w:val="TableContents"/>
              <w:spacing w:before="0" w:after="0"/>
              <w:jc w:val="right"/>
              <w:rPr>
                <w:rFonts w:ascii="inherit" w:hAnsi="inherit"/>
                <w:sz w:val="17"/>
              </w:rPr>
            </w:pPr>
            <w:r>
              <w:rPr>
                <w:rFonts w:ascii="inherit" w:hAnsi="inherit"/>
                <w:sz w:val="17"/>
              </w:rPr>
              <w:t>239</w:t>
            </w:r>
          </w:p>
        </w:tc>
        <w:tc>
          <w:tcPr>
            <w:tcW w:w="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1308"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786</w:t>
            </w:r>
          </w:p>
        </w:tc>
        <w:tc>
          <w:tcPr>
            <w:tcW w:w="49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locations opened</w:t>
            </w:r>
          </w:p>
        </w:tc>
        <w:tc>
          <w:tcPr>
            <w:tcW w:w="590" w:type="dxa"/>
            <w:tcBorders/>
            <w:shd w:fill="auto" w:val="clear"/>
            <w:vAlign w:val="center"/>
          </w:tcPr>
          <w:p>
            <w:pPr>
              <w:pStyle w:val="TableContents"/>
              <w:spacing w:before="0" w:after="0"/>
              <w:jc w:val="right"/>
              <w:rPr/>
            </w:pPr>
            <w:r>
              <w:rPr/>
              <w:t>—</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1143"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Locations sold, combined or closed</w:t>
            </w:r>
          </w:p>
        </w:tc>
        <w:tc>
          <w:tcPr>
            <w:tcW w:w="59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9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8" w:type="dxa"/>
            <w:tcBorders/>
            <w:shd w:fill="CCEEFF" w:val="clear"/>
            <w:vAlign w:val="center"/>
          </w:tcPr>
          <w:p>
            <w:pPr>
              <w:pStyle w:val="TableContents"/>
              <w:spacing w:before="0" w:after="0"/>
              <w:ind w:left="0" w:right="0" w:firstLine="30"/>
              <w:rPr/>
            </w:pPr>
            <w:r>
              <w:rPr/>
              <w:t> </w:t>
            </w:r>
          </w:p>
        </w:tc>
        <w:tc>
          <w:tcPr>
            <w:tcW w:w="1143"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8" w:type="dxa"/>
            <w:tcBorders/>
            <w:shd w:fill="CCEEFF" w:val="clear"/>
            <w:vAlign w:val="center"/>
          </w:tcPr>
          <w:p>
            <w:pPr>
              <w:pStyle w:val="TableContents"/>
              <w:spacing w:before="0" w:after="0"/>
              <w:ind w:left="0" w:right="0" w:firstLine="30"/>
              <w:rPr/>
            </w:pPr>
            <w:r>
              <w:rPr/>
              <w:t> </w:t>
            </w:r>
          </w:p>
        </w:tc>
        <w:tc>
          <w:tcPr>
            <w:tcW w:w="1308" w:type="dxa"/>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4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March 31, 2017</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517</w:t>
            </w:r>
          </w:p>
        </w:tc>
        <w:tc>
          <w:tcPr>
            <w:tcW w:w="19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1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240</w:t>
            </w:r>
          </w:p>
        </w:tc>
        <w:tc>
          <w:tcPr>
            <w:tcW w:w="3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13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784</w:t>
            </w:r>
          </w:p>
        </w:tc>
        <w:tc>
          <w:tcPr>
            <w:tcW w:w="4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rPr/>
      </w:pPr>
      <w:hyperlink w:anchor="sA33FD6028AA25395924ED4406F429385">
        <w:bookmarkStart w:id="24" w:name="s0AAD3B5018465C31B368B6ACC101261B"/>
        <w:bookmarkEnd w:id="24"/>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Results of Operations</w:t>
      </w:r>
    </w:p>
    <w:p>
      <w:pPr>
        <w:pStyle w:val="TextBody"/>
        <w:spacing w:lineRule="auto" w:line="288" w:before="0" w:after="0"/>
        <w:rPr>
          <w:sz w:val="17"/>
        </w:rPr>
      </w:pPr>
      <w:r>
        <w:rPr>
          <w:rFonts w:ascii="inherit" w:hAnsi="inherit"/>
          <w:b/>
          <w:sz w:val="17"/>
          <w:u w:val="single"/>
        </w:rPr>
        <w:t>Three Months Ended March 31, 2018</w:t>
      </w:r>
      <w:r>
        <w:rPr>
          <w:sz w:val="17"/>
          <w:u w:val="single"/>
        </w:rPr>
        <w:t xml:space="preserve"> </w:t>
      </w:r>
      <w:r>
        <w:rPr>
          <w:rFonts w:ascii="inherit" w:hAnsi="inherit"/>
          <w:b/>
          <w:sz w:val="17"/>
          <w:u w:val="single"/>
        </w:rPr>
        <w:t>vs. Three Months Ended March 31, 2017</w:t>
      </w:r>
      <w:r>
        <w:rPr>
          <w:sz w:val="17"/>
          <w:u w:val="single"/>
        </w:rPr>
        <w:t xml:space="preserve"> </w:t>
      </w:r>
    </w:p>
    <w:p>
      <w:pPr>
        <w:pStyle w:val="TextBody"/>
        <w:spacing w:lineRule="auto" w:line="288" w:before="0" w:after="0"/>
        <w:jc w:val="left"/>
        <w:rPr>
          <w:rFonts w:ascii="inherit" w:hAnsi="inherit"/>
          <w:sz w:val="17"/>
        </w:rPr>
      </w:pPr>
      <w:r>
        <w:rPr>
          <w:rFonts w:ascii="inherit" w:hAnsi="inherit"/>
          <w:sz w:val="17"/>
        </w:rPr>
        <w:t>These tables, as well as the discussion that follows, should be read with the accompanying condensed consolidated financial statements and related notes. All comparisons, unless otherwise noted, are to the prior-year quarter.</w:t>
      </w:r>
    </w:p>
    <w:p>
      <w:pPr>
        <w:pStyle w:val="TextBody"/>
        <w:spacing w:lineRule="auto" w:line="288" w:before="0" w:after="0"/>
        <w:jc w:val="left"/>
        <w:rPr>
          <w:rFonts w:ascii="inherit" w:hAnsi="inherit"/>
          <w:b/>
          <w:i/>
          <w:sz w:val="17"/>
        </w:rPr>
      </w:pPr>
      <w:r>
        <w:rPr>
          <w:rFonts w:ascii="inherit" w:hAnsi="inherit"/>
          <w:b/>
          <w:i/>
          <w:sz w:val="17"/>
        </w:rPr>
        <w:t>U.S. Pawn</w:t>
      </w:r>
    </w:p>
    <w:p>
      <w:pPr>
        <w:pStyle w:val="TextBody"/>
        <w:spacing w:lineRule="auto" w:line="288" w:before="0" w:after="0"/>
        <w:rPr>
          <w:rFonts w:ascii="inherit" w:hAnsi="inherit"/>
          <w:sz w:val="17"/>
        </w:rPr>
      </w:pPr>
      <w:r>
        <w:rPr>
          <w:rFonts w:ascii="inherit" w:hAnsi="inherit"/>
          <w:sz w:val="17"/>
        </w:rPr>
        <w:t xml:space="preserve">The following table presents selected summary financial data from continuing operations for the U.S. Pawn segment: </w:t>
      </w:r>
    </w:p>
    <w:tbl>
      <w:tblPr>
        <w:tblW w:w="8171" w:type="dxa"/>
        <w:jc w:val="left"/>
        <w:tblInd w:w="0" w:type="dxa"/>
        <w:tblCellMar>
          <w:top w:w="0" w:type="dxa"/>
          <w:left w:w="0" w:type="dxa"/>
          <w:bottom w:w="0" w:type="dxa"/>
          <w:right w:w="0" w:type="dxa"/>
        </w:tblCellMar>
      </w:tblPr>
      <w:tblGrid>
        <w:gridCol w:w="4820"/>
        <w:gridCol w:w="135"/>
        <w:gridCol w:w="755"/>
        <w:gridCol w:w="217"/>
        <w:gridCol w:w="97"/>
        <w:gridCol w:w="135"/>
        <w:gridCol w:w="755"/>
        <w:gridCol w:w="217"/>
        <w:gridCol w:w="90"/>
        <w:gridCol w:w="950"/>
      </w:tblGrid>
      <w:tr>
        <w:trPr/>
        <w:tc>
          <w:tcPr>
            <w:tcW w:w="8171" w:type="dxa"/>
            <w:gridSpan w:val="10"/>
            <w:tcBorders/>
            <w:shd w:fill="auto"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20" w:type="dxa"/>
            <w:tcBorders/>
            <w:shd w:fill="auto" w:val="clear"/>
            <w:vAlign w:val="center"/>
          </w:tcPr>
          <w:p>
            <w:pPr>
              <w:pStyle w:val="TableContents"/>
              <w:spacing w:before="0" w:after="0"/>
              <w:ind w:left="0" w:right="0" w:firstLine="30"/>
              <w:jc w:val="left"/>
              <w:rPr/>
            </w:pPr>
            <w:r>
              <w:rPr/>
              <w:t> </w:t>
            </w:r>
          </w:p>
        </w:tc>
        <w:tc>
          <w:tcPr>
            <w:tcW w:w="231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950"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4820" w:type="dxa"/>
            <w:tcBorders/>
            <w:shd w:fill="auto" w:val="clear"/>
            <w:vAlign w:val="center"/>
          </w:tcPr>
          <w:p>
            <w:pPr>
              <w:pStyle w:val="TableContents"/>
              <w:spacing w:before="0" w:after="0"/>
              <w:ind w:left="0" w:right="0" w:firstLine="30"/>
              <w:jc w:val="left"/>
              <w:rPr/>
            </w:pPr>
            <w:r>
              <w:rPr/>
              <w:t> </w:t>
            </w:r>
          </w:p>
        </w:tc>
        <w:tc>
          <w:tcPr>
            <w:tcW w:w="11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7" w:type="dxa"/>
            <w:tcBorders/>
            <w:shd w:fill="auto" w:val="clear"/>
            <w:vAlign w:val="center"/>
          </w:tcPr>
          <w:p>
            <w:pPr>
              <w:pStyle w:val="TableContents"/>
              <w:spacing w:before="0" w:after="0"/>
              <w:ind w:left="0" w:right="0" w:firstLine="30"/>
              <w:rPr/>
            </w:pPr>
            <w:r>
              <w:rPr/>
              <w:t> </w:t>
            </w:r>
          </w:p>
        </w:tc>
        <w:tc>
          <w:tcPr>
            <w:tcW w:w="11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950" w:type="dxa"/>
            <w:vMerge w:val="continue"/>
            <w:tcBorders>
              <w:bottom w:val="single" w:sz="2" w:space="0" w:color="000000"/>
            </w:tcBorders>
            <w:shd w:fill="auto" w:val="clear"/>
            <w:tcMar>
              <w:bottom w:w="30" w:type="dxa"/>
            </w:tcMar>
            <w:vAlign w:val="center"/>
          </w:tcPr>
          <w:p>
            <w:pPr>
              <w:pStyle w:val="Normal"/>
              <w:rPr/>
            </w:pPr>
            <w:r>
              <w:rPr/>
            </w:r>
          </w:p>
        </w:tc>
      </w:tr>
      <w:tr>
        <w:trPr/>
        <w:tc>
          <w:tcPr>
            <w:tcW w:w="4820" w:type="dxa"/>
            <w:tcBorders/>
            <w:shd w:fill="auto" w:val="clear"/>
            <w:vAlign w:val="center"/>
          </w:tcPr>
          <w:p>
            <w:pPr>
              <w:pStyle w:val="TableContents"/>
              <w:spacing w:before="0" w:after="0"/>
              <w:ind w:left="0" w:right="0" w:firstLine="30"/>
              <w:rPr/>
            </w:pPr>
            <w:r>
              <w:rPr/>
              <w:t> </w:t>
            </w:r>
          </w:p>
        </w:tc>
        <w:tc>
          <w:tcPr>
            <w:tcW w:w="1107" w:type="dxa"/>
            <w:gridSpan w:val="3"/>
            <w:tcBorders/>
            <w:shd w:fill="auto" w:val="clear"/>
            <w:vAlign w:val="center"/>
          </w:tcPr>
          <w:p>
            <w:pPr>
              <w:pStyle w:val="TableContents"/>
              <w:spacing w:before="0" w:after="0"/>
              <w:ind w:left="0" w:right="0" w:firstLine="30"/>
              <w:rPr/>
            </w:pPr>
            <w:r>
              <w:rPr/>
              <w:t> </w:t>
            </w:r>
          </w:p>
        </w:tc>
        <w:tc>
          <w:tcPr>
            <w:tcW w:w="97" w:type="dxa"/>
            <w:tcBorders/>
            <w:shd w:fill="auto" w:val="clear"/>
            <w:vAlign w:val="center"/>
          </w:tcPr>
          <w:p>
            <w:pPr>
              <w:pStyle w:val="TableContents"/>
              <w:spacing w:before="0" w:after="0"/>
              <w:ind w:left="0" w:right="0" w:firstLine="30"/>
              <w:rPr/>
            </w:pPr>
            <w:r>
              <w:rPr/>
              <w:t> </w:t>
            </w:r>
          </w:p>
        </w:tc>
        <w:tc>
          <w:tcPr>
            <w:tcW w:w="110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
              <w:rPr/>
            </w:pPr>
            <w:r>
              <w:rPr/>
              <w:t> </w:t>
            </w:r>
          </w:p>
        </w:tc>
      </w:tr>
      <w:tr>
        <w:trPr/>
        <w:tc>
          <w:tcPr>
            <w:tcW w:w="4820" w:type="dxa"/>
            <w:tcBorders/>
            <w:shd w:fill="auto" w:val="clear"/>
            <w:vAlign w:val="center"/>
          </w:tcPr>
          <w:p>
            <w:pPr>
              <w:pStyle w:val="TableContents"/>
              <w:spacing w:before="0" w:after="0"/>
              <w:ind w:left="0" w:right="0" w:firstLine="30"/>
              <w:jc w:val="left"/>
              <w:rPr/>
            </w:pPr>
            <w:r>
              <w:rPr/>
              <w:t> </w:t>
            </w:r>
          </w:p>
        </w:tc>
        <w:tc>
          <w:tcPr>
            <w:tcW w:w="231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107" w:type="dxa"/>
            <w:gridSpan w:val="3"/>
            <w:tcBorders/>
            <w:shd w:fill="CCEEFF" w:val="clear"/>
            <w:vAlign w:val="center"/>
          </w:tcPr>
          <w:p>
            <w:pPr>
              <w:pStyle w:val="TableContents"/>
              <w:spacing w:before="0" w:after="0"/>
              <w:ind w:left="0" w:right="0" w:firstLine="30"/>
              <w:rPr/>
            </w:pPr>
            <w:r>
              <w:rPr/>
              <w:t> </w:t>
            </w:r>
          </w:p>
        </w:tc>
        <w:tc>
          <w:tcPr>
            <w:tcW w:w="97" w:type="dxa"/>
            <w:tcBorders/>
            <w:shd w:fill="CCEEFF" w:val="clear"/>
            <w:vAlign w:val="center"/>
          </w:tcPr>
          <w:p>
            <w:pPr>
              <w:pStyle w:val="TableContents"/>
              <w:spacing w:before="0" w:after="0"/>
              <w:ind w:left="0" w:right="0" w:firstLine="30"/>
              <w:rPr/>
            </w:pPr>
            <w:r>
              <w:rPr/>
              <w:t> </w:t>
            </w:r>
          </w:p>
        </w:tc>
        <w:tc>
          <w:tcPr>
            <w:tcW w:w="11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3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shd w:fill="auto" w:val="clear"/>
            <w:vAlign w:val="center"/>
          </w:tcPr>
          <w:p>
            <w:pPr>
              <w:pStyle w:val="TableContents"/>
              <w:spacing w:before="0" w:after="0"/>
              <w:jc w:val="right"/>
              <w:rPr>
                <w:rFonts w:ascii="inherit" w:hAnsi="inherit"/>
                <w:sz w:val="17"/>
              </w:rPr>
            </w:pPr>
            <w:r>
              <w:rPr>
                <w:rFonts w:ascii="inherit" w:hAnsi="inherit"/>
                <w:sz w:val="17"/>
              </w:rPr>
              <w:t>59,114</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shd w:fill="auto" w:val="clear"/>
            <w:vAlign w:val="center"/>
          </w:tcPr>
          <w:p>
            <w:pPr>
              <w:pStyle w:val="TableContents"/>
              <w:spacing w:before="0" w:after="0"/>
              <w:jc w:val="right"/>
              <w:rPr>
                <w:rFonts w:ascii="inherit" w:hAnsi="inherit"/>
                <w:sz w:val="17"/>
              </w:rPr>
            </w:pPr>
            <w:r>
              <w:rPr>
                <w:rFonts w:ascii="inherit" w:hAnsi="inherit"/>
                <w:sz w:val="17"/>
              </w:rPr>
              <w:t>59,661</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w:t>
            </w:r>
          </w:p>
        </w:tc>
      </w:tr>
      <w:tr>
        <w:trPr/>
        <w:tc>
          <w:tcPr>
            <w:tcW w:w="4820" w:type="dxa"/>
            <w:tcBorders/>
            <w:shd w:fill="CCEEFF" w:val="clear"/>
            <w:vAlign w:val="center"/>
          </w:tcPr>
          <w:p>
            <w:pPr>
              <w:pStyle w:val="TableContents"/>
              <w:spacing w:before="0" w:after="0"/>
              <w:ind w:left="0" w:right="0" w:firstLine="30"/>
              <w:rPr/>
            </w:pPr>
            <w:r>
              <w:rPr/>
              <w:t> </w:t>
            </w:r>
          </w:p>
        </w:tc>
        <w:tc>
          <w:tcPr>
            <w:tcW w:w="1107" w:type="dxa"/>
            <w:gridSpan w:val="3"/>
            <w:tcBorders/>
            <w:shd w:fill="CCEEFF" w:val="clear"/>
            <w:vAlign w:val="center"/>
          </w:tcPr>
          <w:p>
            <w:pPr>
              <w:pStyle w:val="TableContents"/>
              <w:spacing w:before="0" w:after="0"/>
              <w:ind w:left="0" w:right="0" w:firstLine="30"/>
              <w:rPr/>
            </w:pPr>
            <w:r>
              <w:rPr/>
              <w:t> </w:t>
            </w:r>
          </w:p>
        </w:tc>
        <w:tc>
          <w:tcPr>
            <w:tcW w:w="97" w:type="dxa"/>
            <w:tcBorders/>
            <w:shd w:fill="CCEEFF" w:val="clear"/>
            <w:vAlign w:val="center"/>
          </w:tcPr>
          <w:p>
            <w:pPr>
              <w:pStyle w:val="TableContents"/>
              <w:spacing w:before="0" w:after="0"/>
              <w:ind w:left="0" w:right="0" w:firstLine="30"/>
              <w:rPr/>
            </w:pPr>
            <w:r>
              <w:rPr/>
              <w:t> </w:t>
            </w:r>
          </w:p>
        </w:tc>
        <w:tc>
          <w:tcPr>
            <w:tcW w:w="11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94,753</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95,550</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(1)%</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 gross profit</w:t>
            </w:r>
          </w:p>
        </w:tc>
        <w:tc>
          <w:tcPr>
            <w:tcW w:w="8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36,216</w:t>
            </w:r>
          </w:p>
        </w:tc>
        <w:tc>
          <w:tcPr>
            <w:tcW w:w="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35,051</w:t>
            </w:r>
          </w:p>
        </w:tc>
        <w:tc>
          <w:tcPr>
            <w:tcW w:w="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3%</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100bps</w:t>
            </w:r>
          </w:p>
        </w:tc>
      </w:tr>
      <w:tr>
        <w:trPr/>
        <w:tc>
          <w:tcPr>
            <w:tcW w:w="4820" w:type="dxa"/>
            <w:tcBorders/>
            <w:shd w:fill="CCEEFF" w:val="clear"/>
            <w:vAlign w:val="center"/>
          </w:tcPr>
          <w:p>
            <w:pPr>
              <w:pStyle w:val="TableContents"/>
              <w:spacing w:before="0" w:after="0"/>
              <w:ind w:left="0" w:right="0" w:firstLine="30"/>
              <w:rPr/>
            </w:pPr>
            <w:r>
              <w:rPr/>
              <w:t> </w:t>
            </w:r>
          </w:p>
        </w:tc>
        <w:tc>
          <w:tcPr>
            <w:tcW w:w="1107" w:type="dxa"/>
            <w:gridSpan w:val="3"/>
            <w:tcBorders/>
            <w:shd w:fill="CCEEFF" w:val="clear"/>
            <w:vAlign w:val="center"/>
          </w:tcPr>
          <w:p>
            <w:pPr>
              <w:pStyle w:val="TableContents"/>
              <w:spacing w:before="0" w:after="0"/>
              <w:ind w:left="0" w:right="0" w:firstLine="30"/>
              <w:rPr/>
            </w:pPr>
            <w:r>
              <w:rPr/>
              <w:t> </w:t>
            </w:r>
          </w:p>
        </w:tc>
        <w:tc>
          <w:tcPr>
            <w:tcW w:w="97" w:type="dxa"/>
            <w:tcBorders/>
            <w:shd w:fill="CCEEFF" w:val="clear"/>
            <w:vAlign w:val="center"/>
          </w:tcPr>
          <w:p>
            <w:pPr>
              <w:pStyle w:val="TableContents"/>
              <w:spacing w:before="0" w:after="0"/>
              <w:ind w:left="0" w:right="0" w:firstLine="30"/>
              <w:rPr/>
            </w:pPr>
            <w:r>
              <w:rPr/>
              <w:t> </w:t>
            </w:r>
          </w:p>
        </w:tc>
        <w:tc>
          <w:tcPr>
            <w:tcW w:w="11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8,177</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9,056</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(10)%</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 gross profit</w:t>
            </w:r>
          </w:p>
        </w:tc>
        <w:tc>
          <w:tcPr>
            <w:tcW w:w="8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1,665</w:t>
            </w:r>
          </w:p>
        </w:tc>
        <w:tc>
          <w:tcPr>
            <w:tcW w:w="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1,166</w:t>
            </w:r>
          </w:p>
        </w:tc>
        <w:tc>
          <w:tcPr>
            <w:tcW w:w="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43%</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700bps</w:t>
            </w:r>
          </w:p>
        </w:tc>
      </w:tr>
      <w:tr>
        <w:trPr/>
        <w:tc>
          <w:tcPr>
            <w:tcW w:w="4820" w:type="dxa"/>
            <w:tcBorders/>
            <w:shd w:fill="CCEEFF" w:val="clear"/>
            <w:vAlign w:val="center"/>
          </w:tcPr>
          <w:p>
            <w:pPr>
              <w:pStyle w:val="TableContents"/>
              <w:spacing w:before="0" w:after="0"/>
              <w:ind w:left="0" w:right="0" w:firstLine="30"/>
              <w:rPr/>
            </w:pPr>
            <w:r>
              <w:rPr/>
              <w:t> </w:t>
            </w:r>
          </w:p>
        </w:tc>
        <w:tc>
          <w:tcPr>
            <w:tcW w:w="1107" w:type="dxa"/>
            <w:gridSpan w:val="3"/>
            <w:tcBorders/>
            <w:shd w:fill="CCEEFF" w:val="clear"/>
            <w:vAlign w:val="center"/>
          </w:tcPr>
          <w:p>
            <w:pPr>
              <w:pStyle w:val="TableContents"/>
              <w:spacing w:before="0" w:after="0"/>
              <w:ind w:left="0" w:right="0" w:firstLine="30"/>
              <w:rPr/>
            </w:pPr>
            <w:r>
              <w:rPr/>
              <w:t> </w:t>
            </w:r>
          </w:p>
        </w:tc>
        <w:tc>
          <w:tcPr>
            <w:tcW w:w="97" w:type="dxa"/>
            <w:tcBorders/>
            <w:shd w:fill="CCEEFF" w:val="clear"/>
            <w:vAlign w:val="center"/>
          </w:tcPr>
          <w:p>
            <w:pPr>
              <w:pStyle w:val="TableContents"/>
              <w:spacing w:before="0" w:after="0"/>
              <w:ind w:left="0" w:right="0" w:firstLine="30"/>
              <w:rPr/>
            </w:pPr>
            <w:r>
              <w:rPr/>
              <w:t> </w:t>
            </w:r>
          </w:p>
        </w:tc>
        <w:tc>
          <w:tcPr>
            <w:tcW w:w="11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36%</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8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97,071</w:t>
            </w:r>
          </w:p>
        </w:tc>
        <w:tc>
          <w:tcPr>
            <w:tcW w:w="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95,934</w:t>
            </w:r>
          </w:p>
        </w:tc>
        <w:tc>
          <w:tcPr>
            <w:tcW w:w="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w:t>
            </w:r>
          </w:p>
        </w:tc>
      </w:tr>
      <w:tr>
        <w:trPr/>
        <w:tc>
          <w:tcPr>
            <w:tcW w:w="4820" w:type="dxa"/>
            <w:tcBorders/>
            <w:shd w:fill="auto" w:val="clear"/>
            <w:vAlign w:val="center"/>
          </w:tcPr>
          <w:p>
            <w:pPr>
              <w:pStyle w:val="TableContents"/>
              <w:spacing w:before="0" w:after="0"/>
              <w:ind w:left="0" w:right="0" w:firstLine="30"/>
              <w:rPr/>
            </w:pPr>
            <w:r>
              <w:rPr/>
              <w:t> </w:t>
            </w:r>
          </w:p>
        </w:tc>
        <w:tc>
          <w:tcPr>
            <w:tcW w:w="1107" w:type="dxa"/>
            <w:gridSpan w:val="3"/>
            <w:tcBorders/>
            <w:shd w:fill="auto" w:val="clear"/>
            <w:vAlign w:val="center"/>
          </w:tcPr>
          <w:p>
            <w:pPr>
              <w:pStyle w:val="TableContents"/>
              <w:spacing w:before="0" w:after="0"/>
              <w:ind w:left="0" w:right="0" w:firstLine="30"/>
              <w:rPr/>
            </w:pPr>
            <w:r>
              <w:rPr/>
              <w:t> </w:t>
            </w:r>
          </w:p>
        </w:tc>
        <w:tc>
          <w:tcPr>
            <w:tcW w:w="97" w:type="dxa"/>
            <w:tcBorders/>
            <w:shd w:fill="auto" w:val="clear"/>
            <w:vAlign w:val="center"/>
          </w:tcPr>
          <w:p>
            <w:pPr>
              <w:pStyle w:val="TableContents"/>
              <w:spacing w:before="0" w:after="0"/>
              <w:ind w:left="0" w:right="0" w:firstLine="30"/>
              <w:rPr/>
            </w:pPr>
            <w:r>
              <w:rPr/>
              <w:t> </w:t>
            </w:r>
          </w:p>
        </w:tc>
        <w:tc>
          <w:tcPr>
            <w:tcW w:w="110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expenses:</w:t>
            </w:r>
          </w:p>
        </w:tc>
        <w:tc>
          <w:tcPr>
            <w:tcW w:w="1107" w:type="dxa"/>
            <w:gridSpan w:val="3"/>
            <w:tcBorders/>
            <w:shd w:fill="CCEEFF" w:val="clear"/>
            <w:vAlign w:val="center"/>
          </w:tcPr>
          <w:p>
            <w:pPr>
              <w:pStyle w:val="TableContents"/>
              <w:spacing w:before="0" w:after="0"/>
              <w:ind w:left="0" w:right="0" w:firstLine="30"/>
              <w:rPr/>
            </w:pPr>
            <w:r>
              <w:rPr/>
              <w:t> </w:t>
            </w:r>
          </w:p>
        </w:tc>
        <w:tc>
          <w:tcPr>
            <w:tcW w:w="97" w:type="dxa"/>
            <w:tcBorders/>
            <w:shd w:fill="CCEEFF" w:val="clear"/>
            <w:vAlign w:val="center"/>
          </w:tcPr>
          <w:p>
            <w:pPr>
              <w:pStyle w:val="TableContents"/>
              <w:spacing w:before="0" w:after="0"/>
              <w:ind w:left="0" w:right="0" w:firstLine="30"/>
              <w:rPr/>
            </w:pPr>
            <w:r>
              <w:rPr/>
              <w:t> </w:t>
            </w:r>
          </w:p>
        </w:tc>
        <w:tc>
          <w:tcPr>
            <w:tcW w:w="11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65,191</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63,556</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3%</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9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3,531</w:t>
            </w:r>
          </w:p>
        </w:tc>
        <w:tc>
          <w:tcPr>
            <w:tcW w:w="21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89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2,660</w:t>
            </w:r>
          </w:p>
        </w:tc>
        <w:tc>
          <w:tcPr>
            <w:tcW w:w="21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33%</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contribution</w:t>
            </w:r>
          </w:p>
        </w:tc>
        <w:tc>
          <w:tcPr>
            <w:tcW w:w="89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28,349</w:t>
            </w:r>
          </w:p>
        </w:tc>
        <w:tc>
          <w:tcPr>
            <w:tcW w:w="21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89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29,718</w:t>
            </w:r>
          </w:p>
        </w:tc>
        <w:tc>
          <w:tcPr>
            <w:tcW w:w="21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w:t>
            </w:r>
          </w:p>
        </w:tc>
      </w:tr>
      <w:tr>
        <w:trPr/>
        <w:tc>
          <w:tcPr>
            <w:tcW w:w="4820" w:type="dxa"/>
            <w:tcBorders/>
            <w:shd w:fill="CCEEFF" w:val="clear"/>
            <w:vAlign w:val="center"/>
          </w:tcPr>
          <w:p>
            <w:pPr>
              <w:pStyle w:val="TableContents"/>
              <w:spacing w:before="0" w:after="0"/>
              <w:ind w:left="0" w:right="0" w:firstLine="30"/>
              <w:rPr/>
            </w:pPr>
            <w:r>
              <w:rPr/>
              <w:t> </w:t>
            </w:r>
          </w:p>
        </w:tc>
        <w:tc>
          <w:tcPr>
            <w:tcW w:w="1107" w:type="dxa"/>
            <w:gridSpan w:val="3"/>
            <w:tcBorders/>
            <w:shd w:fill="CCEEFF" w:val="clear"/>
            <w:vAlign w:val="center"/>
          </w:tcPr>
          <w:p>
            <w:pPr>
              <w:pStyle w:val="TableContents"/>
              <w:spacing w:before="0" w:after="0"/>
              <w:ind w:left="0" w:right="0" w:firstLine="30"/>
              <w:rPr/>
            </w:pPr>
            <w:r>
              <w:rPr/>
              <w:t> </w:t>
            </w:r>
          </w:p>
        </w:tc>
        <w:tc>
          <w:tcPr>
            <w:tcW w:w="97" w:type="dxa"/>
            <w:tcBorders/>
            <w:shd w:fill="CCEEFF" w:val="clear"/>
            <w:vAlign w:val="center"/>
          </w:tcPr>
          <w:p>
            <w:pPr>
              <w:pStyle w:val="TableContents"/>
              <w:spacing w:before="0" w:after="0"/>
              <w:ind w:left="0" w:right="0" w:firstLine="30"/>
              <w:rPr/>
            </w:pPr>
            <w:r>
              <w:rPr/>
              <w:t> </w:t>
            </w:r>
          </w:p>
        </w:tc>
        <w:tc>
          <w:tcPr>
            <w:tcW w:w="11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3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segment expenses (income)</w:t>
            </w:r>
          </w:p>
        </w:tc>
        <w:tc>
          <w:tcPr>
            <w:tcW w:w="8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108</w:t>
            </w:r>
          </w:p>
        </w:tc>
        <w:tc>
          <w:tcPr>
            <w:tcW w:w="21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8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21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3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28,241</w:t>
            </w:r>
          </w:p>
        </w:tc>
        <w:tc>
          <w:tcPr>
            <w:tcW w:w="21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13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29,725</w:t>
            </w:r>
          </w:p>
        </w:tc>
        <w:tc>
          <w:tcPr>
            <w:tcW w:w="21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w:t>
            </w:r>
          </w:p>
        </w:tc>
      </w:tr>
      <w:tr>
        <w:trPr/>
        <w:tc>
          <w:tcPr>
            <w:tcW w:w="4820" w:type="dxa"/>
            <w:tcBorders/>
            <w:shd w:fill="auto" w:val="clear"/>
            <w:vAlign w:val="center"/>
          </w:tcPr>
          <w:p>
            <w:pPr>
              <w:pStyle w:val="TableContents"/>
              <w:spacing w:before="0" w:after="0"/>
              <w:ind w:left="0" w:right="0" w:firstLine="30"/>
              <w:rPr/>
            </w:pPr>
            <w:r>
              <w:rPr/>
              <w:t> </w:t>
            </w:r>
          </w:p>
        </w:tc>
        <w:tc>
          <w:tcPr>
            <w:tcW w:w="1107" w:type="dxa"/>
            <w:gridSpan w:val="3"/>
            <w:tcBorders/>
            <w:shd w:fill="auto" w:val="clear"/>
            <w:vAlign w:val="center"/>
          </w:tcPr>
          <w:p>
            <w:pPr>
              <w:pStyle w:val="TableContents"/>
              <w:spacing w:before="0" w:after="0"/>
              <w:ind w:left="0" w:right="0" w:firstLine="30"/>
              <w:rPr/>
            </w:pPr>
            <w:r>
              <w:rPr/>
              <w:t> </w:t>
            </w:r>
          </w:p>
        </w:tc>
        <w:tc>
          <w:tcPr>
            <w:tcW w:w="97" w:type="dxa"/>
            <w:tcBorders/>
            <w:shd w:fill="auto" w:val="clear"/>
            <w:vAlign w:val="center"/>
          </w:tcPr>
          <w:p>
            <w:pPr>
              <w:pStyle w:val="TableContents"/>
              <w:spacing w:before="0" w:after="0"/>
              <w:ind w:left="0" w:right="0" w:firstLine="30"/>
              <w:rPr/>
            </w:pPr>
            <w:r>
              <w:rPr/>
              <w:t> </w:t>
            </w:r>
          </w:p>
        </w:tc>
        <w:tc>
          <w:tcPr>
            <w:tcW w:w="110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107" w:type="dxa"/>
            <w:gridSpan w:val="3"/>
            <w:tcBorders/>
            <w:shd w:fill="CCEEFF" w:val="clear"/>
            <w:vAlign w:val="center"/>
          </w:tcPr>
          <w:p>
            <w:pPr>
              <w:pStyle w:val="TableContents"/>
              <w:spacing w:before="0" w:after="0"/>
              <w:ind w:left="0" w:right="0" w:firstLine="30"/>
              <w:rPr/>
            </w:pPr>
            <w:r>
              <w:rPr/>
              <w:t> </w:t>
            </w:r>
          </w:p>
        </w:tc>
        <w:tc>
          <w:tcPr>
            <w:tcW w:w="97" w:type="dxa"/>
            <w:tcBorders/>
            <w:shd w:fill="CCEEFF" w:val="clear"/>
            <w:vAlign w:val="center"/>
          </w:tcPr>
          <w:p>
            <w:pPr>
              <w:pStyle w:val="TableContents"/>
              <w:spacing w:before="0" w:after="0"/>
              <w:ind w:left="0" w:right="0" w:firstLine="30"/>
              <w:rPr/>
            </w:pPr>
            <w:r>
              <w:rPr/>
              <w:t> </w:t>
            </w:r>
          </w:p>
        </w:tc>
        <w:tc>
          <w:tcPr>
            <w:tcW w:w="11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earning assets — continuing operations (a)</w:t>
            </w:r>
          </w:p>
        </w:tc>
        <w:tc>
          <w:tcPr>
            <w:tcW w:w="13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shd w:fill="auto" w:val="clear"/>
            <w:vAlign w:val="center"/>
          </w:tcPr>
          <w:p>
            <w:pPr>
              <w:pStyle w:val="TableContents"/>
              <w:spacing w:before="0" w:after="0"/>
              <w:jc w:val="right"/>
              <w:rPr>
                <w:rFonts w:ascii="inherit" w:hAnsi="inherit"/>
                <w:sz w:val="17"/>
              </w:rPr>
            </w:pPr>
            <w:r>
              <w:rPr>
                <w:rFonts w:ascii="inherit" w:hAnsi="inherit"/>
                <w:sz w:val="17"/>
              </w:rPr>
              <w:t>256,587</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shd w:fill="auto" w:val="clear"/>
            <w:vAlign w:val="center"/>
          </w:tcPr>
          <w:p>
            <w:pPr>
              <w:pStyle w:val="TableContents"/>
              <w:spacing w:before="0" w:after="0"/>
              <w:jc w:val="right"/>
              <w:rPr>
                <w:rFonts w:ascii="inherit" w:hAnsi="inherit"/>
                <w:sz w:val="17"/>
              </w:rPr>
            </w:pPr>
            <w:r>
              <w:rPr>
                <w:rFonts w:ascii="inherit" w:hAnsi="inherit"/>
                <w:sz w:val="17"/>
              </w:rPr>
              <w:t>245,323</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5%</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turnover</w:t>
            </w:r>
          </w:p>
        </w:tc>
        <w:tc>
          <w:tcPr>
            <w:tcW w:w="8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(14)%</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monthly ending pawn loan balance per store (b)</w:t>
            </w:r>
          </w:p>
        </w:tc>
        <w:tc>
          <w:tcPr>
            <w:tcW w:w="13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shd w:fill="auto" w:val="clear"/>
            <w:vAlign w:val="center"/>
          </w:tcPr>
          <w:p>
            <w:pPr>
              <w:pStyle w:val="TableContents"/>
              <w:spacing w:before="0" w:after="0"/>
              <w:jc w:val="right"/>
              <w:rPr>
                <w:rFonts w:ascii="inherit" w:hAnsi="inherit"/>
                <w:sz w:val="17"/>
              </w:rPr>
            </w:pPr>
            <w:r>
              <w:rPr>
                <w:rFonts w:ascii="inherit" w:hAnsi="inherit"/>
                <w:sz w:val="17"/>
              </w:rPr>
              <w:t>264</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shd w:fill="auto" w:val="clear"/>
            <w:vAlign w:val="center"/>
          </w:tcPr>
          <w:p>
            <w:pPr>
              <w:pStyle w:val="TableContents"/>
              <w:spacing w:before="0" w:after="0"/>
              <w:jc w:val="right"/>
              <w:rPr>
                <w:rFonts w:ascii="inherit" w:hAnsi="inherit"/>
                <w:sz w:val="17"/>
              </w:rPr>
            </w:pPr>
            <w:r>
              <w:rPr>
                <w:rFonts w:ascii="inherit" w:hAnsi="inherit"/>
                <w:sz w:val="17"/>
              </w:rPr>
              <w:t>264</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0"/>
              <w:jc w:val="center"/>
              <w:rPr/>
            </w:pPr>
            <w:r>
              <w:rPr/>
              <w:t>—</w:t>
            </w:r>
            <w:r>
              <w:rPr>
                <w:rFonts w:ascii="inherit" w:hAnsi="inherit"/>
                <w:sz w:val="17"/>
              </w:rPr>
              <w:t>%</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Monthly average yield on pawn loans outstanding</w:t>
            </w:r>
          </w:p>
        </w:tc>
        <w:tc>
          <w:tcPr>
            <w:tcW w:w="8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 w:type="dxa"/>
            <w:tcBorders/>
            <w:shd w:fill="CCEEFF" w:val="cle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5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100bps</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 (c)</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jc w:val="center"/>
              <w:rPr/>
            </w:pPr>
            <w:r>
              <w:rPr/>
              <w:t>—</w:t>
            </w:r>
          </w:p>
        </w:tc>
      </w:tr>
    </w:tbl>
    <w:tbl>
      <w:tblPr>
        <w:tblW w:w="10205" w:type="dxa"/>
        <w:jc w:val="left"/>
        <w:tblInd w:w="0" w:type="dxa"/>
        <w:tblCellMar>
          <w:top w:w="0" w:type="dxa"/>
          <w:left w:w="0" w:type="dxa"/>
          <w:bottom w:w="0" w:type="dxa"/>
          <w:right w:w="0" w:type="dxa"/>
        </w:tblCellMar>
      </w:tblPr>
      <w:tblGrid>
        <w:gridCol w:w="264"/>
        <w:gridCol w:w="9941"/>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vAlign w:val="center"/>
          </w:tcPr>
          <w:p>
            <w:pPr>
              <w:pStyle w:val="TableContents"/>
              <w:spacing w:before="0" w:after="283"/>
              <w:rPr>
                <w:sz w:val="4"/>
                <w:szCs w:val="4"/>
              </w:rPr>
            </w:pPr>
            <w:r>
              <w:rPr>
                <w:sz w:val="4"/>
                <w:szCs w:val="4"/>
              </w:rPr>
            </w:r>
          </w:p>
        </w:tc>
        <w:tc>
          <w:tcPr>
            <w:tcW w:w="994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4"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w:t>
            </w:r>
          </w:p>
        </w:tc>
        <w:tc>
          <w:tcPr>
            <w:tcW w:w="9941"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Represents an increase or decrease that is not meaningful.</w:t>
            </w:r>
          </w:p>
        </w:tc>
      </w:tr>
      <w:tr>
        <w:trPr/>
        <w:tc>
          <w:tcPr>
            <w:tcW w:w="26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w:t>
            </w:r>
          </w:p>
        </w:tc>
        <w:tc>
          <w:tcPr>
            <w:tcW w:w="99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Balance includes pawn loans and inventory.</w:t>
            </w:r>
          </w:p>
        </w:tc>
      </w:tr>
      <w:tr>
        <w:trPr/>
        <w:tc>
          <w:tcPr>
            <w:tcW w:w="26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w:t>
            </w:r>
          </w:p>
        </w:tc>
        <w:tc>
          <w:tcPr>
            <w:tcW w:w="99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Balance is calculated based upon the average of the monthly ending balances during the applicable period.</w:t>
            </w:r>
          </w:p>
        </w:tc>
      </w:tr>
      <w:tr>
        <w:trPr/>
        <w:tc>
          <w:tcPr>
            <w:tcW w:w="26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w:t>
            </w:r>
          </w:p>
        </w:tc>
        <w:tc>
          <w:tcPr>
            <w:tcW w:w="9941" w:type="dxa"/>
            <w:tcBorders/>
            <w:shd w:fill="auto" w:val="clear"/>
            <w:vAlign w:val="center"/>
          </w:tcPr>
          <w:p>
            <w:pPr>
              <w:pStyle w:val="TableContents"/>
              <w:spacing w:before="0" w:after="0"/>
              <w:jc w:val="left"/>
              <w:rPr>
                <w:rFonts w:ascii="inherit" w:hAnsi="inherit"/>
                <w:sz w:val="13"/>
              </w:rPr>
            </w:pPr>
            <w:r>
              <w:rPr>
                <w:rFonts w:ascii="inherit" w:hAnsi="inherit"/>
                <w:sz w:val="13"/>
              </w:rPr>
              <w:t>Our pawn loan redemption rate represents the percentage of loans made that are repaid, renewed or extended at a point in time as opposed to the life of the loan.</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Net revenue was up 1%, primarily due to higher gross margins from our merchandise sales. The change in net revenue attributable to same stores and new stores added since the prior-year quarter is summarized as follows:</w:t>
      </w:r>
    </w:p>
    <w:tbl>
      <w:tblPr>
        <w:tblW w:w="10205" w:type="dxa"/>
        <w:jc w:val="left"/>
        <w:tblInd w:w="0" w:type="dxa"/>
        <w:tblCellMar>
          <w:top w:w="0" w:type="dxa"/>
          <w:left w:w="0" w:type="dxa"/>
          <w:bottom w:w="0" w:type="dxa"/>
          <w:right w:w="0" w:type="dxa"/>
        </w:tblCellMar>
      </w:tblPr>
      <w:tblGrid>
        <w:gridCol w:w="5350"/>
        <w:gridCol w:w="355"/>
        <w:gridCol w:w="955"/>
        <w:gridCol w:w="314"/>
        <w:gridCol w:w="90"/>
        <w:gridCol w:w="551"/>
        <w:gridCol w:w="1214"/>
        <w:gridCol w:w="487"/>
        <w:gridCol w:w="90"/>
        <w:gridCol w:w="125"/>
        <w:gridCol w:w="275"/>
        <w:gridCol w:w="39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50" w:type="dxa"/>
            <w:tcBorders/>
            <w:shd w:fill="auto" w:val="clear"/>
            <w:vAlign w:val="center"/>
          </w:tcPr>
          <w:p>
            <w:pPr>
              <w:pStyle w:val="TableContents"/>
              <w:spacing w:before="0" w:after="0"/>
              <w:ind w:left="0" w:right="0" w:firstLine="30"/>
              <w:rPr/>
            </w:pPr>
            <w:r>
              <w:rPr/>
              <w:t> </w:t>
            </w:r>
          </w:p>
        </w:tc>
        <w:tc>
          <w:tcPr>
            <w:tcW w:w="4855" w:type="dxa"/>
            <w:gridSpan w:val="11"/>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Change in Net Revenue</w:t>
            </w:r>
          </w:p>
        </w:tc>
      </w:tr>
      <w:tr>
        <w:trPr/>
        <w:tc>
          <w:tcPr>
            <w:tcW w:w="5350" w:type="dxa"/>
            <w:tcBorders/>
            <w:shd w:fill="auto" w:val="clear"/>
            <w:vAlign w:val="center"/>
          </w:tcPr>
          <w:p>
            <w:pPr>
              <w:pStyle w:val="TableContents"/>
              <w:spacing w:before="0" w:after="0"/>
              <w:ind w:left="0" w:right="0" w:firstLine="30"/>
              <w:rPr/>
            </w:pPr>
            <w:r>
              <w:rPr/>
              <w:t> </w:t>
            </w:r>
          </w:p>
        </w:tc>
        <w:tc>
          <w:tcPr>
            <w:tcW w:w="162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Pawn Service Charges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25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Merchandise Sales Gross Profit</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79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5350" w:type="dxa"/>
            <w:tcBorders/>
            <w:shd w:fill="auto" w:val="clear"/>
            <w:vAlign w:val="center"/>
          </w:tcPr>
          <w:p>
            <w:pPr>
              <w:pStyle w:val="TableContents"/>
              <w:spacing w:before="0" w:after="0"/>
              <w:ind w:left="0" w:right="0" w:firstLine="30"/>
              <w:rPr/>
            </w:pPr>
            <w:r>
              <w:rPr/>
              <w:t> </w:t>
            </w:r>
          </w:p>
        </w:tc>
        <w:tc>
          <w:tcPr>
            <w:tcW w:w="162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25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99" w:type="dxa"/>
            <w:gridSpan w:val="3"/>
            <w:tcBorders/>
            <w:shd w:fill="auto" w:val="clear"/>
            <w:vAlign w:val="center"/>
          </w:tcPr>
          <w:p>
            <w:pPr>
              <w:pStyle w:val="TableContents"/>
              <w:spacing w:before="0" w:after="0"/>
              <w:ind w:left="0" w:right="0" w:firstLine="30"/>
              <w:rPr/>
            </w:pPr>
            <w:r>
              <w:rPr/>
              <w:t> </w:t>
            </w:r>
          </w:p>
        </w:tc>
      </w:tr>
      <w:tr>
        <w:trPr/>
        <w:tc>
          <w:tcPr>
            <w:tcW w:w="5350" w:type="dxa"/>
            <w:tcBorders/>
            <w:shd w:fill="auto" w:val="clear"/>
            <w:vAlign w:val="center"/>
          </w:tcPr>
          <w:p>
            <w:pPr>
              <w:pStyle w:val="TableContents"/>
              <w:spacing w:before="0" w:after="0"/>
              <w:ind w:left="0" w:right="0" w:firstLine="30"/>
              <w:rPr/>
            </w:pPr>
            <w:r>
              <w:rPr/>
              <w:t> </w:t>
            </w:r>
          </w:p>
        </w:tc>
        <w:tc>
          <w:tcPr>
            <w:tcW w:w="4855"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53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Same stores</w:t>
            </w:r>
          </w:p>
        </w:tc>
        <w:tc>
          <w:tcPr>
            <w:tcW w:w="3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5" w:type="dxa"/>
            <w:tcBorders/>
            <w:shd w:fill="CCEEFF" w:val="clear"/>
            <w:vAlign w:val="center"/>
          </w:tcPr>
          <w:p>
            <w:pPr>
              <w:pStyle w:val="TableContents"/>
              <w:spacing w:before="0" w:after="0"/>
              <w:jc w:val="right"/>
              <w:rPr>
                <w:rFonts w:ascii="inherit" w:hAnsi="inherit"/>
                <w:sz w:val="17"/>
              </w:rPr>
            </w:pPr>
            <w:r>
              <w:rPr>
                <w:rFonts w:ascii="inherit" w:hAnsi="inherit"/>
                <w:sz w:val="17"/>
              </w:rPr>
              <w:t>(0.3</w:t>
            </w:r>
          </w:p>
        </w:tc>
        <w:tc>
          <w:tcPr>
            <w:tcW w:w="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4" w:type="dxa"/>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4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75" w:type="dxa"/>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3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stores and other</w:t>
            </w:r>
          </w:p>
        </w:tc>
        <w:tc>
          <w:tcPr>
            <w:tcW w:w="13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(0.2</w:t>
            </w:r>
          </w:p>
        </w:tc>
        <w:tc>
          <w:tcPr>
            <w:tcW w:w="31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(0.2</w:t>
            </w:r>
          </w:p>
        </w:tc>
        <w:tc>
          <w:tcPr>
            <w:tcW w:w="4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(0.4</w:t>
            </w:r>
          </w:p>
        </w:tc>
        <w:tc>
          <w:tcPr>
            <w:tcW w:w="3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3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3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w:t>
            </w:r>
          </w:p>
        </w:tc>
        <w:tc>
          <w:tcPr>
            <w:tcW w:w="3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48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7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w:t>
            </w:r>
          </w:p>
        </w:tc>
        <w:tc>
          <w:tcPr>
            <w:tcW w:w="3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jewelry scrapping sales gross profit and other revenues</w:t>
            </w:r>
          </w:p>
        </w:tc>
        <w:tc>
          <w:tcPr>
            <w:tcW w:w="162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25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0.4</w:t>
            </w:r>
          </w:p>
        </w:tc>
        <w:tc>
          <w:tcPr>
            <w:tcW w:w="3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change in net revenue</w:t>
            </w:r>
          </w:p>
        </w:tc>
        <w:tc>
          <w:tcPr>
            <w:tcW w:w="162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25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7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3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Pawn service charges decreased 1%</w:t>
      </w:r>
      <w:r>
        <w:rPr>
          <w:sz w:val="17"/>
        </w:rPr>
        <w:t xml:space="preserve"> </w:t>
      </w:r>
      <w:r>
        <w:rPr>
          <w:rFonts w:ascii="inherit" w:hAnsi="inherit"/>
          <w:sz w:val="17"/>
        </w:rPr>
        <w:t>with flat average ending monthly pawn loan balances outstanding per store during the current quarter and a slightly higher yield. The flat average loan balance was primarily a result of the longer recovery to rebuild the loan portfolio for locations impacted by the hurricanes, partially offset by other positive operating trends.</w:t>
      </w:r>
    </w:p>
    <w:p>
      <w:pPr>
        <w:pStyle w:val="TextBody"/>
        <w:spacing w:lineRule="auto" w:line="288" w:before="0" w:after="0"/>
        <w:jc w:val="left"/>
        <w:rPr>
          <w:sz w:val="17"/>
        </w:rPr>
      </w:pPr>
      <w:r>
        <w:rPr>
          <w:rFonts w:ascii="inherit" w:hAnsi="inherit"/>
          <w:sz w:val="17"/>
        </w:rPr>
        <w:t>Merchandise sales decreased 1%</w:t>
      </w:r>
      <w:r>
        <w:rPr>
          <w:sz w:val="17"/>
        </w:rPr>
        <w:t xml:space="preserve"> </w:t>
      </w:r>
      <w:r>
        <w:rPr>
          <w:rFonts w:ascii="inherit" w:hAnsi="inherit"/>
          <w:sz w:val="17"/>
        </w:rPr>
        <w:t>with gross margin on merchandise sales of 38%, a 100</w:t>
      </w:r>
      <w:r>
        <w:rPr>
          <w:sz w:val="17"/>
        </w:rPr>
        <w:t xml:space="preserve"> </w:t>
      </w:r>
      <w:r>
        <w:rPr>
          <w:rFonts w:ascii="inherit" w:hAnsi="inherit"/>
          <w:sz w:val="17"/>
        </w:rPr>
        <w:t>basis point improvement over the prior-year quarter. As a net result, merchandise sales gross profit increased 3%</w:t>
      </w:r>
      <w:r>
        <w:rPr>
          <w:sz w:val="17"/>
        </w:rPr>
        <w:t xml:space="preserve"> </w:t>
      </w:r>
      <w:r>
        <w:rPr>
          <w:rFonts w:ascii="inherit" w:hAnsi="inherit"/>
          <w:sz w:val="17"/>
        </w:rPr>
        <w:t>to $36.2 million. The increase in merchandise sales gross profit is due to enhanced discipline in pricing and discounting. We expect sales gross margin for the full fiscal year to be within our target range of 35-38% as we expect to accept a slightly lower margin in order to sell through a greater amount of inventory.</w:t>
      </w:r>
    </w:p>
    <w:p>
      <w:pPr>
        <w:pStyle w:val="TextBody"/>
        <w:spacing w:lineRule="auto" w:line="288" w:before="0" w:after="0"/>
        <w:jc w:val="left"/>
        <w:rPr>
          <w:sz w:val="17"/>
        </w:rPr>
      </w:pPr>
      <w:r>
        <w:rPr>
          <w:rFonts w:ascii="inherit" w:hAnsi="inherit"/>
          <w:sz w:val="17"/>
        </w:rPr>
        <w:t>Jewelry scrapping sales gross profit remained relatively flat at 2%</w:t>
      </w:r>
      <w:r>
        <w:rPr>
          <w:sz w:val="17"/>
        </w:rPr>
        <w:t xml:space="preserve"> </w:t>
      </w:r>
      <w:r>
        <w:rPr>
          <w:rFonts w:ascii="inherit" w:hAnsi="inherit"/>
          <w:sz w:val="17"/>
        </w:rPr>
        <w:t>of current quarter net revenues, in-line with our strategy to sell rather than scrap merchandise, with a 700</w:t>
      </w:r>
      <w:r>
        <w:rPr>
          <w:sz w:val="17"/>
        </w:rPr>
        <w:t> </w:t>
      </w:r>
      <w:r>
        <w:rPr>
          <w:rFonts w:ascii="inherit" w:hAnsi="inherit"/>
          <w:sz w:val="17"/>
        </w:rPr>
        <w:t>basis point increase in gross margin to 20%</w:t>
      </w:r>
      <w:r>
        <w:rPr>
          <w:sz w:val="17"/>
        </w:rPr>
        <w:t xml:space="preserve"> </w:t>
      </w:r>
      <w:r>
        <w:rPr>
          <w:rFonts w:ascii="inherit" w:hAnsi="inherit"/>
          <w:sz w:val="17"/>
        </w:rPr>
        <w:t>due primarily to improvements in lending practices and gold prices.</w:t>
      </w:r>
    </w:p>
    <w:p>
      <w:pPr>
        <w:pStyle w:val="TextBody"/>
        <w:spacing w:lineRule="auto" w:line="288" w:before="0" w:after="0"/>
        <w:jc w:val="left"/>
        <w:rPr>
          <w:sz w:val="17"/>
        </w:rPr>
      </w:pPr>
      <w:r>
        <w:rPr>
          <w:rFonts w:ascii="inherit" w:hAnsi="inherit"/>
          <w:sz w:val="17"/>
        </w:rPr>
        <w:t>Segment contribution decreased 5%</w:t>
      </w:r>
      <w:r>
        <w:rPr>
          <w:sz w:val="17"/>
        </w:rPr>
        <w:t xml:space="preserve"> </w:t>
      </w:r>
      <w:r>
        <w:rPr>
          <w:rFonts w:ascii="inherit" w:hAnsi="inherit"/>
          <w:sz w:val="17"/>
        </w:rPr>
        <w:t>due to a 3%</w:t>
      </w:r>
      <w:r>
        <w:rPr>
          <w:sz w:val="17"/>
        </w:rPr>
        <w:t xml:space="preserve"> </w:t>
      </w:r>
      <w:r>
        <w:rPr>
          <w:rFonts w:ascii="inherit" w:hAnsi="inherit"/>
          <w:sz w:val="17"/>
        </w:rPr>
        <w:t>increase in operations expenses, comprised primarily of labor, and a 33%</w:t>
      </w:r>
      <w:r>
        <w:rPr>
          <w:sz w:val="17"/>
        </w:rPr>
        <w:t xml:space="preserve"> </w:t>
      </w:r>
      <w:r>
        <w:rPr>
          <w:rFonts w:ascii="inherit" w:hAnsi="inherit"/>
          <w:sz w:val="17"/>
        </w:rPr>
        <w:t>increase in depreciation and amortization, including a one-time charge of $0.5 million for the retirement of certain assets.</w:t>
      </w:r>
    </w:p>
    <w:p>
      <w:pPr>
        <w:pStyle w:val="TextBody"/>
        <w:spacing w:lineRule="auto" w:line="288" w:before="0" w:after="0"/>
        <w:jc w:val="left"/>
        <w:rPr>
          <w:rFonts w:ascii="inherit" w:hAnsi="inherit"/>
          <w:b/>
          <w:i/>
          <w:sz w:val="17"/>
        </w:rPr>
      </w:pPr>
      <w:bookmarkStart w:id="25" w:name="s720FD9F2370A52398088C1638F94CD00"/>
      <w:bookmarkEnd w:id="25"/>
      <w:r>
        <w:rPr>
          <w:rFonts w:ascii="inherit" w:hAnsi="inherit"/>
          <w:b/>
          <w:i/>
          <w:sz w:val="17"/>
        </w:rPr>
        <w:t>Non-GAAP Financial Information</w:t>
      </w:r>
    </w:p>
    <w:p>
      <w:pPr>
        <w:pStyle w:val="TextBody"/>
        <w:spacing w:lineRule="auto" w:line="288" w:before="0" w:after="0"/>
        <w:jc w:val="left"/>
        <w:rPr>
          <w:sz w:val="17"/>
        </w:rPr>
      </w:pPr>
      <w:r>
        <w:rPr>
          <w:rFonts w:ascii="inherit" w:hAnsi="inherit"/>
          <w:sz w:val="17"/>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results to evaluate our Latin America Pawn operations, which are denominated primarily in Mexican pesos and other Latin American currencies. As GPMX was not acquired until fiscal 2018, such results included on a constant currency basis reflect the actual exchange rates in effect during the three and six</w:t>
      </w:r>
      <w:r>
        <w:rPr>
          <w:sz w:val="17"/>
        </w:rPr>
        <w:t xml:space="preserve"> </w:t>
      </w:r>
      <w:r>
        <w:rPr>
          <w:rFonts w:ascii="inherit" w:hAnsi="inherit"/>
          <w:sz w:val="17"/>
        </w:rPr>
        <w:t>months ended March 31, 2018</w:t>
      </w:r>
      <w:r>
        <w:rPr>
          <w:sz w:val="17"/>
        </w:rPr>
        <w:t xml:space="preserve"> </w:t>
      </w:r>
      <w:r>
        <w:rPr>
          <w:rFonts w:ascii="inherit" w:hAnsi="inherit"/>
          <w:sz w:val="17"/>
        </w:rPr>
        <w:t>without adjustment.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spacing w:lineRule="auto" w:line="288" w:before="0" w:after="0"/>
        <w:jc w:val="left"/>
        <w:rPr>
          <w:sz w:val="17"/>
        </w:rPr>
      </w:pPr>
      <w:r>
        <w:rPr>
          <w:rFonts w:ascii="inherit" w:hAnsi="inherit"/>
          <w:sz w:val="17"/>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Mexican peso to U.S. dollar exchange rate as of March 31, 2018</w:t>
      </w:r>
      <w:r>
        <w:rPr>
          <w:sz w:val="17"/>
        </w:rPr>
        <w:t xml:space="preserve"> </w:t>
      </w:r>
      <w:r>
        <w:rPr>
          <w:rFonts w:ascii="inherit" w:hAnsi="inherit"/>
          <w:sz w:val="17"/>
        </w:rPr>
        <w:t>and 2017</w:t>
      </w:r>
      <w:r>
        <w:rPr>
          <w:sz w:val="17"/>
        </w:rPr>
        <w:t> </w:t>
      </w:r>
      <w:r>
        <w:rPr>
          <w:rFonts w:ascii="inherit" w:hAnsi="inherit"/>
          <w:sz w:val="17"/>
        </w:rPr>
        <w:t>was 18.3</w:t>
      </w:r>
      <w:r>
        <w:rPr>
          <w:sz w:val="17"/>
        </w:rPr>
        <w:t xml:space="preserve"> </w:t>
      </w:r>
      <w:r>
        <w:rPr>
          <w:rFonts w:ascii="inherit" w:hAnsi="inherit"/>
          <w:sz w:val="17"/>
        </w:rPr>
        <w:t>to 1 and 18.7</w:t>
      </w:r>
      <w:r>
        <w:rPr>
          <w:sz w:val="17"/>
        </w:rPr>
        <w:t> </w:t>
      </w:r>
      <w:r>
        <w:rPr>
          <w:rFonts w:ascii="inherit" w:hAnsi="inherit"/>
          <w:sz w:val="17"/>
        </w:rPr>
        <w:t>to 1, respectively. The approximate average Mexican peso to U.S. dollar exchange rate for the three months ended March 31, 2018</w:t>
      </w:r>
      <w:r>
        <w:rPr>
          <w:sz w:val="17"/>
        </w:rPr>
        <w:t xml:space="preserve"> </w:t>
      </w:r>
      <w:r>
        <w:rPr>
          <w:rFonts w:ascii="inherit" w:hAnsi="inherit"/>
          <w:sz w:val="17"/>
        </w:rPr>
        <w:t>and 2017</w:t>
      </w:r>
      <w:r>
        <w:rPr>
          <w:sz w:val="17"/>
        </w:rPr>
        <w:t> </w:t>
      </w:r>
      <w:r>
        <w:rPr>
          <w:rFonts w:ascii="inherit" w:hAnsi="inherit"/>
          <w:sz w:val="17"/>
        </w:rPr>
        <w:t>was 18.7</w:t>
      </w:r>
      <w:r>
        <w:rPr>
          <w:sz w:val="17"/>
        </w:rPr>
        <w:t> </w:t>
      </w:r>
      <w:r>
        <w:rPr>
          <w:rFonts w:ascii="inherit" w:hAnsi="inherit"/>
          <w:sz w:val="17"/>
        </w:rPr>
        <w:t>to 1 and 20.4</w:t>
      </w:r>
      <w:r>
        <w:rPr>
          <w:sz w:val="17"/>
        </w:rPr>
        <w:t> </w:t>
      </w:r>
      <w:r>
        <w:rPr>
          <w:rFonts w:ascii="inherit" w:hAnsi="inherit"/>
          <w:sz w:val="17"/>
        </w:rPr>
        <w:t>to 1, respectively. The approximate average Mexican peso to U.S. dollar exchange rate for the six</w:t>
      </w:r>
      <w:r>
        <w:rPr>
          <w:sz w:val="17"/>
        </w:rPr>
        <w:t xml:space="preserve"> </w:t>
      </w:r>
      <w:r>
        <w:rPr>
          <w:rFonts w:ascii="inherit" w:hAnsi="inherit"/>
          <w:sz w:val="17"/>
        </w:rPr>
        <w:t>months ended March 31, 2018</w:t>
      </w:r>
      <w:r>
        <w:rPr>
          <w:sz w:val="17"/>
        </w:rPr>
        <w:t xml:space="preserve"> </w:t>
      </w:r>
      <w:r>
        <w:rPr>
          <w:rFonts w:ascii="inherit" w:hAnsi="inherit"/>
          <w:sz w:val="17"/>
        </w:rPr>
        <w:t>and 2017</w:t>
      </w:r>
      <w:r>
        <w:rPr>
          <w:sz w:val="17"/>
        </w:rPr>
        <w:t> </w:t>
      </w:r>
      <w:r>
        <w:rPr>
          <w:rFonts w:ascii="inherit" w:hAnsi="inherit"/>
          <w:sz w:val="17"/>
        </w:rPr>
        <w:t>was 18.8</w:t>
      </w:r>
      <w:r>
        <w:rPr>
          <w:sz w:val="17"/>
        </w:rPr>
        <w:t> </w:t>
      </w:r>
      <w:r>
        <w:rPr>
          <w:rFonts w:ascii="inherit" w:hAnsi="inherit"/>
          <w:sz w:val="17"/>
        </w:rPr>
        <w:t>to 1 and 20.1</w:t>
      </w:r>
      <w:r>
        <w:rPr>
          <w:sz w:val="17"/>
        </w:rPr>
        <w:t> </w:t>
      </w:r>
      <w:r>
        <w:rPr>
          <w:rFonts w:ascii="inherit" w:hAnsi="inherit"/>
          <w:sz w:val="17"/>
        </w:rPr>
        <w:t>to 1, respectively.</w:t>
      </w:r>
    </w:p>
    <w:p>
      <w:pPr>
        <w:pStyle w:val="TextBody"/>
        <w:spacing w:lineRule="auto" w:line="288" w:before="0" w:after="0"/>
        <w:jc w:val="left"/>
        <w:rPr>
          <w:rFonts w:ascii="inherit" w:hAnsi="inherit"/>
          <w:sz w:val="17"/>
        </w:rPr>
      </w:pPr>
      <w:r>
        <w:rPr>
          <w:rFonts w:ascii="inherit" w:hAnsi="inherit"/>
          <w:sz w:val="17"/>
        </w:rPr>
        <w:t>Our statement of operations constant currency results reflect the monthly exchange rate fluctuations and so are not directly calculable from the above rates. Constant currency results, where presented, also exclude the foreign currency gain or loss. We have experienced a prolonged weakening of the Mexican peso to the U.S. dollar and may continue to experience further weakening in future reporting periods, which may adversely impact our future operating results when stated on a GAAP basis.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rPr/>
      </w:pPr>
      <w:hyperlink w:anchor="sA33FD6028AA25395924ED4406F429385">
        <w:bookmarkStart w:id="26" w:name="s31B60E8D99105475814D209445BC5261"/>
        <w:bookmarkEnd w:id="26"/>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 xml:space="preserve">Latin America Pawn </w:t>
      </w:r>
    </w:p>
    <w:p>
      <w:pPr>
        <w:pStyle w:val="TextBody"/>
        <w:spacing w:lineRule="auto" w:line="288" w:before="0" w:after="0"/>
        <w:rPr>
          <w:rFonts w:ascii="inherit" w:hAnsi="inherit"/>
          <w:sz w:val="17"/>
        </w:rPr>
      </w:pPr>
      <w:r>
        <w:rPr>
          <w:rFonts w:ascii="inherit" w:hAnsi="inherit"/>
          <w:sz w:val="17"/>
        </w:rPr>
        <w:t>The following table presents selected summary financial data from continuing operations for the Latin America Pawn segment, including constant currency results, after translation to U.S. dollars from its functional currencies of the Mexican peso, Guatemalan quetzal, Honduran lempira and Peruvian sol. See “Results of Operations — Non-GAAP Financial Information” above.</w:t>
      </w:r>
    </w:p>
    <w:tbl>
      <w:tblPr>
        <w:tblW w:w="10205" w:type="dxa"/>
        <w:jc w:val="left"/>
        <w:tblInd w:w="0" w:type="dxa"/>
        <w:tblCellMar>
          <w:top w:w="0" w:type="dxa"/>
          <w:left w:w="0" w:type="dxa"/>
          <w:bottom w:w="0" w:type="dxa"/>
          <w:right w:w="0" w:type="dxa"/>
        </w:tblCellMar>
      </w:tblPr>
      <w:tblGrid>
        <w:gridCol w:w="3597"/>
        <w:gridCol w:w="131"/>
        <w:gridCol w:w="624"/>
        <w:gridCol w:w="211"/>
        <w:gridCol w:w="90"/>
        <w:gridCol w:w="131"/>
        <w:gridCol w:w="624"/>
        <w:gridCol w:w="211"/>
        <w:gridCol w:w="90"/>
        <w:gridCol w:w="1016"/>
        <w:gridCol w:w="90"/>
        <w:gridCol w:w="218"/>
        <w:gridCol w:w="1031"/>
        <w:gridCol w:w="349"/>
        <w:gridCol w:w="90"/>
        <w:gridCol w:w="1702"/>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9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97" w:type="dxa"/>
            <w:tcBorders/>
            <w:shd w:fill="auto" w:val="clear"/>
            <w:vAlign w:val="center"/>
          </w:tcPr>
          <w:p>
            <w:pPr>
              <w:pStyle w:val="TableContents"/>
              <w:spacing w:before="0" w:after="0"/>
              <w:ind w:left="0" w:right="0" w:firstLine="30"/>
              <w:jc w:val="left"/>
              <w:rPr/>
            </w:pPr>
            <w:r>
              <w:rPr/>
              <w:t> </w:t>
            </w:r>
          </w:p>
        </w:tc>
        <w:tc>
          <w:tcPr>
            <w:tcW w:w="660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3597" w:type="dxa"/>
            <w:tcBorders/>
            <w:shd w:fill="auto" w:val="clear"/>
            <w:vAlign w:val="center"/>
          </w:tcPr>
          <w:p>
            <w:pPr>
              <w:pStyle w:val="TableContents"/>
              <w:spacing w:before="0" w:after="0"/>
              <w:ind w:left="0" w:right="0" w:firstLine="30"/>
              <w:jc w:val="left"/>
              <w:rPr/>
            </w:pPr>
            <w:r>
              <w:rPr/>
              <w:t> </w:t>
            </w:r>
          </w:p>
        </w:tc>
        <w:tc>
          <w:tcPr>
            <w:tcW w:w="9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 (GAAP)</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 (GAAP)</w:t>
            </w:r>
          </w:p>
        </w:tc>
        <w:tc>
          <w:tcPr>
            <w:tcW w:w="90" w:type="dxa"/>
            <w:tcBorders/>
            <w:shd w:fill="auto" w:val="clear"/>
            <w:vAlign w:val="center"/>
          </w:tcPr>
          <w:p>
            <w:pPr>
              <w:pStyle w:val="TableContents"/>
              <w:spacing w:before="0" w:after="0"/>
              <w:ind w:left="0" w:right="0" w:firstLine="30"/>
              <w:rPr/>
            </w:pPr>
            <w:r>
              <w:rPr/>
              <w:t> </w:t>
            </w:r>
          </w:p>
        </w:tc>
        <w:tc>
          <w:tcPr>
            <w:tcW w:w="101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 (GAAP)</w:t>
            </w:r>
          </w:p>
        </w:tc>
        <w:tc>
          <w:tcPr>
            <w:tcW w:w="90" w:type="dxa"/>
            <w:tcBorders/>
            <w:shd w:fill="auto" w:val="clear"/>
            <w:vAlign w:val="center"/>
          </w:tcPr>
          <w:p>
            <w:pPr>
              <w:pStyle w:val="TableContents"/>
              <w:spacing w:before="0" w:after="0"/>
              <w:ind w:left="0" w:right="0" w:firstLine="30"/>
              <w:rPr/>
            </w:pPr>
            <w:r>
              <w:rPr/>
              <w:t> </w:t>
            </w:r>
          </w:p>
        </w:tc>
        <w:tc>
          <w:tcPr>
            <w:tcW w:w="159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 (Constant Currency)</w:t>
            </w:r>
          </w:p>
        </w:tc>
        <w:tc>
          <w:tcPr>
            <w:tcW w:w="90" w:type="dxa"/>
            <w:tcBorders/>
            <w:shd w:fill="auto" w:val="clear"/>
            <w:vAlign w:val="center"/>
          </w:tcPr>
          <w:p>
            <w:pPr>
              <w:pStyle w:val="TableContents"/>
              <w:spacing w:before="0" w:after="0"/>
              <w:ind w:left="0" w:right="0" w:firstLine="30"/>
              <w:rPr/>
            </w:pPr>
            <w:r>
              <w:rPr/>
              <w:t> </w:t>
            </w:r>
          </w:p>
        </w:tc>
        <w:tc>
          <w:tcPr>
            <w:tcW w:w="170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 (Constant Currency)</w:t>
            </w:r>
          </w:p>
        </w:tc>
      </w:tr>
      <w:tr>
        <w:trPr/>
        <w:tc>
          <w:tcPr>
            <w:tcW w:w="3597"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rPr/>
            </w:pPr>
            <w:r>
              <w:rPr/>
              <w:t> </w:t>
            </w:r>
          </w:p>
        </w:tc>
      </w:tr>
      <w:tr>
        <w:trPr/>
        <w:tc>
          <w:tcPr>
            <w:tcW w:w="3597" w:type="dxa"/>
            <w:tcBorders/>
            <w:shd w:fill="auto" w:val="clear"/>
            <w:vAlign w:val="center"/>
          </w:tcPr>
          <w:p>
            <w:pPr>
              <w:pStyle w:val="TableContents"/>
              <w:spacing w:before="0" w:after="0"/>
              <w:ind w:left="0" w:right="0" w:firstLine="30"/>
              <w:jc w:val="left"/>
              <w:rPr/>
            </w:pPr>
            <w:r>
              <w:rPr/>
              <w:t> </w:t>
            </w:r>
          </w:p>
        </w:tc>
        <w:tc>
          <w:tcPr>
            <w:tcW w:w="202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USD thousands)</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8"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USD thousands)</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rPr/>
            </w:pPr>
            <w:r>
              <w:rPr/>
              <w:t> </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rPr/>
            </w:pPr>
            <w:r>
              <w:rPr/>
              <w:t> </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15,253</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7,431</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105%</w:t>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shd w:fill="auto" w:val="clear"/>
            <w:vAlign w:val="center"/>
          </w:tcPr>
          <w:p>
            <w:pPr>
              <w:pStyle w:val="TableContents"/>
              <w:spacing w:before="0" w:after="0"/>
              <w:jc w:val="right"/>
              <w:rPr>
                <w:rFonts w:ascii="inherit" w:hAnsi="inherit"/>
                <w:sz w:val="17"/>
              </w:rPr>
            </w:pPr>
            <w:r>
              <w:rPr>
                <w:rFonts w:ascii="inherit" w:hAnsi="inherit"/>
                <w:sz w:val="17"/>
              </w:rPr>
              <w:t>14,576</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96%</w:t>
            </w:r>
          </w:p>
        </w:tc>
      </w:tr>
      <w:tr>
        <w:trPr/>
        <w:tc>
          <w:tcPr>
            <w:tcW w:w="3597"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20,192</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14,688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37%</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18,839</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28%</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 gross profit</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6,509</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4,694</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39%</w:t>
            </w:r>
          </w:p>
        </w:tc>
        <w:tc>
          <w:tcPr>
            <w:tcW w:w="90" w:type="dxa"/>
            <w:tcBorders/>
            <w:shd w:fill="CCEEFF" w:val="clear"/>
            <w:vAlign w:val="center"/>
          </w:tcPr>
          <w:p>
            <w:pPr>
              <w:pStyle w:val="TableContents"/>
              <w:spacing w:before="0" w:after="0"/>
              <w:ind w:left="0" w:right="0" w:firstLine="30"/>
              <w:rPr/>
            </w:pPr>
            <w:r>
              <w:rPr/>
              <w:t> </w:t>
            </w:r>
          </w:p>
        </w:tc>
        <w:tc>
          <w:tcPr>
            <w:tcW w:w="12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6,061</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29%</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pPr>
            <w:r>
              <w:rPr/>
              <w:t>—</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jc w:val="center"/>
              <w:rPr/>
            </w:pPr>
            <w:r>
              <w:rPr/>
              <w:t>—</w:t>
            </w:r>
          </w:p>
        </w:tc>
      </w:tr>
      <w:tr>
        <w:trPr/>
        <w:tc>
          <w:tcPr>
            <w:tcW w:w="3597"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3,348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1,163</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188%</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3,220</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177%</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 gross profit</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286</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212</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35%</w:t>
            </w:r>
          </w:p>
        </w:tc>
        <w:tc>
          <w:tcPr>
            <w:tcW w:w="90" w:type="dxa"/>
            <w:tcBorders/>
            <w:shd w:fill="CCEEFF" w:val="clear"/>
            <w:vAlign w:val="center"/>
          </w:tcPr>
          <w:p>
            <w:pPr>
              <w:pStyle w:val="TableContents"/>
              <w:spacing w:before="0" w:after="0"/>
              <w:ind w:left="0" w:right="0" w:firstLine="30"/>
              <w:rPr/>
            </w:pPr>
            <w:r>
              <w:rPr/>
              <w:t> </w:t>
            </w:r>
          </w:p>
        </w:tc>
        <w:tc>
          <w:tcPr>
            <w:tcW w:w="12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266</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25%</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(900)bps</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(1,000)bps</w:t>
            </w:r>
          </w:p>
        </w:tc>
      </w:tr>
      <w:tr>
        <w:trPr/>
        <w:tc>
          <w:tcPr>
            <w:tcW w:w="3597"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174</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18%</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10%</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22,222</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12,484</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78%</w:t>
            </w:r>
          </w:p>
        </w:tc>
        <w:tc>
          <w:tcPr>
            <w:tcW w:w="90" w:type="dxa"/>
            <w:tcBorders/>
            <w:shd w:fill="CCEEFF" w:val="clear"/>
            <w:vAlign w:val="center"/>
          </w:tcPr>
          <w:p>
            <w:pPr>
              <w:pStyle w:val="TableContents"/>
              <w:spacing w:before="0" w:after="0"/>
              <w:ind w:left="0" w:right="0" w:firstLine="30"/>
              <w:rPr/>
            </w:pPr>
            <w:r>
              <w:rPr/>
              <w:t> </w:t>
            </w:r>
          </w:p>
        </w:tc>
        <w:tc>
          <w:tcPr>
            <w:tcW w:w="12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21,064</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69%</w:t>
            </w:r>
          </w:p>
        </w:tc>
      </w:tr>
      <w:tr>
        <w:trPr/>
        <w:tc>
          <w:tcPr>
            <w:tcW w:w="3597"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9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expenses:</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14,994</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8,901</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68%</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14,169</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59%</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916</w:t>
            </w:r>
          </w:p>
        </w:tc>
        <w:tc>
          <w:tcPr>
            <w:tcW w:w="21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660</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39%</w:t>
            </w:r>
          </w:p>
        </w:tc>
        <w:tc>
          <w:tcPr>
            <w:tcW w:w="90" w:type="dxa"/>
            <w:tcBorders/>
            <w:shd w:fill="CCEEFF" w:val="clear"/>
            <w:vAlign w:val="center"/>
          </w:tcPr>
          <w:p>
            <w:pPr>
              <w:pStyle w:val="TableContents"/>
              <w:spacing w:before="0" w:after="0"/>
              <w:ind w:left="0" w:right="0" w:firstLine="30"/>
              <w:rPr/>
            </w:pPr>
            <w:r>
              <w:rPr/>
              <w:t> </w:t>
            </w:r>
          </w:p>
        </w:tc>
        <w:tc>
          <w:tcPr>
            <w:tcW w:w="12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855</w:t>
            </w:r>
          </w:p>
        </w:tc>
        <w:tc>
          <w:tcPr>
            <w:tcW w:w="3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30%</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contribution</w:t>
            </w:r>
          </w:p>
        </w:tc>
        <w:tc>
          <w:tcPr>
            <w:tcW w:w="75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6,312</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2,923</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116%</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6,040</w:t>
            </w:r>
          </w:p>
        </w:tc>
        <w:tc>
          <w:tcPr>
            <w:tcW w:w="34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107%</w:t>
            </w:r>
          </w:p>
        </w:tc>
      </w:tr>
      <w:tr>
        <w:trPr/>
        <w:tc>
          <w:tcPr>
            <w:tcW w:w="3597"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segment income (a)</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(767</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(313</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145%</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(709</w:t>
            </w:r>
          </w:p>
        </w:tc>
        <w:tc>
          <w:tcPr>
            <w:tcW w:w="3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127%</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7,079</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3,236</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119%</w:t>
            </w:r>
          </w:p>
        </w:tc>
        <w:tc>
          <w:tcPr>
            <w:tcW w:w="90" w:type="dxa"/>
            <w:tcBorders/>
            <w:shd w:fill="CCEEFF"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6,749</w:t>
            </w:r>
          </w:p>
        </w:tc>
        <w:tc>
          <w:tcPr>
            <w:tcW w:w="34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109%</w:t>
            </w:r>
          </w:p>
        </w:tc>
      </w:tr>
      <w:tr>
        <w:trPr/>
        <w:tc>
          <w:tcPr>
            <w:tcW w:w="3597"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rPr/>
            </w:pPr>
            <w:r>
              <w:rPr/>
              <w:t> </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rPr/>
            </w:pPr>
            <w:r>
              <w:rPr/>
              <w:t> </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earning assets — continuing operations (b)</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61,438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34,926</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76%</w:t>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shd w:fill="auto" w:val="clear"/>
            <w:vAlign w:val="center"/>
          </w:tcPr>
          <w:p>
            <w:pPr>
              <w:pStyle w:val="TableContents"/>
              <w:spacing w:before="0" w:after="0"/>
              <w:jc w:val="right"/>
              <w:rPr>
                <w:rFonts w:ascii="inherit" w:hAnsi="inherit"/>
                <w:sz w:val="17"/>
              </w:rPr>
            </w:pPr>
            <w:r>
              <w:rPr>
                <w:rFonts w:ascii="inherit" w:hAnsi="inherit"/>
                <w:sz w:val="17"/>
              </w:rPr>
              <w:t>60,602</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74%</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turnover</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4%</w:t>
            </w:r>
          </w:p>
        </w:tc>
        <w:tc>
          <w:tcPr>
            <w:tcW w:w="90" w:type="dxa"/>
            <w:tcBorders/>
            <w:shd w:fill="CCEEFF" w:val="clear"/>
            <w:vAlign w:val="center"/>
          </w:tcPr>
          <w:p>
            <w:pPr>
              <w:pStyle w:val="TableContents"/>
              <w:spacing w:before="0" w:after="0"/>
              <w:ind w:left="0" w:right="0" w:firstLine="30"/>
              <w:rPr/>
            </w:pPr>
            <w:r>
              <w:rPr/>
              <w:t> </w:t>
            </w:r>
          </w:p>
        </w:tc>
        <w:tc>
          <w:tcPr>
            <w:tcW w:w="12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4%</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monthly ending pawn loan balance per store (c)</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88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67</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w:t>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shd w:fill="auto" w:val="clear"/>
            <w:vAlign w:val="center"/>
          </w:tcPr>
          <w:p>
            <w:pPr>
              <w:pStyle w:val="TableContents"/>
              <w:spacing w:before="0" w:after="0"/>
              <w:jc w:val="right"/>
              <w:rPr>
                <w:rFonts w:ascii="inherit" w:hAnsi="inherit"/>
                <w:sz w:val="17"/>
              </w:rPr>
            </w:pPr>
            <w:r>
              <w:rPr>
                <w:rFonts w:ascii="inherit" w:hAnsi="inherit"/>
                <w:sz w:val="17"/>
              </w:rPr>
              <w:t>85</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27%</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Monthly average yield on pawn loans outstanding</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(100)bps</w:t>
            </w:r>
          </w:p>
        </w:tc>
        <w:tc>
          <w:tcPr>
            <w:tcW w:w="90" w:type="dxa"/>
            <w:tcBorders/>
            <w:shd w:fill="CCEEFF" w:val="clear"/>
            <w:vAlign w:val="center"/>
          </w:tcPr>
          <w:p>
            <w:pPr>
              <w:pStyle w:val="TableContents"/>
              <w:spacing w:before="0" w:after="0"/>
              <w:ind w:left="0" w:right="0" w:firstLine="30"/>
              <w:rPr/>
            </w:pPr>
            <w:r>
              <w:rPr/>
              <w:t> </w:t>
            </w:r>
          </w:p>
        </w:tc>
        <w:tc>
          <w:tcPr>
            <w:tcW w:w="12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(100)bps</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 (d)</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100bps</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jc w:val="center"/>
              <w:rPr>
                <w:rFonts w:ascii="inherit" w:hAnsi="inherit"/>
                <w:sz w:val="17"/>
              </w:rPr>
            </w:pPr>
            <w:r>
              <w:rPr>
                <w:rFonts w:ascii="inherit" w:hAnsi="inherit"/>
                <w:sz w:val="17"/>
              </w:rPr>
              <w:t>100bps</w:t>
            </w:r>
          </w:p>
        </w:tc>
      </w:tr>
    </w:tbl>
    <w:tbl>
      <w:tblPr>
        <w:tblW w:w="10205" w:type="dxa"/>
        <w:jc w:val="left"/>
        <w:tblInd w:w="0" w:type="dxa"/>
        <w:tblCellMar>
          <w:top w:w="0" w:type="dxa"/>
          <w:left w:w="0" w:type="dxa"/>
          <w:bottom w:w="0" w:type="dxa"/>
          <w:right w:w="0" w:type="dxa"/>
        </w:tblCellMar>
      </w:tblPr>
      <w:tblGrid>
        <w:gridCol w:w="238"/>
        <w:gridCol w:w="996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238" w:type="dxa"/>
            <w:tcBorders/>
            <w:shd w:fill="auto" w:val="clear"/>
            <w:vAlign w:val="center"/>
          </w:tcPr>
          <w:p>
            <w:pPr>
              <w:pStyle w:val="TableContents"/>
              <w:spacing w:before="0" w:after="283"/>
              <w:rPr>
                <w:sz w:val="4"/>
                <w:szCs w:val="4"/>
              </w:rPr>
            </w:pPr>
            <w:r>
              <w:rPr>
                <w:sz w:val="4"/>
                <w:szCs w:val="4"/>
              </w:rPr>
            </w:r>
          </w:p>
        </w:tc>
        <w:tc>
          <w:tcPr>
            <w:tcW w:w="99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w:t>
            </w:r>
          </w:p>
        </w:tc>
        <w:tc>
          <w:tcPr>
            <w:tcW w:w="99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The three months ended March 31, 2018 constant currency balance excludes nominal net GAAP basis foreign currency transaction gains resulting from movement in exchange rates. The net foreign currency transaction gains for the three months ended March 31, 2017 were nominal and are not excluded from the above results.</w:t>
            </w:r>
          </w:p>
        </w:tc>
      </w:tr>
      <w:tr>
        <w:trPr/>
        <w:tc>
          <w:tcPr>
            <w:tcW w:w="23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w:t>
            </w:r>
          </w:p>
        </w:tc>
        <w:tc>
          <w:tcPr>
            <w:tcW w:w="99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Balance includes pawn loans and inventory.</w:t>
            </w:r>
          </w:p>
        </w:tc>
      </w:tr>
      <w:tr>
        <w:trPr/>
        <w:tc>
          <w:tcPr>
            <w:tcW w:w="23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w:t>
            </w:r>
          </w:p>
        </w:tc>
        <w:tc>
          <w:tcPr>
            <w:tcW w:w="99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Balance is calculated based upon the average of the monthly ending balances during the applicable period.</w:t>
            </w:r>
          </w:p>
        </w:tc>
      </w:tr>
      <w:tr>
        <w:trPr/>
        <w:tc>
          <w:tcPr>
            <w:tcW w:w="23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w:t>
            </w:r>
          </w:p>
        </w:tc>
        <w:tc>
          <w:tcPr>
            <w:tcW w:w="9967" w:type="dxa"/>
            <w:tcBorders/>
            <w:shd w:fill="auto" w:val="clear"/>
            <w:vAlign w:val="center"/>
          </w:tcPr>
          <w:p>
            <w:pPr>
              <w:pStyle w:val="TableContents"/>
              <w:spacing w:before="0" w:after="0"/>
              <w:jc w:val="left"/>
              <w:rPr>
                <w:rFonts w:ascii="inherit" w:hAnsi="inherit"/>
                <w:sz w:val="13"/>
              </w:rPr>
            </w:pPr>
            <w:r>
              <w:rPr>
                <w:rFonts w:ascii="inherit" w:hAnsi="inherit"/>
                <w:sz w:val="13"/>
              </w:rPr>
              <w:t>Our pawn loan redemption rate represents the percentage of loans made that are repaid, renewed or extended at a point in time as opposed to the life of the loan.</w:t>
            </w:r>
          </w:p>
        </w:tc>
      </w:tr>
    </w:tbl>
    <w:p>
      <w:pPr>
        <w:pStyle w:val="TextBody"/>
        <w:spacing w:lineRule="auto" w:line="288" w:before="0" w:after="0"/>
        <w:jc w:val="left"/>
        <w:rPr>
          <w:rFonts w:ascii="inherit" w:hAnsi="inherit"/>
          <w:sz w:val="17"/>
        </w:rPr>
      </w:pPr>
      <w:r>
        <w:rPr>
          <w:rFonts w:ascii="inherit" w:hAnsi="inherit"/>
          <w:sz w:val="17"/>
        </w:rPr>
        <w:t>We opened four de novo stores in the current quarter. We see opportunity for further expansion in Latin America through de novo openings and acquisitions, and plan to open five to seven additional de novo stores in Latin America during the second half of fiscal 2018.</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Net revenue increased $9.7 million, or 78%</w:t>
      </w:r>
      <w:r>
        <w:rPr>
          <w:sz w:val="17"/>
        </w:rPr>
        <w:t xml:space="preserve"> </w:t>
      </w:r>
      <w:r>
        <w:rPr>
          <w:rFonts w:ascii="inherit" w:hAnsi="inherit"/>
          <w:sz w:val="17"/>
        </w:rPr>
        <w:t>($8.6 million, or 69%, on a constant currency basis). The increase in net revenue attributable to same stores and new stores added since the prior-year quarter is summarized as follows:</w:t>
      </w:r>
    </w:p>
    <w:tbl>
      <w:tblPr>
        <w:tblW w:w="10205" w:type="dxa"/>
        <w:jc w:val="left"/>
        <w:tblInd w:w="0" w:type="dxa"/>
        <w:tblCellMar>
          <w:top w:w="0" w:type="dxa"/>
          <w:left w:w="0" w:type="dxa"/>
          <w:bottom w:w="0" w:type="dxa"/>
          <w:right w:w="0" w:type="dxa"/>
        </w:tblCellMar>
      </w:tblPr>
      <w:tblGrid>
        <w:gridCol w:w="5390"/>
        <w:gridCol w:w="472"/>
        <w:gridCol w:w="1043"/>
        <w:gridCol w:w="117"/>
        <w:gridCol w:w="91"/>
        <w:gridCol w:w="656"/>
        <w:gridCol w:w="1447"/>
        <w:gridCol w:w="161"/>
        <w:gridCol w:w="91"/>
        <w:gridCol w:w="127"/>
        <w:gridCol w:w="281"/>
        <w:gridCol w:w="32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390"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90" w:type="dxa"/>
            <w:tcBorders/>
            <w:shd w:fill="auto" w:val="clear"/>
            <w:vAlign w:val="center"/>
          </w:tcPr>
          <w:p>
            <w:pPr>
              <w:pStyle w:val="TableContents"/>
              <w:spacing w:before="0" w:after="0"/>
              <w:ind w:left="0" w:right="0" w:firstLine="30"/>
              <w:rPr/>
            </w:pPr>
            <w:r>
              <w:rPr/>
              <w:t> </w:t>
            </w:r>
          </w:p>
        </w:tc>
        <w:tc>
          <w:tcPr>
            <w:tcW w:w="4815" w:type="dxa"/>
            <w:gridSpan w:val="11"/>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Change in Net Revenue</w:t>
            </w:r>
          </w:p>
        </w:tc>
      </w:tr>
      <w:tr>
        <w:trPr/>
        <w:tc>
          <w:tcPr>
            <w:tcW w:w="5390" w:type="dxa"/>
            <w:tcBorders/>
            <w:shd w:fill="auto" w:val="clear"/>
            <w:vAlign w:val="center"/>
          </w:tcPr>
          <w:p>
            <w:pPr>
              <w:pStyle w:val="TableContents"/>
              <w:spacing w:before="0" w:after="0"/>
              <w:ind w:left="0" w:right="0" w:firstLine="30"/>
              <w:rPr/>
            </w:pPr>
            <w:r>
              <w:rPr/>
              <w:t> </w:t>
            </w:r>
          </w:p>
        </w:tc>
        <w:tc>
          <w:tcPr>
            <w:tcW w:w="163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Pawn Service Charges</w:t>
            </w:r>
          </w:p>
        </w:tc>
        <w:tc>
          <w:tcPr>
            <w:tcW w:w="91"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26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Merchandise Sales Gross Profit</w:t>
            </w:r>
          </w:p>
        </w:tc>
        <w:tc>
          <w:tcPr>
            <w:tcW w:w="91"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73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5390" w:type="dxa"/>
            <w:tcBorders/>
            <w:shd w:fill="auto" w:val="clear"/>
            <w:vAlign w:val="center"/>
          </w:tcPr>
          <w:p>
            <w:pPr>
              <w:pStyle w:val="TableContents"/>
              <w:spacing w:before="0" w:after="0"/>
              <w:ind w:left="0" w:right="0" w:firstLine="30"/>
              <w:rPr/>
            </w:pPr>
            <w:r>
              <w:rPr/>
              <w:t> </w:t>
            </w:r>
          </w:p>
        </w:tc>
        <w:tc>
          <w:tcPr>
            <w:tcW w:w="1632" w:type="dxa"/>
            <w:gridSpan w:val="3"/>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2264" w:type="dxa"/>
            <w:gridSpan w:val="3"/>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737" w:type="dxa"/>
            <w:gridSpan w:val="3"/>
            <w:tcBorders/>
            <w:shd w:fill="auto" w:val="clear"/>
            <w:vAlign w:val="center"/>
          </w:tcPr>
          <w:p>
            <w:pPr>
              <w:pStyle w:val="TableContents"/>
              <w:spacing w:before="0" w:after="0"/>
              <w:ind w:left="0" w:right="0" w:firstLine="30"/>
              <w:rPr/>
            </w:pPr>
            <w:r>
              <w:rPr/>
              <w:t> </w:t>
            </w:r>
          </w:p>
        </w:tc>
      </w:tr>
      <w:tr>
        <w:trPr/>
        <w:tc>
          <w:tcPr>
            <w:tcW w:w="5390" w:type="dxa"/>
            <w:tcBorders/>
            <w:shd w:fill="auto" w:val="clear"/>
            <w:vAlign w:val="center"/>
          </w:tcPr>
          <w:p>
            <w:pPr>
              <w:pStyle w:val="TableContents"/>
              <w:spacing w:before="0" w:after="0"/>
              <w:ind w:left="0" w:right="0" w:firstLine="30"/>
              <w:rPr/>
            </w:pPr>
            <w:r>
              <w:rPr/>
              <w:t> </w:t>
            </w:r>
          </w:p>
        </w:tc>
        <w:tc>
          <w:tcPr>
            <w:tcW w:w="4815"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53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Same stores</w:t>
            </w:r>
          </w:p>
        </w:tc>
        <w:tc>
          <w:tcPr>
            <w:tcW w:w="4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3" w:type="dxa"/>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47" w:type="dxa"/>
            <w:tcBorders/>
            <w:shd w:fill="CCEEFF" w:val="clear"/>
            <w:vAlign w:val="center"/>
          </w:tcPr>
          <w:p>
            <w:pPr>
              <w:pStyle w:val="TableContents"/>
              <w:spacing w:before="0" w:after="0"/>
              <w:jc w:val="right"/>
              <w:rPr>
                <w:rFonts w:ascii="inherit" w:hAnsi="inherit"/>
                <w:sz w:val="17"/>
              </w:rPr>
            </w:pPr>
            <w:r>
              <w:rPr>
                <w:rFonts w:ascii="inherit" w:hAnsi="inherit"/>
                <w:sz w:val="17"/>
              </w:rPr>
              <w:t>0.5</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81" w:type="dxa"/>
            <w:tcBorders/>
            <w:shd w:fill="CCEEFF" w:val="clear"/>
            <w:vAlign w:val="center"/>
          </w:tcPr>
          <w:p>
            <w:pPr>
              <w:pStyle w:val="TableContents"/>
              <w:spacing w:before="0" w:after="0"/>
              <w:jc w:val="right"/>
              <w:rPr>
                <w:rFonts w:ascii="inherit" w:hAnsi="inherit"/>
                <w:sz w:val="17"/>
              </w:rPr>
            </w:pPr>
            <w:r>
              <w:rPr>
                <w:rFonts w:ascii="inherit" w:hAnsi="inherit"/>
                <w:sz w:val="17"/>
              </w:rPr>
              <w:t>1.7</w:t>
            </w:r>
          </w:p>
        </w:tc>
        <w:tc>
          <w:tcPr>
            <w:tcW w:w="3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stores and other</w:t>
            </w:r>
          </w:p>
        </w:tc>
        <w:tc>
          <w:tcPr>
            <w:tcW w:w="15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21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4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w:t>
            </w:r>
          </w:p>
        </w:tc>
        <w:tc>
          <w:tcPr>
            <w:tcW w:w="32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4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w:t>
            </w:r>
          </w:p>
        </w:tc>
        <w:tc>
          <w:tcPr>
            <w:tcW w:w="11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4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w:t>
            </w:r>
          </w:p>
        </w:tc>
        <w:tc>
          <w:tcPr>
            <w:tcW w:w="16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12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9.6</w:t>
            </w:r>
          </w:p>
        </w:tc>
        <w:tc>
          <w:tcPr>
            <w:tcW w:w="32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jewelry scrapping sales gross profit and other revenues</w:t>
            </w:r>
          </w:p>
        </w:tc>
        <w:tc>
          <w:tcPr>
            <w:tcW w:w="1632" w:type="dxa"/>
            <w:gridSpan w:val="3"/>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2264" w:type="dxa"/>
            <w:gridSpan w:val="3"/>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4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0.1</w:t>
            </w:r>
          </w:p>
        </w:tc>
        <w:tc>
          <w:tcPr>
            <w:tcW w:w="32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change in net revenue</w:t>
            </w:r>
          </w:p>
        </w:tc>
        <w:tc>
          <w:tcPr>
            <w:tcW w:w="1632" w:type="dxa"/>
            <w:gridSpan w:val="3"/>
            <w:tcBorders/>
            <w:shd w:fill="CCEEFF" w:val="clear"/>
            <w:vAlign w:val="center"/>
          </w:tcPr>
          <w:p>
            <w:pPr>
              <w:pStyle w:val="TableContents"/>
              <w:spacing w:before="0" w:after="0"/>
              <w:ind w:left="0" w:right="0" w:firstLine="30"/>
              <w:rPr/>
            </w:pPr>
            <w:r>
              <w:rPr/>
              <w:t> </w:t>
            </w:r>
          </w:p>
        </w:tc>
        <w:tc>
          <w:tcPr>
            <w:tcW w:w="91" w:type="dxa"/>
            <w:tcBorders/>
            <w:shd w:fill="CCEEFF" w:val="clear"/>
            <w:vAlign w:val="center"/>
          </w:tcPr>
          <w:p>
            <w:pPr>
              <w:pStyle w:val="TableContents"/>
              <w:spacing w:before="0" w:after="0"/>
              <w:ind w:left="0" w:right="0" w:firstLine="30"/>
              <w:rPr/>
            </w:pPr>
            <w:r>
              <w:rPr/>
              <w:t> </w:t>
            </w:r>
          </w:p>
        </w:tc>
        <w:tc>
          <w:tcPr>
            <w:tcW w:w="2264" w:type="dxa"/>
            <w:gridSpan w:val="3"/>
            <w:tcBorders/>
            <w:shd w:fill="CCEEFF" w:val="clear"/>
            <w:vAlign w:val="center"/>
          </w:tcPr>
          <w:p>
            <w:pPr>
              <w:pStyle w:val="TableContents"/>
              <w:spacing w:before="0" w:after="0"/>
              <w:ind w:left="0" w:right="0" w:firstLine="30"/>
              <w:rPr/>
            </w:pPr>
            <w:r>
              <w:rPr/>
              <w:t> </w:t>
            </w:r>
          </w:p>
        </w:tc>
        <w:tc>
          <w:tcPr>
            <w:tcW w:w="91" w:type="dxa"/>
            <w:tcBorders/>
            <w:shd w:fill="CCEEFF" w:val="clear"/>
            <w:vAlign w:val="center"/>
          </w:tcPr>
          <w:p>
            <w:pPr>
              <w:pStyle w:val="TableContents"/>
              <w:spacing w:before="0" w:after="0"/>
              <w:ind w:left="0" w:right="0" w:firstLine="30"/>
              <w:rPr/>
            </w:pPr>
            <w:r>
              <w:rPr/>
              <w:t> </w:t>
            </w:r>
          </w:p>
        </w:tc>
        <w:tc>
          <w:tcPr>
            <w:tcW w:w="12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w:t>
            </w:r>
          </w:p>
        </w:tc>
        <w:tc>
          <w:tcPr>
            <w:tcW w:w="32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4945"/>
        <w:gridCol w:w="453"/>
        <w:gridCol w:w="978"/>
        <w:gridCol w:w="104"/>
        <w:gridCol w:w="159"/>
        <w:gridCol w:w="619"/>
        <w:gridCol w:w="1365"/>
        <w:gridCol w:w="152"/>
        <w:gridCol w:w="159"/>
        <w:gridCol w:w="221"/>
        <w:gridCol w:w="486"/>
        <w:gridCol w:w="564"/>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494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45" w:type="dxa"/>
            <w:tcBorders/>
            <w:shd w:fill="auto" w:val="clear"/>
            <w:vAlign w:val="center"/>
          </w:tcPr>
          <w:p>
            <w:pPr>
              <w:pStyle w:val="TableContents"/>
              <w:spacing w:before="0" w:after="0"/>
              <w:ind w:left="0" w:right="0" w:firstLine="30"/>
              <w:rPr/>
            </w:pPr>
            <w:r>
              <w:rPr/>
              <w:t> </w:t>
            </w:r>
          </w:p>
        </w:tc>
        <w:tc>
          <w:tcPr>
            <w:tcW w:w="5260" w:type="dxa"/>
            <w:gridSpan w:val="11"/>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Change in Net Revenue (Constant Currency)</w:t>
            </w:r>
          </w:p>
        </w:tc>
      </w:tr>
      <w:tr>
        <w:trPr/>
        <w:tc>
          <w:tcPr>
            <w:tcW w:w="4945" w:type="dxa"/>
            <w:tcBorders/>
            <w:shd w:fill="auto" w:val="clear"/>
            <w:vAlign w:val="center"/>
          </w:tcPr>
          <w:p>
            <w:pPr>
              <w:pStyle w:val="TableContents"/>
              <w:spacing w:before="0" w:after="0"/>
              <w:ind w:left="0" w:right="0" w:firstLine="30"/>
              <w:rPr/>
            </w:pPr>
            <w:r>
              <w:rPr/>
              <w:t> </w:t>
            </w:r>
          </w:p>
        </w:tc>
        <w:tc>
          <w:tcPr>
            <w:tcW w:w="153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Pawn Service Charges</w:t>
            </w:r>
          </w:p>
        </w:tc>
        <w:tc>
          <w:tcPr>
            <w:tcW w:w="159"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13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Merchandise Sales Gross Profit</w:t>
            </w:r>
          </w:p>
        </w:tc>
        <w:tc>
          <w:tcPr>
            <w:tcW w:w="159"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7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4945" w:type="dxa"/>
            <w:tcBorders/>
            <w:shd w:fill="auto" w:val="clear"/>
            <w:vAlign w:val="center"/>
          </w:tcPr>
          <w:p>
            <w:pPr>
              <w:pStyle w:val="TableContents"/>
              <w:spacing w:before="0" w:after="0"/>
              <w:ind w:left="0" w:right="0" w:firstLine="30"/>
              <w:rPr/>
            </w:pPr>
            <w:r>
              <w:rPr/>
              <w:t> </w:t>
            </w:r>
          </w:p>
        </w:tc>
        <w:tc>
          <w:tcPr>
            <w:tcW w:w="1535" w:type="dxa"/>
            <w:gridSpan w:val="3"/>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ind w:left="0" w:right="0" w:firstLine="30"/>
              <w:rPr/>
            </w:pPr>
            <w:r>
              <w:rPr/>
              <w:t> </w:t>
            </w:r>
          </w:p>
        </w:tc>
        <w:tc>
          <w:tcPr>
            <w:tcW w:w="2136" w:type="dxa"/>
            <w:gridSpan w:val="3"/>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r>
      <w:tr>
        <w:trPr/>
        <w:tc>
          <w:tcPr>
            <w:tcW w:w="4945" w:type="dxa"/>
            <w:tcBorders/>
            <w:shd w:fill="auto" w:val="clear"/>
            <w:vAlign w:val="center"/>
          </w:tcPr>
          <w:p>
            <w:pPr>
              <w:pStyle w:val="TableContents"/>
              <w:spacing w:before="0" w:after="0"/>
              <w:ind w:left="0" w:right="0" w:firstLine="30"/>
              <w:rPr/>
            </w:pPr>
            <w:r>
              <w:rPr/>
              <w:t> </w:t>
            </w:r>
          </w:p>
        </w:tc>
        <w:tc>
          <w:tcPr>
            <w:tcW w:w="5260"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49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Same stores</w:t>
            </w:r>
          </w:p>
        </w:tc>
        <w:tc>
          <w:tcPr>
            <w:tcW w:w="4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8" w:type="dxa"/>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9" w:type="dxa"/>
            <w:tcBorders/>
            <w:shd w:fill="CCEEFF" w:val="clear"/>
            <w:vAlign w:val="center"/>
          </w:tcPr>
          <w:p>
            <w:pPr>
              <w:pStyle w:val="TableContents"/>
              <w:spacing w:before="0" w:after="0"/>
              <w:ind w:left="0" w:right="0" w:firstLine="30"/>
              <w:rPr/>
            </w:pPr>
            <w:r>
              <w:rPr/>
              <w:t> </w:t>
            </w:r>
          </w:p>
        </w:tc>
        <w:tc>
          <w:tcPr>
            <w:tcW w:w="61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65" w:type="dxa"/>
            <w:tcBorders/>
            <w:shd w:fill="CCEEFF" w:val="clear"/>
            <w:vAlign w:val="center"/>
          </w:tcPr>
          <w:p>
            <w:pPr>
              <w:pStyle w:val="TableContents"/>
              <w:spacing w:before="0" w:after="0"/>
              <w:jc w:val="right"/>
              <w:rPr>
                <w:rFonts w:ascii="inherit" w:hAnsi="inherit"/>
                <w:sz w:val="17"/>
              </w:rPr>
            </w:pPr>
            <w:r>
              <w:rPr>
                <w:rFonts w:ascii="inherit" w:hAnsi="inherit"/>
                <w:sz w:val="17"/>
              </w:rPr>
              <w:t>0.4</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9" w:type="dxa"/>
            <w:tcBorders/>
            <w:shd w:fill="CCEEFF" w:val="clear"/>
            <w:vAlign w:val="center"/>
          </w:tcPr>
          <w:p>
            <w:pPr>
              <w:pStyle w:val="TableContents"/>
              <w:spacing w:before="0" w:after="0"/>
              <w:ind w:left="0" w:right="0" w:firstLine="30"/>
              <w:rPr/>
            </w:pPr>
            <w:r>
              <w:rPr/>
              <w:t> </w:t>
            </w:r>
          </w:p>
        </w:tc>
        <w:tc>
          <w:tcPr>
            <w:tcW w:w="22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6" w:type="dxa"/>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5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stores and other</w:t>
            </w:r>
          </w:p>
        </w:tc>
        <w:tc>
          <w:tcPr>
            <w:tcW w:w="14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9" w:type="dxa"/>
            <w:tcBorders/>
            <w:shd w:fill="auto" w:val="clear"/>
            <w:vAlign w:val="center"/>
          </w:tcPr>
          <w:p>
            <w:pPr>
              <w:pStyle w:val="TableContents"/>
              <w:spacing w:before="0" w:after="0"/>
              <w:ind w:left="0" w:right="0" w:firstLine="30"/>
              <w:rPr/>
            </w:pPr>
            <w:r>
              <w:rPr/>
              <w:t> </w:t>
            </w:r>
          </w:p>
        </w:tc>
        <w:tc>
          <w:tcPr>
            <w:tcW w:w="19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9" w:type="dxa"/>
            <w:tcBorders/>
            <w:shd w:fill="auto" w:val="clear"/>
            <w:vAlign w:val="center"/>
          </w:tcPr>
          <w:p>
            <w:pPr>
              <w:pStyle w:val="TableContents"/>
              <w:spacing w:before="0" w:after="0"/>
              <w:ind w:left="0" w:right="0" w:firstLine="30"/>
              <w:rPr/>
            </w:pPr>
            <w:r>
              <w:rPr/>
              <w:t> </w:t>
            </w:r>
          </w:p>
        </w:tc>
        <w:tc>
          <w:tcPr>
            <w:tcW w:w="7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9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4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7.1</w:t>
            </w:r>
          </w:p>
        </w:tc>
        <w:tc>
          <w:tcPr>
            <w:tcW w:w="10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9" w:type="dxa"/>
            <w:tcBorders/>
            <w:shd w:fill="CCEEFF" w:val="clear"/>
            <w:vAlign w:val="center"/>
          </w:tcPr>
          <w:p>
            <w:pPr>
              <w:pStyle w:val="TableContents"/>
              <w:spacing w:before="0" w:after="0"/>
              <w:ind w:left="0" w:right="0" w:firstLine="30"/>
              <w:rPr/>
            </w:pPr>
            <w:r>
              <w:rPr/>
              <w:t> </w:t>
            </w:r>
          </w:p>
        </w:tc>
        <w:tc>
          <w:tcPr>
            <w:tcW w:w="61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w:t>
            </w:r>
          </w:p>
        </w:tc>
        <w:tc>
          <w:tcPr>
            <w:tcW w:w="15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9" w:type="dxa"/>
            <w:tcBorders/>
            <w:shd w:fill="CCEEFF" w:val="clear"/>
            <w:vAlign w:val="center"/>
          </w:tcPr>
          <w:p>
            <w:pPr>
              <w:pStyle w:val="TableContents"/>
              <w:spacing w:before="0" w:after="0"/>
              <w:ind w:left="0" w:right="0" w:firstLine="30"/>
              <w:rPr/>
            </w:pPr>
            <w:r>
              <w:rPr/>
              <w:t> </w:t>
            </w:r>
          </w:p>
        </w:tc>
        <w:tc>
          <w:tcPr>
            <w:tcW w:w="22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8.5</w:t>
            </w:r>
          </w:p>
        </w:tc>
        <w:tc>
          <w:tcPr>
            <w:tcW w:w="56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jewelry scrapping sales gross profit and other revenues</w:t>
            </w:r>
          </w:p>
        </w:tc>
        <w:tc>
          <w:tcPr>
            <w:tcW w:w="1535" w:type="dxa"/>
            <w:gridSpan w:val="3"/>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ind w:left="0" w:right="0" w:firstLine="30"/>
              <w:rPr/>
            </w:pPr>
            <w:r>
              <w:rPr/>
              <w:t> </w:t>
            </w:r>
          </w:p>
        </w:tc>
        <w:tc>
          <w:tcPr>
            <w:tcW w:w="2136" w:type="dxa"/>
            <w:gridSpan w:val="3"/>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ind w:left="0" w:right="0" w:firstLine="30"/>
              <w:rPr/>
            </w:pPr>
            <w:r>
              <w:rPr/>
              <w:t> </w:t>
            </w:r>
          </w:p>
        </w:tc>
        <w:tc>
          <w:tcPr>
            <w:tcW w:w="707" w:type="dxa"/>
            <w:gridSpan w:val="2"/>
            <w:tcBorders/>
            <w:shd w:fill="auto" w:val="clear"/>
            <w:vAlign w:val="center"/>
          </w:tcPr>
          <w:p>
            <w:pPr>
              <w:pStyle w:val="TableContents"/>
              <w:spacing w:before="0" w:after="0"/>
              <w:jc w:val="right"/>
              <w:rPr/>
            </w:pPr>
            <w:r>
              <w:rPr/>
              <w:t>—</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9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change in net revenue</w:t>
            </w:r>
          </w:p>
        </w:tc>
        <w:tc>
          <w:tcPr>
            <w:tcW w:w="1535" w:type="dxa"/>
            <w:gridSpan w:val="3"/>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ind w:left="0" w:right="0" w:firstLine="30"/>
              <w:rPr/>
            </w:pPr>
            <w:r>
              <w:rPr/>
              <w:t> </w:t>
            </w:r>
          </w:p>
        </w:tc>
        <w:tc>
          <w:tcPr>
            <w:tcW w:w="2136" w:type="dxa"/>
            <w:gridSpan w:val="3"/>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ind w:left="0" w:right="0" w:firstLine="30"/>
              <w:rPr/>
            </w:pPr>
            <w:r>
              <w:rPr/>
              <w:t> </w:t>
            </w:r>
          </w:p>
        </w:tc>
        <w:tc>
          <w:tcPr>
            <w:tcW w:w="22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8.5</w:t>
            </w:r>
          </w:p>
        </w:tc>
        <w:tc>
          <w:tcPr>
            <w:tcW w:w="56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7"/>
        </w:rPr>
        <w:t>Pawn service charges increased 105%</w:t>
      </w:r>
      <w:r>
        <w:rPr>
          <w:sz w:val="17"/>
        </w:rPr>
        <w:t xml:space="preserve"> </w:t>
      </w:r>
      <w:r>
        <w:rPr>
          <w:rFonts w:ascii="inherit" w:hAnsi="inherit"/>
          <w:sz w:val="17"/>
        </w:rPr>
        <w:t>(96%</w:t>
      </w:r>
      <w:r>
        <w:rPr>
          <w:sz w:val="17"/>
        </w:rPr>
        <w:t xml:space="preserve"> </w:t>
      </w:r>
      <w:r>
        <w:rPr>
          <w:rFonts w:ascii="inherit" w:hAnsi="inherit"/>
          <w:sz w:val="17"/>
        </w:rPr>
        <w:t>on a constant currency basis) primarily due to the acquisition of stores discussed above and same store growth. The average ending monthly pawn loan balance per store outstanding during the current quarter increased 31%</w:t>
      </w:r>
      <w:r>
        <w:rPr>
          <w:sz w:val="17"/>
        </w:rPr>
        <w:t> </w:t>
      </w:r>
      <w:r>
        <w:rPr>
          <w:rFonts w:ascii="inherit" w:hAnsi="inherit"/>
          <w:sz w:val="17"/>
        </w:rPr>
        <w:t>(27%</w:t>
      </w:r>
      <w:r>
        <w:rPr>
          <w:sz w:val="17"/>
        </w:rPr>
        <w:t> </w:t>
      </w:r>
      <w:r>
        <w:rPr>
          <w:rFonts w:ascii="inherit" w:hAnsi="inherit"/>
          <w:sz w:val="17"/>
        </w:rPr>
        <w:t>on a constant currency basis), including additions to store count from acquisitions discussed above and de novo stores, offset by foreign currency impacts.</w:t>
      </w:r>
    </w:p>
    <w:p>
      <w:pPr>
        <w:pStyle w:val="TextBody"/>
        <w:spacing w:lineRule="auto" w:line="288" w:before="0" w:after="0"/>
        <w:jc w:val="left"/>
        <w:rPr>
          <w:sz w:val="17"/>
        </w:rPr>
      </w:pPr>
      <w:r>
        <w:rPr>
          <w:rFonts w:ascii="inherit" w:hAnsi="inherit"/>
          <w:sz w:val="17"/>
        </w:rPr>
        <w:t>Merchandise sales increased 37%</w:t>
      </w:r>
      <w:r>
        <w:rPr>
          <w:sz w:val="17"/>
        </w:rPr>
        <w:t xml:space="preserve"> </w:t>
      </w:r>
      <w:r>
        <w:rPr>
          <w:rFonts w:ascii="inherit" w:hAnsi="inherit"/>
          <w:sz w:val="17"/>
        </w:rPr>
        <w:t>(28%</w:t>
      </w:r>
      <w:r>
        <w:rPr>
          <w:sz w:val="17"/>
        </w:rPr>
        <w:t xml:space="preserve"> </w:t>
      </w:r>
      <w:r>
        <w:rPr>
          <w:rFonts w:ascii="inherit" w:hAnsi="inherit"/>
          <w:sz w:val="17"/>
        </w:rPr>
        <w:t>on a constant currency basis), with gross margin on merchandise sales of 32%, consistent with the prior-year quarter. As a result of the combination of these effects and acquisition of stores discussed above, offset by foreign currency impacts, merchandise sales gross profit was up 39%</w:t>
      </w:r>
      <w:r>
        <w:rPr>
          <w:sz w:val="17"/>
        </w:rPr>
        <w:t> </w:t>
      </w:r>
      <w:r>
        <w:rPr>
          <w:rFonts w:ascii="inherit" w:hAnsi="inherit"/>
          <w:sz w:val="17"/>
        </w:rPr>
        <w:t>to $6.5 million</w:t>
      </w:r>
      <w:r>
        <w:rPr>
          <w:sz w:val="17"/>
        </w:rPr>
        <w:t> </w:t>
      </w:r>
      <w:r>
        <w:rPr>
          <w:rFonts w:ascii="inherit" w:hAnsi="inherit"/>
          <w:sz w:val="17"/>
        </w:rPr>
        <w:t>(29%</w:t>
      </w:r>
      <w:r>
        <w:rPr>
          <w:sz w:val="17"/>
        </w:rPr>
        <w:t> </w:t>
      </w:r>
      <w:r>
        <w:rPr>
          <w:rFonts w:ascii="inherit" w:hAnsi="inherit"/>
          <w:sz w:val="17"/>
        </w:rPr>
        <w:t>to $6.1 million</w:t>
      </w:r>
      <w:r>
        <w:rPr>
          <w:sz w:val="17"/>
        </w:rPr>
        <w:t> </w:t>
      </w:r>
      <w:r>
        <w:rPr>
          <w:rFonts w:ascii="inherit" w:hAnsi="inherit"/>
          <w:sz w:val="17"/>
        </w:rPr>
        <w:t>on a constant currency basis).</w:t>
      </w:r>
    </w:p>
    <w:p>
      <w:pPr>
        <w:pStyle w:val="TextBody"/>
        <w:spacing w:lineRule="auto" w:line="288" w:before="0" w:after="0"/>
        <w:jc w:val="left"/>
        <w:rPr>
          <w:sz w:val="17"/>
        </w:rPr>
      </w:pPr>
      <w:r>
        <w:rPr>
          <w:rFonts w:ascii="inherit" w:hAnsi="inherit"/>
          <w:sz w:val="17"/>
        </w:rPr>
        <w:t>Jewelry scrapping sales increased 188%</w:t>
      </w:r>
      <w:r>
        <w:rPr>
          <w:sz w:val="17"/>
        </w:rPr>
        <w:t xml:space="preserve"> </w:t>
      </w:r>
      <w:r>
        <w:rPr>
          <w:rFonts w:ascii="inherit" w:hAnsi="inherit"/>
          <w:sz w:val="17"/>
        </w:rPr>
        <w:t>(177%</w:t>
      </w:r>
      <w:r>
        <w:rPr>
          <w:sz w:val="17"/>
        </w:rPr>
        <w:t xml:space="preserve"> </w:t>
      </w:r>
      <w:r>
        <w:rPr>
          <w:rFonts w:ascii="inherit" w:hAnsi="inherit"/>
          <w:sz w:val="17"/>
        </w:rPr>
        <w:t>on a constant currency basis) with a 900</w:t>
      </w:r>
      <w:r>
        <w:rPr>
          <w:sz w:val="17"/>
        </w:rPr>
        <w:t xml:space="preserve"> </w:t>
      </w:r>
      <w:r>
        <w:rPr>
          <w:rFonts w:ascii="inherit" w:hAnsi="inherit"/>
          <w:sz w:val="17"/>
        </w:rPr>
        <w:t>basis point decline in margin, primarily due to the acquisition of stores discussed above.</w:t>
      </w:r>
    </w:p>
    <w:p>
      <w:pPr>
        <w:pStyle w:val="TextBody"/>
        <w:spacing w:lineRule="auto" w:line="288" w:before="0" w:after="0"/>
        <w:jc w:val="left"/>
        <w:rPr>
          <w:sz w:val="17"/>
        </w:rPr>
      </w:pPr>
      <w:r>
        <w:rPr>
          <w:rFonts w:ascii="inherit" w:hAnsi="inherit"/>
          <w:sz w:val="17"/>
        </w:rPr>
        <w:t>We leveraged a 78%</w:t>
      </w:r>
      <w:r>
        <w:rPr>
          <w:sz w:val="17"/>
        </w:rPr>
        <w:t xml:space="preserve"> </w:t>
      </w:r>
      <w:r>
        <w:rPr>
          <w:rFonts w:ascii="inherit" w:hAnsi="inherit"/>
          <w:sz w:val="17"/>
        </w:rPr>
        <w:t>increase in net revenue (69%</w:t>
      </w:r>
      <w:r>
        <w:rPr>
          <w:sz w:val="17"/>
        </w:rPr>
        <w:t xml:space="preserve"> </w:t>
      </w:r>
      <w:r>
        <w:rPr>
          <w:rFonts w:ascii="inherit" w:hAnsi="inherit"/>
          <w:sz w:val="17"/>
        </w:rPr>
        <w:t>on a constant currency basis) into a 116%</w:t>
      </w:r>
      <w:r>
        <w:rPr>
          <w:sz w:val="17"/>
        </w:rPr>
        <w:t xml:space="preserve"> </w:t>
      </w:r>
      <w:r>
        <w:rPr>
          <w:rFonts w:ascii="inherit" w:hAnsi="inherit"/>
          <w:sz w:val="17"/>
        </w:rPr>
        <w:t>increase in segment operating contribution (107%</w:t>
      </w:r>
      <w:r>
        <w:rPr>
          <w:sz w:val="17"/>
        </w:rPr>
        <w:t xml:space="preserve"> </w:t>
      </w:r>
      <w:r>
        <w:rPr>
          <w:rFonts w:ascii="inherit" w:hAnsi="inherit"/>
          <w:sz w:val="17"/>
        </w:rPr>
        <w:t>on a constant currency basis) due to focused expense management in addition to greater operational leverage from the acquisition of stores discussed above, resulting in only a 68%</w:t>
      </w:r>
      <w:r>
        <w:rPr>
          <w:sz w:val="17"/>
        </w:rPr>
        <w:t xml:space="preserve"> </w:t>
      </w:r>
      <w:r>
        <w:rPr>
          <w:rFonts w:ascii="inherit" w:hAnsi="inherit"/>
          <w:sz w:val="17"/>
        </w:rPr>
        <w:t>increase (59%</w:t>
      </w:r>
      <w:r>
        <w:rPr>
          <w:sz w:val="17"/>
        </w:rPr>
        <w:t xml:space="preserve"> </w:t>
      </w:r>
      <w:r>
        <w:rPr>
          <w:rFonts w:ascii="inherit" w:hAnsi="inherit"/>
          <w:sz w:val="17"/>
        </w:rPr>
        <w:t>on a constant currency basis) in operations expenses. After a $0.5 million improvement in other segment income, primarily interest income from our notes receivable, segment contribution increased 119%</w:t>
      </w:r>
      <w:r>
        <w:rPr>
          <w:sz w:val="17"/>
        </w:rPr>
        <w:t xml:space="preserve"> </w:t>
      </w:r>
      <w:r>
        <w:rPr>
          <w:rFonts w:ascii="inherit" w:hAnsi="inherit"/>
          <w:sz w:val="17"/>
        </w:rPr>
        <w:t>(109%</w:t>
      </w:r>
      <w:r>
        <w:rPr>
          <w:sz w:val="17"/>
        </w:rPr>
        <w:t xml:space="preserve"> </w:t>
      </w:r>
      <w:r>
        <w:rPr>
          <w:rFonts w:ascii="inherit" w:hAnsi="inherit"/>
          <w:sz w:val="17"/>
        </w:rPr>
        <w:t>on a constant currency basis).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rPr/>
      </w:pPr>
      <w:hyperlink w:anchor="sA33FD6028AA25395924ED4406F429385">
        <w:bookmarkStart w:id="27" w:name="sAD429E535A9E5FD4BDFC39257FF07907"/>
        <w:bookmarkEnd w:id="27"/>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Other International</w:t>
      </w:r>
    </w:p>
    <w:p>
      <w:pPr>
        <w:pStyle w:val="TextBody"/>
        <w:spacing w:lineRule="auto" w:line="288" w:before="0" w:after="0"/>
        <w:rPr>
          <w:rFonts w:ascii="inherit" w:hAnsi="inherit"/>
          <w:sz w:val="17"/>
        </w:rPr>
      </w:pPr>
      <w:r>
        <w:rPr>
          <w:rFonts w:ascii="inherit" w:hAnsi="inherit"/>
          <w:sz w:val="17"/>
        </w:rPr>
        <w:t>The following table presents selected financial data from continuing operations for the Other International segment after translation to U.S. dollars from its functional currency of primarily Australian and Canadian dollars:</w:t>
      </w:r>
    </w:p>
    <w:tbl>
      <w:tblPr>
        <w:tblW w:w="7872" w:type="dxa"/>
        <w:jc w:val="left"/>
        <w:tblInd w:w="0" w:type="dxa"/>
        <w:tblCellMar>
          <w:top w:w="0" w:type="dxa"/>
          <w:left w:w="0" w:type="dxa"/>
          <w:bottom w:w="0" w:type="dxa"/>
          <w:right w:w="0" w:type="dxa"/>
        </w:tblCellMar>
      </w:tblPr>
      <w:tblGrid>
        <w:gridCol w:w="3965"/>
        <w:gridCol w:w="189"/>
        <w:gridCol w:w="733"/>
        <w:gridCol w:w="166"/>
        <w:gridCol w:w="136"/>
        <w:gridCol w:w="189"/>
        <w:gridCol w:w="733"/>
        <w:gridCol w:w="166"/>
        <w:gridCol w:w="90"/>
        <w:gridCol w:w="1505"/>
      </w:tblGrid>
      <w:tr>
        <w:trPr/>
        <w:tc>
          <w:tcPr>
            <w:tcW w:w="7872" w:type="dxa"/>
            <w:gridSpan w:val="10"/>
            <w:tcBorders/>
            <w:shd w:fill="auto" w:val="clear"/>
            <w:vAlign w:val="center"/>
          </w:tcPr>
          <w:p>
            <w:pPr>
              <w:pStyle w:val="TableContents"/>
              <w:spacing w:before="0" w:after="283"/>
              <w:rPr>
                <w:sz w:val="4"/>
                <w:szCs w:val="4"/>
              </w:rPr>
            </w:pPr>
            <w:r>
              <w:rPr>
                <w:sz w:val="4"/>
                <w:szCs w:val="4"/>
              </w:rPr>
            </w:r>
          </w:p>
        </w:tc>
      </w:tr>
      <w:tr>
        <w:trPr/>
        <w:tc>
          <w:tcPr>
            <w:tcW w:w="396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65" w:type="dxa"/>
            <w:tcBorders/>
            <w:shd w:fill="auto" w:val="clear"/>
            <w:vAlign w:val="center"/>
          </w:tcPr>
          <w:p>
            <w:pPr>
              <w:pStyle w:val="TableContents"/>
              <w:spacing w:before="0" w:after="0"/>
              <w:ind w:left="0" w:right="0" w:firstLine="30"/>
              <w:jc w:val="left"/>
              <w:rPr/>
            </w:pPr>
            <w:r>
              <w:rPr/>
              <w:t> </w:t>
            </w:r>
          </w:p>
        </w:tc>
        <w:tc>
          <w:tcPr>
            <w:tcW w:w="231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150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Percentage Change</w:t>
            </w:r>
          </w:p>
        </w:tc>
      </w:tr>
      <w:tr>
        <w:trPr/>
        <w:tc>
          <w:tcPr>
            <w:tcW w:w="3965" w:type="dxa"/>
            <w:tcBorders/>
            <w:shd w:fill="auto" w:val="clear"/>
            <w:vAlign w:val="center"/>
          </w:tcPr>
          <w:p>
            <w:pPr>
              <w:pStyle w:val="TableContents"/>
              <w:spacing w:before="0" w:after="0"/>
              <w:ind w:left="0" w:right="0" w:firstLine="30"/>
              <w:jc w:val="left"/>
              <w:rPr/>
            </w:pPr>
            <w:r>
              <w:rPr/>
              <w:t> </w:t>
            </w:r>
          </w:p>
        </w:tc>
        <w:tc>
          <w:tcPr>
            <w:tcW w:w="10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36" w:type="dxa"/>
            <w:tcBorders/>
            <w:shd w:fill="auto" w:val="clear"/>
            <w:vAlign w:val="center"/>
          </w:tcPr>
          <w:p>
            <w:pPr>
              <w:pStyle w:val="TableContents"/>
              <w:spacing w:before="0" w:after="0"/>
              <w:ind w:left="0" w:right="0" w:firstLine="30"/>
              <w:rPr/>
            </w:pPr>
            <w:r>
              <w:rPr/>
              <w:t> </w:t>
            </w:r>
          </w:p>
        </w:tc>
        <w:tc>
          <w:tcPr>
            <w:tcW w:w="10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1505" w:type="dxa"/>
            <w:vMerge w:val="continue"/>
            <w:tcBorders>
              <w:bottom w:val="single" w:sz="2" w:space="0" w:color="000000"/>
            </w:tcBorders>
            <w:shd w:fill="auto" w:val="clear"/>
            <w:tcMar>
              <w:bottom w:w="30" w:type="dxa"/>
            </w:tcMar>
            <w:vAlign w:val="center"/>
          </w:tcPr>
          <w:p>
            <w:pPr>
              <w:pStyle w:val="Normal"/>
              <w:rPr/>
            </w:pPr>
            <w:r>
              <w:rPr/>
            </w:r>
          </w:p>
        </w:tc>
      </w:tr>
      <w:tr>
        <w:trPr/>
        <w:tc>
          <w:tcPr>
            <w:tcW w:w="3965" w:type="dxa"/>
            <w:tcBorders/>
            <w:shd w:fill="auto" w:val="clear"/>
            <w:vAlign w:val="center"/>
          </w:tcPr>
          <w:p>
            <w:pPr>
              <w:pStyle w:val="TableContents"/>
              <w:spacing w:before="0" w:after="0"/>
              <w:ind w:left="0" w:right="0" w:firstLine="30"/>
              <w:rPr/>
            </w:pPr>
            <w:r>
              <w:rPr/>
              <w:t> </w:t>
            </w:r>
          </w:p>
        </w:tc>
        <w:tc>
          <w:tcPr>
            <w:tcW w:w="1088"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0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3965" w:type="dxa"/>
            <w:tcBorders/>
            <w:shd w:fill="auto" w:val="clear"/>
            <w:vAlign w:val="center"/>
          </w:tcPr>
          <w:p>
            <w:pPr>
              <w:pStyle w:val="TableContents"/>
              <w:spacing w:before="0" w:after="0"/>
              <w:ind w:left="0" w:right="0" w:firstLine="30"/>
              <w:jc w:val="left"/>
              <w:rPr/>
            </w:pPr>
            <w:r>
              <w:rPr/>
              <w:t> </w:t>
            </w:r>
          </w:p>
        </w:tc>
        <w:tc>
          <w:tcPr>
            <w:tcW w:w="231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39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88"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0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0"/>
              <w:rPr/>
            </w:pPr>
            <w:r>
              <w:rPr/>
              <w:t> </w:t>
            </w:r>
          </w:p>
        </w:tc>
      </w:tr>
      <w:tr>
        <w:trPr/>
        <w:tc>
          <w:tcPr>
            <w:tcW w:w="39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interest and other</w:t>
            </w:r>
          </w:p>
        </w:tc>
        <w:tc>
          <w:tcPr>
            <w:tcW w:w="18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33" w:type="dxa"/>
            <w:tcBorders/>
            <w:shd w:fill="auto" w:val="clear"/>
            <w:vAlign w:val="center"/>
          </w:tcPr>
          <w:p>
            <w:pPr>
              <w:pStyle w:val="TableContents"/>
              <w:spacing w:before="0" w:after="0"/>
              <w:jc w:val="right"/>
              <w:rPr>
                <w:rFonts w:ascii="inherit" w:hAnsi="inherit"/>
                <w:sz w:val="17"/>
              </w:rPr>
            </w:pPr>
            <w:r>
              <w:rPr>
                <w:rFonts w:ascii="inherit" w:hAnsi="inherit"/>
                <w:sz w:val="17"/>
              </w:rPr>
              <w:t>1,647</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33" w:type="dxa"/>
            <w:tcBorders/>
            <w:shd w:fill="auto" w:val="clear"/>
            <w:vAlign w:val="center"/>
          </w:tcPr>
          <w:p>
            <w:pPr>
              <w:pStyle w:val="TableContents"/>
              <w:spacing w:before="0" w:after="0"/>
              <w:jc w:val="right"/>
              <w:rPr>
                <w:rFonts w:ascii="inherit" w:hAnsi="inherit"/>
                <w:sz w:val="17"/>
              </w:rPr>
            </w:pPr>
            <w:r>
              <w:rPr>
                <w:rFonts w:ascii="inherit" w:hAnsi="inherit"/>
                <w:sz w:val="17"/>
              </w:rPr>
              <w:t>1,876</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(12)%</w:t>
            </w:r>
          </w:p>
        </w:tc>
      </w:tr>
      <w:tr>
        <w:trPr/>
        <w:tc>
          <w:tcPr>
            <w:tcW w:w="39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9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(347</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6" w:type="dxa"/>
            <w:tcBorders/>
            <w:shd w:fill="CCEEFF" w:val="clear"/>
            <w:vAlign w:val="center"/>
          </w:tcPr>
          <w:p>
            <w:pPr>
              <w:pStyle w:val="TableContents"/>
              <w:spacing w:before="0" w:after="0"/>
              <w:ind w:left="0" w:right="0" w:firstLine="30"/>
              <w:rPr/>
            </w:pPr>
            <w:r>
              <w:rPr/>
              <w:t> </w:t>
            </w:r>
          </w:p>
        </w:tc>
        <w:tc>
          <w:tcPr>
            <w:tcW w:w="9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(397</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(13)%</w:t>
            </w:r>
          </w:p>
        </w:tc>
      </w:tr>
      <w:tr>
        <w:trPr/>
        <w:tc>
          <w:tcPr>
            <w:tcW w:w="39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1,300</w:t>
            </w:r>
          </w:p>
        </w:tc>
        <w:tc>
          <w:tcPr>
            <w:tcW w:w="16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1,479</w:t>
            </w:r>
          </w:p>
        </w:tc>
        <w:tc>
          <w:tcPr>
            <w:tcW w:w="16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(12)%</w:t>
            </w:r>
          </w:p>
        </w:tc>
      </w:tr>
      <w:tr>
        <w:trPr/>
        <w:tc>
          <w:tcPr>
            <w:tcW w:w="3965" w:type="dxa"/>
            <w:tcBorders/>
            <w:shd w:fill="CCEEFF" w:val="clear"/>
            <w:vAlign w:val="center"/>
          </w:tcPr>
          <w:p>
            <w:pPr>
              <w:pStyle w:val="TableContents"/>
              <w:spacing w:before="0" w:after="0"/>
              <w:ind w:left="0" w:right="0" w:firstLine="30"/>
              <w:rPr/>
            </w:pPr>
            <w:r>
              <w:rPr/>
              <w:t> </w:t>
            </w:r>
          </w:p>
        </w:tc>
        <w:tc>
          <w:tcPr>
            <w:tcW w:w="1088"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0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r>
      <w:tr>
        <w:trPr/>
        <w:tc>
          <w:tcPr>
            <w:tcW w:w="39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expenses (income):</w:t>
            </w:r>
          </w:p>
        </w:tc>
        <w:tc>
          <w:tcPr>
            <w:tcW w:w="1088"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0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0"/>
              <w:rPr/>
            </w:pPr>
            <w:r>
              <w:rPr/>
              <w:t> </w:t>
            </w:r>
          </w:p>
        </w:tc>
      </w:tr>
      <w:tr>
        <w:trPr/>
        <w:tc>
          <w:tcPr>
            <w:tcW w:w="39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9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2,022</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9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2,053</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(2)%</w:t>
            </w:r>
          </w:p>
        </w:tc>
      </w:tr>
      <w:tr>
        <w:trPr/>
        <w:tc>
          <w:tcPr>
            <w:tcW w:w="39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w:t>
            </w:r>
          </w:p>
        </w:tc>
        <w:tc>
          <w:tcPr>
            <w:tcW w:w="9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(876</w:t>
            </w:r>
          </w:p>
        </w:tc>
        <w:tc>
          <w:tcPr>
            <w:tcW w:w="1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6" w:type="dxa"/>
            <w:tcBorders/>
            <w:shd w:fill="auto" w:val="clear"/>
            <w:vAlign w:val="center"/>
          </w:tcPr>
          <w:p>
            <w:pPr>
              <w:pStyle w:val="TableContents"/>
              <w:spacing w:before="0" w:after="0"/>
              <w:ind w:left="0" w:right="0" w:firstLine="30"/>
              <w:rPr/>
            </w:pPr>
            <w:r>
              <w:rPr/>
              <w:t> </w:t>
            </w:r>
          </w:p>
        </w:tc>
        <w:tc>
          <w:tcPr>
            <w:tcW w:w="9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(1,243</w:t>
            </w:r>
          </w:p>
        </w:tc>
        <w:tc>
          <w:tcPr>
            <w:tcW w:w="1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(30)%</w:t>
            </w:r>
          </w:p>
        </w:tc>
      </w:tr>
      <w:tr>
        <w:trPr/>
        <w:tc>
          <w:tcPr>
            <w:tcW w:w="39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contribution</w:t>
            </w:r>
          </w:p>
        </w:tc>
        <w:tc>
          <w:tcPr>
            <w:tcW w:w="9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9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669</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(77)%</w:t>
            </w:r>
          </w:p>
        </w:tc>
      </w:tr>
      <w:tr>
        <w:trPr/>
        <w:tc>
          <w:tcPr>
            <w:tcW w:w="3965" w:type="dxa"/>
            <w:tcBorders/>
            <w:shd w:fill="auto" w:val="clear"/>
            <w:vAlign w:val="center"/>
          </w:tcPr>
          <w:p>
            <w:pPr>
              <w:pStyle w:val="TableContents"/>
              <w:spacing w:before="0" w:after="0"/>
              <w:ind w:left="0" w:right="0" w:firstLine="30"/>
              <w:rPr/>
            </w:pPr>
            <w:r>
              <w:rPr/>
              <w:t> </w:t>
            </w:r>
          </w:p>
        </w:tc>
        <w:tc>
          <w:tcPr>
            <w:tcW w:w="1088"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0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39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segment (income) expense</w:t>
            </w:r>
          </w:p>
        </w:tc>
        <w:tc>
          <w:tcPr>
            <w:tcW w:w="9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6" w:type="dxa"/>
            <w:tcBorders/>
            <w:shd w:fill="CCEEFF" w:val="clear"/>
            <w:vAlign w:val="center"/>
          </w:tcPr>
          <w:p>
            <w:pPr>
              <w:pStyle w:val="TableContents"/>
              <w:spacing w:before="0" w:after="0"/>
              <w:ind w:left="0" w:right="0" w:firstLine="30"/>
              <w:rPr/>
            </w:pPr>
            <w:r>
              <w:rPr/>
              <w:t> </w:t>
            </w:r>
          </w:p>
        </w:tc>
        <w:tc>
          <w:tcPr>
            <w:tcW w:w="9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w:t>
            </w:r>
          </w:p>
        </w:tc>
      </w:tr>
      <w:tr>
        <w:trPr/>
        <w:tc>
          <w:tcPr>
            <w:tcW w:w="39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189</w:t>
            </w:r>
          </w:p>
        </w:tc>
        <w:tc>
          <w:tcPr>
            <w:tcW w:w="1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8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628</w:t>
            </w:r>
          </w:p>
        </w:tc>
        <w:tc>
          <w:tcPr>
            <w:tcW w:w="1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jc w:val="center"/>
              <w:rPr>
                <w:rFonts w:ascii="inherit" w:hAnsi="inherit"/>
                <w:sz w:val="17"/>
              </w:rPr>
            </w:pPr>
            <w:r>
              <w:rPr>
                <w:rFonts w:ascii="inherit" w:hAnsi="inherit"/>
                <w:sz w:val="17"/>
              </w:rPr>
              <w:t>(70)%</w:t>
            </w:r>
          </w:p>
        </w:tc>
      </w:tr>
    </w:tbl>
    <w:tbl>
      <w:tblPr>
        <w:tblW w:w="4465" w:type="dxa"/>
        <w:jc w:val="left"/>
        <w:tblInd w:w="0" w:type="dxa"/>
        <w:tblCellMar>
          <w:top w:w="0" w:type="dxa"/>
          <w:left w:w="0" w:type="dxa"/>
          <w:bottom w:w="0" w:type="dxa"/>
          <w:right w:w="0" w:type="dxa"/>
        </w:tblCellMar>
      </w:tblPr>
      <w:tblGrid>
        <w:gridCol w:w="140"/>
        <w:gridCol w:w="4325"/>
      </w:tblGrid>
      <w:tr>
        <w:trPr/>
        <w:tc>
          <w:tcPr>
            <w:tcW w:w="4465" w:type="dxa"/>
            <w:gridSpan w:val="2"/>
            <w:tcBorders/>
            <w:shd w:fill="auto" w:val="clear"/>
            <w:vAlign w:val="center"/>
          </w:tcPr>
          <w:p>
            <w:pPr>
              <w:pStyle w:val="TableContents"/>
              <w:spacing w:before="0" w:after="283"/>
              <w:rPr>
                <w:sz w:val="4"/>
                <w:szCs w:val="4"/>
              </w:rPr>
            </w:pPr>
            <w:r>
              <w:rPr>
                <w:sz w:val="4"/>
                <w:szCs w:val="4"/>
              </w:rPr>
            </w:r>
          </w:p>
        </w:tc>
      </w:tr>
      <w:tr>
        <w:trPr/>
        <w:tc>
          <w:tcPr>
            <w:tcW w:w="140" w:type="dxa"/>
            <w:tcBorders/>
            <w:shd w:fill="auto" w:val="clear"/>
            <w:vAlign w:val="center"/>
          </w:tcPr>
          <w:p>
            <w:pPr>
              <w:pStyle w:val="TableContents"/>
              <w:spacing w:before="0" w:after="283"/>
              <w:rPr>
                <w:sz w:val="4"/>
                <w:szCs w:val="4"/>
              </w:rPr>
            </w:pPr>
            <w:r>
              <w:rPr>
                <w:sz w:val="4"/>
                <w:szCs w:val="4"/>
              </w:rPr>
            </w:r>
          </w:p>
        </w:tc>
        <w:tc>
          <w:tcPr>
            <w:tcW w:w="43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4325" w:type="dxa"/>
            <w:tcBorders/>
            <w:shd w:fill="auto" w:val="clear"/>
            <w:vAlign w:val="center"/>
          </w:tcPr>
          <w:p>
            <w:pPr>
              <w:pStyle w:val="TableContents"/>
              <w:spacing w:before="0" w:after="0"/>
              <w:ind w:left="0" w:right="0" w:hanging="180"/>
              <w:jc w:val="left"/>
              <w:rPr>
                <w:rFonts w:ascii="inherit" w:hAnsi="inherit"/>
                <w:sz w:val="13"/>
              </w:rPr>
            </w:pPr>
            <w:r>
              <w:rPr>
                <w:rFonts w:ascii="inherit" w:hAnsi="inherit"/>
                <w:sz w:val="13"/>
              </w:rPr>
              <w:t>Represents an increase or decrease that is not meaningful.</w:t>
            </w:r>
          </w:p>
        </w:tc>
      </w:tr>
    </w:tbl>
    <w:p>
      <w:pPr>
        <w:pStyle w:val="TextBody"/>
        <w:spacing w:lineRule="auto" w:line="288" w:before="0" w:after="0"/>
        <w:rPr>
          <w:sz w:val="17"/>
        </w:rPr>
      </w:pPr>
      <w:r>
        <w:rPr>
          <w:rFonts w:ascii="inherit" w:hAnsi="inherit"/>
          <w:sz w:val="17"/>
        </w:rPr>
        <w:t>Segment contribution was $0.2 million, a decrease of 70%</w:t>
      </w:r>
      <w:r>
        <w:rPr>
          <w:sz w:val="17"/>
        </w:rPr>
        <w:t xml:space="preserve"> </w:t>
      </w:r>
      <w:r>
        <w:rPr>
          <w:rFonts w:ascii="inherit" w:hAnsi="inherit"/>
          <w:sz w:val="17"/>
        </w:rPr>
        <w:t>from the prior-year quarter, primarily due to a $0.4 million</w:t>
      </w:r>
      <w:r>
        <w:rPr>
          <w:sz w:val="17"/>
        </w:rPr>
        <w:t xml:space="preserve"> </w:t>
      </w:r>
      <w:r>
        <w:rPr>
          <w:rFonts w:ascii="inherit" w:hAnsi="inherit"/>
          <w:sz w:val="17"/>
        </w:rPr>
        <w:t>decrease in equity in net income of our unconsolidated affiliate. We began introducing installment loans in several of our Canada stores during the current quarter due to regulatory changes impacting the economic returns of our payday lending model, which took effect January 1, 2018.</w:t>
      </w:r>
    </w:p>
    <w:p>
      <w:pPr>
        <w:pStyle w:val="TextBody"/>
        <w:spacing w:lineRule="auto" w:line="288" w:before="0" w:after="0"/>
        <w:rPr>
          <w:rFonts w:ascii="inherit" w:hAnsi="inherit"/>
          <w:sz w:val="17"/>
        </w:rPr>
      </w:pPr>
      <w:r>
        <w:rPr>
          <w:rFonts w:ascii="inherit" w:hAnsi="inherit"/>
          <w:sz w:val="17"/>
        </w:rPr>
        <w:t>We have taken impairment charges on this investment in prior periods and continue to monitor the fair value of our investment for other-than-temporary impairments. We may record a further impairment charge should the fair value of our investment fall below its carrying value for an extended period of time.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rPr/>
      </w:pPr>
      <w:hyperlink w:anchor="sA33FD6028AA25395924ED4406F429385">
        <w:bookmarkStart w:id="28" w:name="sBEE5D5C946B45C48B29B0FBD7C610090"/>
        <w:bookmarkEnd w:id="28"/>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Other Items</w:t>
      </w:r>
    </w:p>
    <w:p>
      <w:pPr>
        <w:pStyle w:val="TextBody"/>
        <w:spacing w:lineRule="auto" w:line="288" w:before="0" w:after="0"/>
        <w:jc w:val="left"/>
        <w:rPr>
          <w:rFonts w:ascii="inherit" w:hAnsi="inherit"/>
          <w:sz w:val="17"/>
        </w:rPr>
      </w:pPr>
      <w:r>
        <w:rPr>
          <w:rFonts w:ascii="inherit" w:hAnsi="inherit"/>
          <w:sz w:val="17"/>
        </w:rPr>
        <w:t>The following table reconciles our consolidated segment contribution discussed above to net income attributable to EZCORP, Inc., including items that affect our consolidated financial results but are not allocated among segments:</w:t>
      </w:r>
    </w:p>
    <w:tbl>
      <w:tblPr>
        <w:tblW w:w="8666" w:type="dxa"/>
        <w:jc w:val="left"/>
        <w:tblInd w:w="0" w:type="dxa"/>
        <w:tblCellMar>
          <w:top w:w="0" w:type="dxa"/>
          <w:left w:w="0" w:type="dxa"/>
          <w:bottom w:w="0" w:type="dxa"/>
          <w:right w:w="0" w:type="dxa"/>
        </w:tblCellMar>
      </w:tblPr>
      <w:tblGrid>
        <w:gridCol w:w="4760"/>
        <w:gridCol w:w="166"/>
        <w:gridCol w:w="784"/>
        <w:gridCol w:w="146"/>
        <w:gridCol w:w="119"/>
        <w:gridCol w:w="166"/>
        <w:gridCol w:w="784"/>
        <w:gridCol w:w="146"/>
        <w:gridCol w:w="90"/>
        <w:gridCol w:w="1505"/>
      </w:tblGrid>
      <w:tr>
        <w:trPr/>
        <w:tc>
          <w:tcPr>
            <w:tcW w:w="8666" w:type="dxa"/>
            <w:gridSpan w:val="10"/>
            <w:tcBorders/>
            <w:shd w:fill="auto" w:val="clear"/>
            <w:vAlign w:val="center"/>
          </w:tcPr>
          <w:p>
            <w:pPr>
              <w:pStyle w:val="TableContents"/>
              <w:spacing w:before="0" w:after="283"/>
              <w:rPr>
                <w:sz w:val="4"/>
                <w:szCs w:val="4"/>
              </w:rPr>
            </w:pPr>
            <w:r>
              <w:rPr>
                <w:sz w:val="4"/>
                <w:szCs w:val="4"/>
              </w:rPr>
            </w:r>
          </w:p>
        </w:tc>
      </w:tr>
      <w:tr>
        <w:trPr/>
        <w:tc>
          <w:tcPr>
            <w:tcW w:w="476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760" w:type="dxa"/>
            <w:tcBorders/>
            <w:shd w:fill="auto" w:val="clear"/>
            <w:vAlign w:val="center"/>
          </w:tcPr>
          <w:p>
            <w:pPr>
              <w:pStyle w:val="TableContents"/>
              <w:spacing w:before="0" w:after="0"/>
              <w:ind w:left="0" w:right="0" w:firstLine="30"/>
              <w:jc w:val="left"/>
              <w:rPr/>
            </w:pPr>
            <w:r>
              <w:rPr/>
              <w:t> </w:t>
            </w:r>
          </w:p>
        </w:tc>
        <w:tc>
          <w:tcPr>
            <w:tcW w:w="231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150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Percentage Change</w:t>
            </w:r>
          </w:p>
        </w:tc>
      </w:tr>
      <w:tr>
        <w:trPr/>
        <w:tc>
          <w:tcPr>
            <w:tcW w:w="4760" w:type="dxa"/>
            <w:tcBorders/>
            <w:shd w:fill="auto" w:val="clear"/>
            <w:vAlign w:val="center"/>
          </w:tcPr>
          <w:p>
            <w:pPr>
              <w:pStyle w:val="TableContents"/>
              <w:spacing w:before="0" w:after="0"/>
              <w:ind w:left="0" w:right="0" w:firstLine="30"/>
              <w:jc w:val="left"/>
              <w:rPr/>
            </w:pPr>
            <w:r>
              <w:rPr/>
              <w:t> </w:t>
            </w:r>
          </w:p>
        </w:tc>
        <w:tc>
          <w:tcPr>
            <w:tcW w:w="109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19" w:type="dxa"/>
            <w:tcBorders/>
            <w:shd w:fill="auto" w:val="clear"/>
            <w:vAlign w:val="center"/>
          </w:tcPr>
          <w:p>
            <w:pPr>
              <w:pStyle w:val="TableContents"/>
              <w:spacing w:before="0" w:after="0"/>
              <w:ind w:left="0" w:right="0" w:firstLine="30"/>
              <w:rPr/>
            </w:pPr>
            <w:r>
              <w:rPr/>
              <w:t> </w:t>
            </w:r>
          </w:p>
        </w:tc>
        <w:tc>
          <w:tcPr>
            <w:tcW w:w="109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1505" w:type="dxa"/>
            <w:vMerge w:val="continue"/>
            <w:tcBorders>
              <w:bottom w:val="single" w:sz="2" w:space="0" w:color="000000"/>
            </w:tcBorders>
            <w:shd w:fill="auto" w:val="clear"/>
            <w:tcMar>
              <w:bottom w:w="30" w:type="dxa"/>
            </w:tcMar>
            <w:vAlign w:val="center"/>
          </w:tcPr>
          <w:p>
            <w:pPr>
              <w:pStyle w:val="Normal"/>
              <w:rPr/>
            </w:pPr>
            <w:r>
              <w:rPr/>
            </w:r>
          </w:p>
        </w:tc>
      </w:tr>
      <w:tr>
        <w:trPr/>
        <w:tc>
          <w:tcPr>
            <w:tcW w:w="4760" w:type="dxa"/>
            <w:tcBorders/>
            <w:shd w:fill="auto" w:val="clear"/>
            <w:vAlign w:val="center"/>
          </w:tcPr>
          <w:p>
            <w:pPr>
              <w:pStyle w:val="TableContents"/>
              <w:spacing w:before="0" w:after="0"/>
              <w:ind w:left="0" w:right="0" w:firstLine="30"/>
              <w:rPr/>
            </w:pPr>
            <w:r>
              <w:rPr/>
              <w:t> </w:t>
            </w:r>
          </w:p>
        </w:tc>
        <w:tc>
          <w:tcPr>
            <w:tcW w:w="1096"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09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760" w:type="dxa"/>
            <w:tcBorders/>
            <w:shd w:fill="auto" w:val="clear"/>
            <w:vAlign w:val="center"/>
          </w:tcPr>
          <w:p>
            <w:pPr>
              <w:pStyle w:val="TableContents"/>
              <w:spacing w:before="0" w:after="0"/>
              <w:ind w:left="0" w:right="0" w:firstLine="30"/>
              <w:jc w:val="left"/>
              <w:rPr/>
            </w:pPr>
            <w:r>
              <w:rPr/>
              <w:t> </w:t>
            </w:r>
          </w:p>
        </w:tc>
        <w:tc>
          <w:tcPr>
            <w:tcW w:w="231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CCEEFF" w:val="clear"/>
            <w:vAlign w:val="center"/>
          </w:tcPr>
          <w:p>
            <w:pPr>
              <w:pStyle w:val="TableContents"/>
              <w:spacing w:before="0" w:after="0"/>
              <w:jc w:val="right"/>
              <w:rPr>
                <w:rFonts w:ascii="inherit" w:hAnsi="inherit"/>
                <w:sz w:val="17"/>
              </w:rPr>
            </w:pPr>
            <w:r>
              <w:rPr>
                <w:rFonts w:ascii="inherit" w:hAnsi="inherit"/>
                <w:sz w:val="17"/>
              </w:rPr>
              <w:t>35,509</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CCEEFF" w:val="clear"/>
            <w:vAlign w:val="center"/>
          </w:tcPr>
          <w:p>
            <w:pPr>
              <w:pStyle w:val="TableContents"/>
              <w:spacing w:before="0" w:after="0"/>
              <w:jc w:val="right"/>
              <w:rPr>
                <w:rFonts w:ascii="inherit" w:hAnsi="inherit"/>
                <w:sz w:val="17"/>
              </w:rPr>
            </w:pPr>
            <w:r>
              <w:rPr>
                <w:rFonts w:ascii="inherit" w:hAnsi="inherit"/>
                <w:sz w:val="17"/>
              </w:rPr>
              <w:t>33,589</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6%</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 (income):</w:t>
            </w:r>
          </w:p>
        </w:tc>
        <w:tc>
          <w:tcPr>
            <w:tcW w:w="1096"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09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13,341</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13,283</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pPr>
            <w:r>
              <w:rPr/>
              <w:t>—</w:t>
            </w:r>
            <w:r>
              <w:rPr>
                <w:rFonts w:ascii="inherit" w:hAnsi="inherit"/>
                <w:sz w:val="17"/>
              </w:rPr>
              <w:t>%</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1,957</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2,660</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(26)%</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on sale or disposal of assets</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5,827</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5,625</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4%</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(3,505</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(1,898</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85%</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w:t>
            </w:r>
          </w:p>
        </w:tc>
        <w:tc>
          <w:tcPr>
            <w:tcW w:w="9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239</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780"/>
              <w:jc w:val="center"/>
              <w:rPr>
                <w:rFonts w:ascii="inherit" w:hAnsi="inherit"/>
                <w:sz w:val="17"/>
              </w:rPr>
            </w:pPr>
            <w:r>
              <w:rPr>
                <w:rFonts w:ascii="inherit" w:hAnsi="inherit"/>
                <w:sz w:val="17"/>
              </w:rPr>
              <w:t>(87)%</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17,860</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13,680</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31%</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9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5,921</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5,449</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11,939</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8,231</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45%</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9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(500</w:t>
            </w:r>
          </w:p>
        </w:tc>
        <w:tc>
          <w:tcPr>
            <w:tcW w:w="14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(375</w:t>
            </w:r>
          </w:p>
        </w:tc>
        <w:tc>
          <w:tcPr>
            <w:tcW w:w="14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33%</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11,439</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7,856</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46%</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loss attributable to noncontrolling interest</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(374</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124%</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6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11,813</w:t>
            </w:r>
          </w:p>
        </w:tc>
        <w:tc>
          <w:tcPr>
            <w:tcW w:w="14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6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8,023</w:t>
            </w:r>
          </w:p>
        </w:tc>
        <w:tc>
          <w:tcPr>
            <w:tcW w:w="14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jc w:val="center"/>
              <w:rPr>
                <w:rFonts w:ascii="inherit" w:hAnsi="inherit"/>
                <w:sz w:val="17"/>
              </w:rPr>
            </w:pPr>
            <w:r>
              <w:rPr>
                <w:rFonts w:ascii="inherit" w:hAnsi="inherit"/>
                <w:sz w:val="17"/>
              </w:rPr>
              <w:t>47%</w:t>
            </w:r>
          </w:p>
        </w:tc>
      </w:tr>
    </w:tbl>
    <w:tbl>
      <w:tblPr>
        <w:tblW w:w="4465" w:type="dxa"/>
        <w:jc w:val="left"/>
        <w:tblInd w:w="0" w:type="dxa"/>
        <w:tblCellMar>
          <w:top w:w="0" w:type="dxa"/>
          <w:left w:w="0" w:type="dxa"/>
          <w:bottom w:w="0" w:type="dxa"/>
          <w:right w:w="0" w:type="dxa"/>
        </w:tblCellMar>
      </w:tblPr>
      <w:tblGrid>
        <w:gridCol w:w="140"/>
        <w:gridCol w:w="4325"/>
      </w:tblGrid>
      <w:tr>
        <w:trPr/>
        <w:tc>
          <w:tcPr>
            <w:tcW w:w="4465" w:type="dxa"/>
            <w:gridSpan w:val="2"/>
            <w:tcBorders/>
            <w:shd w:fill="auto" w:val="clear"/>
            <w:vAlign w:val="center"/>
          </w:tcPr>
          <w:p>
            <w:pPr>
              <w:pStyle w:val="TableContents"/>
              <w:spacing w:before="0" w:after="283"/>
              <w:rPr>
                <w:sz w:val="4"/>
                <w:szCs w:val="4"/>
              </w:rPr>
            </w:pPr>
            <w:r>
              <w:rPr>
                <w:sz w:val="4"/>
                <w:szCs w:val="4"/>
              </w:rPr>
            </w:r>
          </w:p>
        </w:tc>
      </w:tr>
      <w:tr>
        <w:trPr/>
        <w:tc>
          <w:tcPr>
            <w:tcW w:w="140" w:type="dxa"/>
            <w:tcBorders/>
            <w:shd w:fill="auto" w:val="clear"/>
            <w:vAlign w:val="center"/>
          </w:tcPr>
          <w:p>
            <w:pPr>
              <w:pStyle w:val="TableContents"/>
              <w:spacing w:before="0" w:after="283"/>
              <w:rPr>
                <w:sz w:val="4"/>
                <w:szCs w:val="4"/>
              </w:rPr>
            </w:pPr>
            <w:r>
              <w:rPr>
                <w:sz w:val="4"/>
                <w:szCs w:val="4"/>
              </w:rPr>
            </w:r>
          </w:p>
        </w:tc>
        <w:tc>
          <w:tcPr>
            <w:tcW w:w="43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4325" w:type="dxa"/>
            <w:tcBorders/>
            <w:shd w:fill="auto" w:val="clear"/>
            <w:vAlign w:val="center"/>
          </w:tcPr>
          <w:p>
            <w:pPr>
              <w:pStyle w:val="TableContents"/>
              <w:spacing w:before="0" w:after="0"/>
              <w:ind w:left="0" w:right="0" w:hanging="180"/>
              <w:jc w:val="left"/>
              <w:rPr>
                <w:rFonts w:ascii="inherit" w:hAnsi="inherit"/>
                <w:sz w:val="13"/>
              </w:rPr>
            </w:pPr>
            <w:r>
              <w:rPr>
                <w:rFonts w:ascii="inherit" w:hAnsi="inherit"/>
                <w:sz w:val="13"/>
              </w:rPr>
              <w:t>Represents an increase or decrease that is not meaningful.</w:t>
            </w:r>
          </w:p>
        </w:tc>
      </w:tr>
    </w:tbl>
    <w:p>
      <w:pPr>
        <w:pStyle w:val="TextBody"/>
        <w:spacing w:lineRule="auto" w:line="288" w:before="0" w:after="0"/>
        <w:jc w:val="left"/>
        <w:rPr>
          <w:rFonts w:ascii="inherit" w:hAnsi="inherit"/>
          <w:sz w:val="17"/>
        </w:rPr>
      </w:pPr>
      <w:r>
        <w:rPr>
          <w:rFonts w:ascii="inherit" w:hAnsi="inherit"/>
          <w:sz w:val="17"/>
        </w:rPr>
        <w:t>Administrative expenses were flat in the current quarter, as we continue to focus on controlling administrative expenditures despite the growth of the business.</w:t>
      </w:r>
    </w:p>
    <w:p>
      <w:pPr>
        <w:pStyle w:val="TextBody"/>
        <w:spacing w:lineRule="auto" w:line="288" w:before="0" w:after="0"/>
        <w:rPr>
          <w:rFonts w:ascii="inherit" w:hAnsi="inherit"/>
          <w:sz w:val="17"/>
        </w:rPr>
      </w:pPr>
      <w:r>
        <w:rPr>
          <w:rFonts w:ascii="inherit" w:hAnsi="inherit"/>
          <w:sz w:val="17"/>
        </w:rPr>
        <w:t>Depreciation and amortization expense decreased $0.7 million, or 26%, primarily due to acceleration of depreciation in the prior-year quarter for certain assets resulting from a decrease in useful life estimates.</w:t>
      </w:r>
    </w:p>
    <w:p>
      <w:pPr>
        <w:pStyle w:val="TextBody"/>
        <w:spacing w:lineRule="auto" w:line="288" w:before="0" w:after="0"/>
        <w:rPr>
          <w:rFonts w:ascii="inherit" w:hAnsi="inherit"/>
          <w:sz w:val="17"/>
        </w:rPr>
      </w:pPr>
      <w:r>
        <w:rPr>
          <w:rFonts w:ascii="inherit" w:hAnsi="inherit"/>
          <w:sz w:val="17"/>
        </w:rPr>
        <w:t xml:space="preserve">Interest expense increased $0.2 million, or 4%, primarily due to an increase in long-term debt outstanding during the current quarter, offset by a decrease in the weighted interest rates accrued thereon. </w:t>
      </w:r>
    </w:p>
    <w:p>
      <w:pPr>
        <w:pStyle w:val="TextBody"/>
        <w:spacing w:lineRule="auto" w:line="288" w:before="0" w:after="0"/>
        <w:rPr>
          <w:rFonts w:ascii="inherit" w:hAnsi="inherit"/>
          <w:sz w:val="17"/>
        </w:rPr>
      </w:pPr>
      <w:r>
        <w:rPr>
          <w:rFonts w:ascii="inherit" w:hAnsi="inherit"/>
          <w:sz w:val="17"/>
        </w:rPr>
        <w:t>Interest income increased $1.6 million, or 85%, as a result of our note receivable from the sale of Prestaciones Finmart, S.A.P.I. de C.V., SOFOM, E.N.R. ("Grupo Finmart") which was restructured in September 2017, including ordinary accruals of interest in addition to accretion of associated deferred compensation amounts. Grupo Finmart has continued to make timely monthly principal and interest payments on the notes following the restructuring.</w:t>
      </w:r>
    </w:p>
    <w:p>
      <w:pPr>
        <w:pStyle w:val="TextBody"/>
        <w:spacing w:lineRule="auto" w:line="288" w:before="0" w:after="0"/>
        <w:rPr>
          <w:rFonts w:ascii="inherit" w:hAnsi="inherit"/>
          <w:sz w:val="17"/>
        </w:rPr>
      </w:pPr>
      <w:r>
        <w:rPr>
          <w:rFonts w:ascii="inherit" w:hAnsi="inherit"/>
          <w:sz w:val="17"/>
        </w:rPr>
        <w:t>Income tax expense increased $0.5 million, or 9%, due primarily to the impacts of a $4.2 million, or 31%, increase in income from continuing operations before income taxes, offset by the lower rates dictated by the Act. 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pStyle w:val="TextBody"/>
        <w:spacing w:lineRule="auto" w:line="288" w:before="0" w:after="0"/>
        <w:rPr>
          <w:rFonts w:ascii="inherit" w:hAnsi="inherit"/>
          <w:sz w:val="17"/>
        </w:rPr>
      </w:pPr>
      <w:r>
        <w:rPr>
          <w:rFonts w:ascii="inherit" w:hAnsi="inherit"/>
          <w:sz w:val="17"/>
        </w:rPr>
        <w:t>Loss from discontinued operations was comprised of the write-off of balances from a discontinued business which we previously anticipated to collect.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lineRule="auto" w:line="288" w:before="0" w:after="0"/>
        <w:rPr/>
      </w:pPr>
      <w:hyperlink w:anchor="sA33FD6028AA25395924ED4406F429385">
        <w:bookmarkStart w:id="29" w:name="s86bc622053e648cba708d619c5bc1aad"/>
        <w:bookmarkEnd w:id="29"/>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Results of Operations</w:t>
      </w:r>
    </w:p>
    <w:p>
      <w:pPr>
        <w:pStyle w:val="TextBody"/>
        <w:spacing w:lineRule="auto" w:line="288" w:before="0" w:after="0"/>
        <w:rPr>
          <w:sz w:val="17"/>
        </w:rPr>
      </w:pPr>
      <w:r>
        <w:rPr>
          <w:rFonts w:ascii="inherit" w:hAnsi="inherit"/>
          <w:b/>
          <w:sz w:val="17"/>
          <w:u w:val="single"/>
        </w:rPr>
        <w:t>Six Months Ended March 31, 2018</w:t>
      </w:r>
      <w:r>
        <w:rPr>
          <w:sz w:val="17"/>
          <w:u w:val="single"/>
        </w:rPr>
        <w:t xml:space="preserve"> </w:t>
      </w:r>
      <w:r>
        <w:rPr>
          <w:rFonts w:ascii="inherit" w:hAnsi="inherit"/>
          <w:b/>
          <w:sz w:val="17"/>
          <w:u w:val="single"/>
        </w:rPr>
        <w:t>vs. Six Months Ended March 31, 2017</w:t>
      </w:r>
      <w:r>
        <w:rPr>
          <w:sz w:val="17"/>
          <w:u w:val="single"/>
        </w:rPr>
        <w:t xml:space="preserve"> </w:t>
      </w:r>
    </w:p>
    <w:p>
      <w:pPr>
        <w:pStyle w:val="TextBody"/>
        <w:spacing w:lineRule="auto" w:line="288" w:before="0" w:after="0"/>
        <w:jc w:val="left"/>
        <w:rPr>
          <w:rFonts w:ascii="inherit" w:hAnsi="inherit"/>
          <w:sz w:val="17"/>
        </w:rPr>
      </w:pPr>
      <w:r>
        <w:rPr>
          <w:rFonts w:ascii="inherit" w:hAnsi="inherit"/>
          <w:sz w:val="17"/>
        </w:rPr>
        <w:t>These tables, as well as the discussion that follows, should be read with the accompanying condensed consolidated financial statements and related notes. All comparisons, unless otherwise noted, are to the prior-year six-months.</w:t>
      </w:r>
    </w:p>
    <w:p>
      <w:pPr>
        <w:pStyle w:val="TextBody"/>
        <w:spacing w:lineRule="auto" w:line="288" w:before="0" w:after="0"/>
        <w:jc w:val="left"/>
        <w:rPr>
          <w:rFonts w:ascii="inherit" w:hAnsi="inherit"/>
          <w:b/>
          <w:i/>
          <w:sz w:val="17"/>
        </w:rPr>
      </w:pPr>
      <w:r>
        <w:rPr>
          <w:rFonts w:ascii="inherit" w:hAnsi="inherit"/>
          <w:b/>
          <w:i/>
          <w:sz w:val="17"/>
        </w:rPr>
        <w:t>U.S. Pawn</w:t>
      </w:r>
    </w:p>
    <w:p>
      <w:pPr>
        <w:pStyle w:val="TextBody"/>
        <w:spacing w:lineRule="auto" w:line="288" w:before="0" w:after="0"/>
        <w:rPr>
          <w:rFonts w:ascii="inherit" w:hAnsi="inherit"/>
          <w:sz w:val="17"/>
        </w:rPr>
      </w:pPr>
      <w:r>
        <w:rPr>
          <w:rFonts w:ascii="inherit" w:hAnsi="inherit"/>
          <w:sz w:val="17"/>
        </w:rPr>
        <w:t xml:space="preserve">The following table presents selected summary financial data from continuing operations for the U.S. Pawn segment: </w:t>
      </w:r>
    </w:p>
    <w:tbl>
      <w:tblPr>
        <w:tblW w:w="7975" w:type="dxa"/>
        <w:jc w:val="left"/>
        <w:tblInd w:w="0" w:type="dxa"/>
        <w:tblCellMar>
          <w:top w:w="0" w:type="dxa"/>
          <w:left w:w="0" w:type="dxa"/>
          <w:bottom w:w="0" w:type="dxa"/>
          <w:right w:w="0" w:type="dxa"/>
        </w:tblCellMar>
      </w:tblPr>
      <w:tblGrid>
        <w:gridCol w:w="4820"/>
        <w:gridCol w:w="125"/>
        <w:gridCol w:w="695"/>
        <w:gridCol w:w="200"/>
        <w:gridCol w:w="90"/>
        <w:gridCol w:w="125"/>
        <w:gridCol w:w="695"/>
        <w:gridCol w:w="200"/>
        <w:gridCol w:w="90"/>
        <w:gridCol w:w="935"/>
      </w:tblGrid>
      <w:tr>
        <w:trPr/>
        <w:tc>
          <w:tcPr>
            <w:tcW w:w="7975" w:type="dxa"/>
            <w:gridSpan w:val="10"/>
            <w:tcBorders/>
            <w:shd w:fill="auto"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20" w:type="dxa"/>
            <w:tcBorders/>
            <w:shd w:fill="auto" w:val="clear"/>
            <w:vAlign w:val="center"/>
          </w:tcPr>
          <w:p>
            <w:pPr>
              <w:pStyle w:val="TableContents"/>
              <w:spacing w:before="0" w:after="0"/>
              <w:ind w:left="0" w:right="0" w:firstLine="30"/>
              <w:jc w:val="left"/>
              <w:rPr/>
            </w:pPr>
            <w:r>
              <w:rPr/>
              <w:t> </w:t>
            </w:r>
          </w:p>
        </w:tc>
        <w:tc>
          <w:tcPr>
            <w:tcW w:w="213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c>
          <w:tcPr>
            <w:tcW w:w="90" w:type="dxa"/>
            <w:tcBorders/>
            <w:shd w:fill="auto" w:val="clear"/>
            <w:vAlign w:val="center"/>
          </w:tcPr>
          <w:p>
            <w:pPr>
              <w:pStyle w:val="TableContents"/>
              <w:spacing w:before="0" w:after="0"/>
              <w:ind w:left="0" w:right="0" w:firstLine="30"/>
              <w:rPr/>
            </w:pPr>
            <w:r>
              <w:rPr/>
              <w:t> </w:t>
            </w:r>
          </w:p>
        </w:tc>
        <w:tc>
          <w:tcPr>
            <w:tcW w:w="93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4820" w:type="dxa"/>
            <w:tcBorders/>
            <w:shd w:fill="auto" w:val="clear"/>
            <w:vAlign w:val="center"/>
          </w:tcPr>
          <w:p>
            <w:pPr>
              <w:pStyle w:val="TableContents"/>
              <w:spacing w:before="0" w:after="0"/>
              <w:ind w:left="0" w:right="0" w:firstLine="30"/>
              <w:jc w:val="left"/>
              <w:rPr/>
            </w:pPr>
            <w:r>
              <w:rPr/>
              <w:t> </w:t>
            </w:r>
          </w:p>
        </w:tc>
        <w:tc>
          <w:tcPr>
            <w:tcW w:w="10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10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935" w:type="dxa"/>
            <w:vMerge w:val="continue"/>
            <w:tcBorders>
              <w:bottom w:val="single" w:sz="2" w:space="0" w:color="000000"/>
            </w:tcBorders>
            <w:shd w:fill="auto" w:val="clear"/>
            <w:tcMar>
              <w:bottom w:w="30" w:type="dxa"/>
            </w:tcMar>
            <w:vAlign w:val="center"/>
          </w:tcPr>
          <w:p>
            <w:pPr>
              <w:pStyle w:val="Normal"/>
              <w:rPr/>
            </w:pPr>
            <w:r>
              <w:rPr/>
            </w:r>
          </w:p>
        </w:tc>
      </w:tr>
      <w:tr>
        <w:trPr/>
        <w:tc>
          <w:tcPr>
            <w:tcW w:w="482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
              <w:rPr/>
            </w:pPr>
            <w:r>
              <w:rPr/>
              <w:t> </w:t>
            </w:r>
          </w:p>
        </w:tc>
      </w:tr>
      <w:tr>
        <w:trPr/>
        <w:tc>
          <w:tcPr>
            <w:tcW w:w="4820" w:type="dxa"/>
            <w:tcBorders/>
            <w:shd w:fill="auto" w:val="clear"/>
            <w:vAlign w:val="center"/>
          </w:tcPr>
          <w:p>
            <w:pPr>
              <w:pStyle w:val="TableContents"/>
              <w:spacing w:before="0" w:after="0"/>
              <w:ind w:left="0" w:right="0" w:firstLine="30"/>
              <w:jc w:val="left"/>
              <w:rPr/>
            </w:pPr>
            <w:r>
              <w:rPr/>
              <w:t> </w:t>
            </w:r>
          </w:p>
        </w:tc>
        <w:tc>
          <w:tcPr>
            <w:tcW w:w="213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118,819</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120,706</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w:t>
            </w:r>
          </w:p>
        </w:tc>
      </w:tr>
      <w:tr>
        <w:trPr/>
        <w:tc>
          <w:tcPr>
            <w:tcW w:w="482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186,247</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190,411</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 gross profit</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71,622</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69,664</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3%</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100bps</w:t>
            </w:r>
          </w:p>
        </w:tc>
      </w:tr>
      <w:tr>
        <w:trPr/>
        <w:tc>
          <w:tcPr>
            <w:tcW w:w="482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16,702</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17,901</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(7)%</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 gross profit</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3,348</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2,461</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36%</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600bps</w:t>
            </w:r>
          </w:p>
        </w:tc>
      </w:tr>
      <w:tr>
        <w:trPr/>
        <w:tc>
          <w:tcPr>
            <w:tcW w:w="482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40%</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193,939</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192,938</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w:t>
            </w:r>
          </w:p>
        </w:tc>
      </w:tr>
      <w:tr>
        <w:trPr/>
        <w:tc>
          <w:tcPr>
            <w:tcW w:w="482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expenses:</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131,491</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130,906</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0"/>
              <w:jc w:val="center"/>
              <w:rPr/>
            </w:pPr>
            <w:r>
              <w:rPr/>
              <w:t>—</w:t>
            </w:r>
            <w:r>
              <w:rPr>
                <w:rFonts w:ascii="inherit" w:hAnsi="inherit"/>
                <w:sz w:val="17"/>
              </w:rPr>
              <w:t>%</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6,330</w:t>
            </w:r>
          </w:p>
        </w:tc>
        <w:tc>
          <w:tcPr>
            <w:tcW w:w="2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5,277</w:t>
            </w:r>
          </w:p>
        </w:tc>
        <w:tc>
          <w:tcPr>
            <w:tcW w:w="2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20%</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contribution</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56,118</w:t>
            </w:r>
          </w:p>
        </w:tc>
        <w:tc>
          <w:tcPr>
            <w:tcW w:w="20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56,755</w:t>
            </w:r>
          </w:p>
        </w:tc>
        <w:tc>
          <w:tcPr>
            <w:tcW w:w="20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w:t>
            </w:r>
          </w:p>
        </w:tc>
      </w:tr>
      <w:tr>
        <w:trPr/>
        <w:tc>
          <w:tcPr>
            <w:tcW w:w="482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3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segment expenses (income)</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120</w:t>
            </w:r>
          </w:p>
        </w:tc>
        <w:tc>
          <w:tcPr>
            <w:tcW w:w="2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(83</w:t>
            </w:r>
          </w:p>
        </w:tc>
        <w:tc>
          <w:tcPr>
            <w:tcW w:w="2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55,998</w:t>
            </w:r>
          </w:p>
        </w:tc>
        <w:tc>
          <w:tcPr>
            <w:tcW w:w="20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56,838</w:t>
            </w:r>
          </w:p>
        </w:tc>
        <w:tc>
          <w:tcPr>
            <w:tcW w:w="20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w:t>
            </w:r>
          </w:p>
        </w:tc>
      </w:tr>
      <w:tr>
        <w:trPr/>
        <w:tc>
          <w:tcPr>
            <w:tcW w:w="482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monthly ending pawn loan balance per store (b)</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273</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275</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(1)%</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Monthly average yield on pawn loans outstanding</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35" w:type="dxa"/>
            <w:tcBorders/>
            <w:shd w:fill="CCEEFF" w:val="clear"/>
            <w:vAlign w:val="center"/>
          </w:tcPr>
          <w:p>
            <w:pPr>
              <w:pStyle w:val="TableContents"/>
              <w:spacing w:before="0" w:after="0"/>
              <w:ind w:left="0" w:right="0" w:firstLine="300"/>
              <w:jc w:val="center"/>
              <w:rPr/>
            </w:pPr>
            <w:r>
              <w:rPr/>
              <w:t>—</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 (c)</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jc w:val="center"/>
              <w:rPr/>
            </w:pPr>
            <w:r>
              <w:rPr/>
              <w:t>—</w:t>
            </w:r>
          </w:p>
        </w:tc>
      </w:tr>
    </w:tbl>
    <w:tbl>
      <w:tblPr>
        <w:tblW w:w="10205" w:type="dxa"/>
        <w:jc w:val="left"/>
        <w:tblInd w:w="0" w:type="dxa"/>
        <w:tblCellMar>
          <w:top w:w="0" w:type="dxa"/>
          <w:left w:w="0" w:type="dxa"/>
          <w:bottom w:w="0" w:type="dxa"/>
          <w:right w:w="0" w:type="dxa"/>
        </w:tblCellMar>
      </w:tblPr>
      <w:tblGrid>
        <w:gridCol w:w="264"/>
        <w:gridCol w:w="9941"/>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vAlign w:val="center"/>
          </w:tcPr>
          <w:p>
            <w:pPr>
              <w:pStyle w:val="TableContents"/>
              <w:spacing w:before="0" w:after="283"/>
              <w:rPr>
                <w:sz w:val="4"/>
                <w:szCs w:val="4"/>
              </w:rPr>
            </w:pPr>
            <w:r>
              <w:rPr>
                <w:sz w:val="4"/>
                <w:szCs w:val="4"/>
              </w:rPr>
            </w:r>
          </w:p>
        </w:tc>
        <w:tc>
          <w:tcPr>
            <w:tcW w:w="994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9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Represents an increase or decrease that is not meaningful.</w:t>
            </w:r>
          </w:p>
        </w:tc>
      </w:tr>
      <w:tr>
        <w:trPr/>
        <w:tc>
          <w:tcPr>
            <w:tcW w:w="26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w:t>
            </w:r>
          </w:p>
        </w:tc>
        <w:tc>
          <w:tcPr>
            <w:tcW w:w="99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Balance includes pawn loans and inventory.</w:t>
            </w:r>
          </w:p>
        </w:tc>
      </w:tr>
      <w:tr>
        <w:trPr/>
        <w:tc>
          <w:tcPr>
            <w:tcW w:w="26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w:t>
            </w:r>
          </w:p>
        </w:tc>
        <w:tc>
          <w:tcPr>
            <w:tcW w:w="99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Balance is calculated based upon the average of the monthly ending balances during the applicable period.</w:t>
            </w:r>
          </w:p>
        </w:tc>
      </w:tr>
      <w:tr>
        <w:trPr/>
        <w:tc>
          <w:tcPr>
            <w:tcW w:w="26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w:t>
            </w:r>
          </w:p>
        </w:tc>
        <w:tc>
          <w:tcPr>
            <w:tcW w:w="9941" w:type="dxa"/>
            <w:tcBorders/>
            <w:shd w:fill="auto" w:val="clear"/>
            <w:vAlign w:val="center"/>
          </w:tcPr>
          <w:p>
            <w:pPr>
              <w:pStyle w:val="TableContents"/>
              <w:spacing w:before="0" w:after="0"/>
              <w:jc w:val="left"/>
              <w:rPr>
                <w:rFonts w:ascii="inherit" w:hAnsi="inherit"/>
                <w:sz w:val="13"/>
              </w:rPr>
            </w:pPr>
            <w:r>
              <w:rPr>
                <w:rFonts w:ascii="inherit" w:hAnsi="inherit"/>
                <w:sz w:val="13"/>
              </w:rPr>
              <w:t>Our pawn loan redemption rate represents the percentage of loans made that are repaid, renewed or extended at a point in time as opposed to the life of the loan.</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Net revenue increased $1.0 million, or 1%, primarily due to higher gross margins in our merchandise sales offset by the impacts of the hurricanes affecting the Texas Gulf Coast and Florida in the fourth quarter of fiscal 2017, as previously disclosed. The change in net revenue attributable to same stores and new stores added since the prior-year quarter is summarized as follows:</w:t>
      </w:r>
    </w:p>
    <w:tbl>
      <w:tblPr>
        <w:tblW w:w="10205" w:type="dxa"/>
        <w:jc w:val="left"/>
        <w:tblInd w:w="0" w:type="dxa"/>
        <w:tblCellMar>
          <w:top w:w="0" w:type="dxa"/>
          <w:left w:w="0" w:type="dxa"/>
          <w:bottom w:w="0" w:type="dxa"/>
          <w:right w:w="0" w:type="dxa"/>
        </w:tblCellMar>
      </w:tblPr>
      <w:tblGrid>
        <w:gridCol w:w="5350"/>
        <w:gridCol w:w="355"/>
        <w:gridCol w:w="955"/>
        <w:gridCol w:w="314"/>
        <w:gridCol w:w="90"/>
        <w:gridCol w:w="551"/>
        <w:gridCol w:w="1214"/>
        <w:gridCol w:w="487"/>
        <w:gridCol w:w="90"/>
        <w:gridCol w:w="125"/>
        <w:gridCol w:w="275"/>
        <w:gridCol w:w="39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350"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50" w:type="dxa"/>
            <w:tcBorders/>
            <w:shd w:fill="auto" w:val="clear"/>
            <w:vAlign w:val="center"/>
          </w:tcPr>
          <w:p>
            <w:pPr>
              <w:pStyle w:val="TableContents"/>
              <w:spacing w:before="0" w:after="0"/>
              <w:ind w:left="0" w:right="0" w:firstLine="30"/>
              <w:rPr/>
            </w:pPr>
            <w:r>
              <w:rPr/>
              <w:t> </w:t>
            </w:r>
          </w:p>
        </w:tc>
        <w:tc>
          <w:tcPr>
            <w:tcW w:w="4855" w:type="dxa"/>
            <w:gridSpan w:val="11"/>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Change in Net Revenue</w:t>
            </w:r>
          </w:p>
        </w:tc>
      </w:tr>
      <w:tr>
        <w:trPr/>
        <w:tc>
          <w:tcPr>
            <w:tcW w:w="5350" w:type="dxa"/>
            <w:tcBorders/>
            <w:shd w:fill="auto" w:val="clear"/>
            <w:vAlign w:val="center"/>
          </w:tcPr>
          <w:p>
            <w:pPr>
              <w:pStyle w:val="TableContents"/>
              <w:spacing w:before="0" w:after="0"/>
              <w:ind w:left="0" w:right="0" w:firstLine="30"/>
              <w:rPr/>
            </w:pPr>
            <w:r>
              <w:rPr/>
              <w:t> </w:t>
            </w:r>
          </w:p>
        </w:tc>
        <w:tc>
          <w:tcPr>
            <w:tcW w:w="162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Pawn Service Charges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25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Merchandise Sales Gross Profit</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79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5350" w:type="dxa"/>
            <w:tcBorders/>
            <w:shd w:fill="auto" w:val="clear"/>
            <w:vAlign w:val="center"/>
          </w:tcPr>
          <w:p>
            <w:pPr>
              <w:pStyle w:val="TableContents"/>
              <w:spacing w:before="0" w:after="0"/>
              <w:ind w:left="0" w:right="0" w:firstLine="30"/>
              <w:rPr/>
            </w:pPr>
            <w:r>
              <w:rPr/>
              <w:t> </w:t>
            </w:r>
          </w:p>
        </w:tc>
        <w:tc>
          <w:tcPr>
            <w:tcW w:w="162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25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99" w:type="dxa"/>
            <w:gridSpan w:val="3"/>
            <w:tcBorders/>
            <w:shd w:fill="auto" w:val="clear"/>
            <w:vAlign w:val="center"/>
          </w:tcPr>
          <w:p>
            <w:pPr>
              <w:pStyle w:val="TableContents"/>
              <w:spacing w:before="0" w:after="0"/>
              <w:ind w:left="0" w:right="0" w:firstLine="30"/>
              <w:rPr/>
            </w:pPr>
            <w:r>
              <w:rPr/>
              <w:t> </w:t>
            </w:r>
          </w:p>
        </w:tc>
      </w:tr>
      <w:tr>
        <w:trPr/>
        <w:tc>
          <w:tcPr>
            <w:tcW w:w="5350" w:type="dxa"/>
            <w:tcBorders/>
            <w:shd w:fill="auto" w:val="clear"/>
            <w:vAlign w:val="center"/>
          </w:tcPr>
          <w:p>
            <w:pPr>
              <w:pStyle w:val="TableContents"/>
              <w:spacing w:before="0" w:after="0"/>
              <w:ind w:left="0" w:right="0" w:firstLine="30"/>
              <w:rPr/>
            </w:pPr>
            <w:r>
              <w:rPr/>
              <w:t> </w:t>
            </w:r>
          </w:p>
        </w:tc>
        <w:tc>
          <w:tcPr>
            <w:tcW w:w="4855"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53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Same stores</w:t>
            </w:r>
          </w:p>
        </w:tc>
        <w:tc>
          <w:tcPr>
            <w:tcW w:w="3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5" w:type="dxa"/>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4" w:type="dxa"/>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4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75" w:type="dxa"/>
            <w:tcBorders/>
            <w:shd w:fill="CCEEFF" w:val="clear"/>
            <w:vAlign w:val="center"/>
          </w:tcPr>
          <w:p>
            <w:pPr>
              <w:pStyle w:val="TableContents"/>
              <w:spacing w:before="0" w:after="0"/>
              <w:jc w:val="right"/>
              <w:rPr>
                <w:rFonts w:ascii="inherit" w:hAnsi="inherit"/>
                <w:sz w:val="17"/>
              </w:rPr>
            </w:pPr>
            <w:r>
              <w:rPr>
                <w:rFonts w:ascii="inherit" w:hAnsi="inherit"/>
                <w:sz w:val="17"/>
              </w:rPr>
              <w:t>0.7</w:t>
            </w:r>
          </w:p>
        </w:tc>
        <w:tc>
          <w:tcPr>
            <w:tcW w:w="3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stores and other</w:t>
            </w:r>
          </w:p>
        </w:tc>
        <w:tc>
          <w:tcPr>
            <w:tcW w:w="13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(0.4</w:t>
            </w:r>
          </w:p>
        </w:tc>
        <w:tc>
          <w:tcPr>
            <w:tcW w:w="31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(0.2</w:t>
            </w:r>
          </w:p>
        </w:tc>
        <w:tc>
          <w:tcPr>
            <w:tcW w:w="4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(0.6</w:t>
            </w:r>
          </w:p>
        </w:tc>
        <w:tc>
          <w:tcPr>
            <w:tcW w:w="3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3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3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w:t>
            </w:r>
          </w:p>
        </w:tc>
        <w:tc>
          <w:tcPr>
            <w:tcW w:w="3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w:t>
            </w:r>
          </w:p>
        </w:tc>
        <w:tc>
          <w:tcPr>
            <w:tcW w:w="48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7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0.1</w:t>
            </w:r>
          </w:p>
        </w:tc>
        <w:tc>
          <w:tcPr>
            <w:tcW w:w="3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jewelry scrapping sales gross profit and other revenues</w:t>
            </w:r>
          </w:p>
        </w:tc>
        <w:tc>
          <w:tcPr>
            <w:tcW w:w="162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25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0.9</w:t>
            </w:r>
          </w:p>
        </w:tc>
        <w:tc>
          <w:tcPr>
            <w:tcW w:w="3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change in net revenue</w:t>
            </w:r>
          </w:p>
        </w:tc>
        <w:tc>
          <w:tcPr>
            <w:tcW w:w="162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25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7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3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Pawn service charges decreased 2%</w:t>
      </w:r>
      <w:r>
        <w:rPr>
          <w:sz w:val="17"/>
        </w:rPr>
        <w:t xml:space="preserve"> </w:t>
      </w:r>
      <w:r>
        <w:rPr>
          <w:rFonts w:ascii="inherit" w:hAnsi="inherit"/>
          <w:sz w:val="17"/>
        </w:rPr>
        <w:t>primarily due to a 1%</w:t>
      </w:r>
      <w:r>
        <w:rPr>
          <w:sz w:val="17"/>
        </w:rPr>
        <w:t xml:space="preserve"> </w:t>
      </w:r>
      <w:r>
        <w:rPr>
          <w:rFonts w:ascii="inherit" w:hAnsi="inherit"/>
          <w:sz w:val="17"/>
        </w:rPr>
        <w:t>decrease in average ending monthly pawn loan balances per store outstanding during the current six-months and a slightly higher yield. The lower average loan balance was primarily a result of the longer recovery to rebuild the loan portfolio for locations impacted by the hurricanes, partially offset by other positive operating trends.</w:t>
      </w:r>
    </w:p>
    <w:p>
      <w:pPr>
        <w:pStyle w:val="TextBody"/>
        <w:spacing w:lineRule="auto" w:line="288" w:before="0" w:after="0"/>
        <w:jc w:val="left"/>
        <w:rPr>
          <w:sz w:val="17"/>
        </w:rPr>
      </w:pPr>
      <w:r>
        <w:rPr>
          <w:rFonts w:ascii="inherit" w:hAnsi="inherit"/>
          <w:sz w:val="17"/>
        </w:rPr>
        <w:t>Merchandise sales decreased 2%</w:t>
      </w:r>
      <w:r>
        <w:rPr>
          <w:sz w:val="17"/>
        </w:rPr>
        <w:t xml:space="preserve"> </w:t>
      </w:r>
      <w:r>
        <w:rPr>
          <w:rFonts w:ascii="inherit" w:hAnsi="inherit"/>
          <w:sz w:val="17"/>
        </w:rPr>
        <w:t>with gross margin on merchandise sales of 38%, a 100</w:t>
      </w:r>
      <w:r>
        <w:rPr>
          <w:sz w:val="17"/>
        </w:rPr>
        <w:t xml:space="preserve"> </w:t>
      </w:r>
      <w:r>
        <w:rPr>
          <w:rFonts w:ascii="inherit" w:hAnsi="inherit"/>
          <w:sz w:val="17"/>
        </w:rPr>
        <w:t>basis point improvement over the prior-year six-months. As a net result, merchandise sales gross profit increased 3%</w:t>
      </w:r>
      <w:r>
        <w:rPr>
          <w:sz w:val="17"/>
        </w:rPr>
        <w:t xml:space="preserve"> </w:t>
      </w:r>
      <w:r>
        <w:rPr>
          <w:rFonts w:ascii="inherit" w:hAnsi="inherit"/>
          <w:sz w:val="17"/>
        </w:rPr>
        <w:t>to $71.6 million. The increase in merchandise sales gross profit is due to enhanced discipline in pricing and discounting. We expect sales gross margin for the full fiscal year to be within our target range of 35-38% as we expect to accept a slightly lower margin in order to sell through a greater amount of inventory.</w:t>
      </w:r>
    </w:p>
    <w:p>
      <w:pPr>
        <w:pStyle w:val="TextBody"/>
        <w:spacing w:lineRule="auto" w:line="288" w:before="0" w:after="0"/>
        <w:jc w:val="left"/>
        <w:rPr>
          <w:sz w:val="17"/>
        </w:rPr>
      </w:pPr>
      <w:r>
        <w:rPr>
          <w:rFonts w:ascii="inherit" w:hAnsi="inherit"/>
          <w:sz w:val="17"/>
        </w:rPr>
        <w:t>Jewelry scrapping sales gross profit remained relatively flat at 2%</w:t>
      </w:r>
      <w:r>
        <w:rPr>
          <w:sz w:val="17"/>
        </w:rPr>
        <w:t xml:space="preserve"> </w:t>
      </w:r>
      <w:r>
        <w:rPr>
          <w:rFonts w:ascii="inherit" w:hAnsi="inherit"/>
          <w:sz w:val="17"/>
        </w:rPr>
        <w:t>of current six-month net revenues, in-line with our strategy to sell rather than scrap merchandise, with a 600</w:t>
      </w:r>
      <w:r>
        <w:rPr>
          <w:sz w:val="17"/>
        </w:rPr>
        <w:t> </w:t>
      </w:r>
      <w:r>
        <w:rPr>
          <w:rFonts w:ascii="inherit" w:hAnsi="inherit"/>
          <w:sz w:val="17"/>
        </w:rPr>
        <w:t>basis point increase in gross margin to 20%</w:t>
      </w:r>
      <w:r>
        <w:rPr>
          <w:sz w:val="17"/>
        </w:rPr>
        <w:t xml:space="preserve"> </w:t>
      </w:r>
      <w:r>
        <w:rPr>
          <w:rFonts w:ascii="inherit" w:hAnsi="inherit"/>
          <w:sz w:val="17"/>
        </w:rPr>
        <w:t>due primarily to improvements in lending practices and gold prices.</w:t>
      </w:r>
    </w:p>
    <w:p>
      <w:pPr>
        <w:pStyle w:val="TextBody"/>
        <w:spacing w:lineRule="auto" w:line="288" w:before="0" w:after="0"/>
        <w:jc w:val="left"/>
        <w:rPr>
          <w:sz w:val="17"/>
        </w:rPr>
      </w:pPr>
      <w:r>
        <w:rPr>
          <w:rFonts w:ascii="inherit" w:hAnsi="inherit"/>
          <w:sz w:val="17"/>
        </w:rPr>
        <w:t>Segment contribution decreased 1%</w:t>
      </w:r>
      <w:r>
        <w:rPr>
          <w:sz w:val="17"/>
        </w:rPr>
        <w:t xml:space="preserve"> </w:t>
      </w:r>
      <w:r>
        <w:rPr>
          <w:rFonts w:ascii="inherit" w:hAnsi="inherit"/>
          <w:sz w:val="17"/>
        </w:rPr>
        <w:t>primarily due to a 20%</w:t>
      </w:r>
      <w:r>
        <w:rPr>
          <w:sz w:val="17"/>
        </w:rPr>
        <w:t xml:space="preserve"> </w:t>
      </w:r>
      <w:r>
        <w:rPr>
          <w:rFonts w:ascii="inherit" w:hAnsi="inherit"/>
          <w:sz w:val="17"/>
        </w:rPr>
        <w:t>increase in depreciation and amortization, including a one-time charge of $0.5 million for the retirement of certain assets.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lineRule="auto" w:line="288" w:before="0" w:after="0"/>
        <w:rPr/>
      </w:pPr>
      <w:hyperlink w:anchor="sA33FD6028AA25395924ED4406F429385">
        <w:bookmarkStart w:id="30" w:name="se0d64ac9df464b479ec9dc9451f185e0"/>
        <w:bookmarkEnd w:id="30"/>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 xml:space="preserve">Latin America Pawn </w:t>
      </w:r>
    </w:p>
    <w:p>
      <w:pPr>
        <w:pStyle w:val="TextBody"/>
        <w:spacing w:lineRule="auto" w:line="288" w:before="0" w:after="0"/>
        <w:jc w:val="left"/>
        <w:rPr>
          <w:rFonts w:ascii="inherit" w:hAnsi="inherit"/>
          <w:sz w:val="17"/>
        </w:rPr>
      </w:pPr>
      <w:r>
        <w:rPr>
          <w:rFonts w:ascii="inherit" w:hAnsi="inherit"/>
          <w:sz w:val="17"/>
        </w:rPr>
        <w:t>The following table presents selected summary financial data from continuing operations for the Latin America Pawn segment, including constant currency results, after translation to U.S. dollars from its functional currencies of the Mexican peso, Guatemalan quetzal, Honduran lempira and Peruvian sol. See “Results of Operations — Non-GAAP Financial Information” above.</w:t>
      </w:r>
    </w:p>
    <w:tbl>
      <w:tblPr>
        <w:tblW w:w="10205" w:type="dxa"/>
        <w:jc w:val="left"/>
        <w:tblInd w:w="0" w:type="dxa"/>
        <w:tblCellMar>
          <w:top w:w="0" w:type="dxa"/>
          <w:left w:w="0" w:type="dxa"/>
          <w:bottom w:w="0" w:type="dxa"/>
          <w:right w:w="0" w:type="dxa"/>
        </w:tblCellMar>
      </w:tblPr>
      <w:tblGrid>
        <w:gridCol w:w="3597"/>
        <w:gridCol w:w="131"/>
        <w:gridCol w:w="624"/>
        <w:gridCol w:w="211"/>
        <w:gridCol w:w="90"/>
        <w:gridCol w:w="131"/>
        <w:gridCol w:w="624"/>
        <w:gridCol w:w="211"/>
        <w:gridCol w:w="90"/>
        <w:gridCol w:w="1016"/>
        <w:gridCol w:w="90"/>
        <w:gridCol w:w="218"/>
        <w:gridCol w:w="1031"/>
        <w:gridCol w:w="349"/>
        <w:gridCol w:w="90"/>
        <w:gridCol w:w="1702"/>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9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97" w:type="dxa"/>
            <w:tcBorders/>
            <w:shd w:fill="auto" w:val="clear"/>
            <w:vAlign w:val="center"/>
          </w:tcPr>
          <w:p>
            <w:pPr>
              <w:pStyle w:val="TableContents"/>
              <w:spacing w:before="0" w:after="0"/>
              <w:ind w:left="0" w:right="0" w:firstLine="30"/>
              <w:jc w:val="left"/>
              <w:rPr/>
            </w:pPr>
            <w:r>
              <w:rPr/>
              <w:t> </w:t>
            </w:r>
          </w:p>
        </w:tc>
        <w:tc>
          <w:tcPr>
            <w:tcW w:w="660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3597" w:type="dxa"/>
            <w:tcBorders/>
            <w:shd w:fill="auto" w:val="clear"/>
            <w:vAlign w:val="center"/>
          </w:tcPr>
          <w:p>
            <w:pPr>
              <w:pStyle w:val="TableContents"/>
              <w:spacing w:before="0" w:after="0"/>
              <w:ind w:left="0" w:right="0" w:firstLine="30"/>
              <w:jc w:val="left"/>
              <w:rPr/>
            </w:pPr>
            <w:r>
              <w:rPr/>
              <w:t> </w:t>
            </w:r>
          </w:p>
        </w:tc>
        <w:tc>
          <w:tcPr>
            <w:tcW w:w="9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 (GAAP)</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 (GAAP)</w:t>
            </w:r>
          </w:p>
        </w:tc>
        <w:tc>
          <w:tcPr>
            <w:tcW w:w="90" w:type="dxa"/>
            <w:tcBorders/>
            <w:shd w:fill="auto" w:val="clear"/>
            <w:vAlign w:val="center"/>
          </w:tcPr>
          <w:p>
            <w:pPr>
              <w:pStyle w:val="TableContents"/>
              <w:spacing w:before="0" w:after="0"/>
              <w:ind w:left="0" w:right="0" w:firstLine="30"/>
              <w:rPr/>
            </w:pPr>
            <w:r>
              <w:rPr/>
              <w:t> </w:t>
            </w:r>
          </w:p>
        </w:tc>
        <w:tc>
          <w:tcPr>
            <w:tcW w:w="101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 (GAAP)</w:t>
            </w:r>
          </w:p>
        </w:tc>
        <w:tc>
          <w:tcPr>
            <w:tcW w:w="90" w:type="dxa"/>
            <w:tcBorders/>
            <w:shd w:fill="auto" w:val="clear"/>
            <w:vAlign w:val="center"/>
          </w:tcPr>
          <w:p>
            <w:pPr>
              <w:pStyle w:val="TableContents"/>
              <w:spacing w:before="0" w:after="0"/>
              <w:ind w:left="0" w:right="0" w:firstLine="30"/>
              <w:rPr/>
            </w:pPr>
            <w:r>
              <w:rPr/>
              <w:t> </w:t>
            </w:r>
          </w:p>
        </w:tc>
        <w:tc>
          <w:tcPr>
            <w:tcW w:w="159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 (Constant Currency)</w:t>
            </w:r>
          </w:p>
        </w:tc>
        <w:tc>
          <w:tcPr>
            <w:tcW w:w="90" w:type="dxa"/>
            <w:tcBorders/>
            <w:shd w:fill="auto" w:val="clear"/>
            <w:vAlign w:val="center"/>
          </w:tcPr>
          <w:p>
            <w:pPr>
              <w:pStyle w:val="TableContents"/>
              <w:spacing w:before="0" w:after="0"/>
              <w:ind w:left="0" w:right="0" w:firstLine="30"/>
              <w:rPr/>
            </w:pPr>
            <w:r>
              <w:rPr/>
              <w:t> </w:t>
            </w:r>
          </w:p>
        </w:tc>
        <w:tc>
          <w:tcPr>
            <w:tcW w:w="170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 (Constant Currency)</w:t>
            </w:r>
          </w:p>
        </w:tc>
      </w:tr>
      <w:tr>
        <w:trPr/>
        <w:tc>
          <w:tcPr>
            <w:tcW w:w="3597"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rPr/>
            </w:pPr>
            <w:r>
              <w:rPr/>
              <w:t> </w:t>
            </w:r>
          </w:p>
        </w:tc>
      </w:tr>
      <w:tr>
        <w:trPr/>
        <w:tc>
          <w:tcPr>
            <w:tcW w:w="3597" w:type="dxa"/>
            <w:tcBorders/>
            <w:shd w:fill="auto" w:val="clear"/>
            <w:vAlign w:val="center"/>
          </w:tcPr>
          <w:p>
            <w:pPr>
              <w:pStyle w:val="TableContents"/>
              <w:spacing w:before="0" w:after="0"/>
              <w:ind w:left="0" w:right="0" w:firstLine="30"/>
              <w:jc w:val="left"/>
              <w:rPr/>
            </w:pPr>
            <w:r>
              <w:rPr/>
              <w:t> </w:t>
            </w:r>
          </w:p>
        </w:tc>
        <w:tc>
          <w:tcPr>
            <w:tcW w:w="202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USD thousands)</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8"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USD thousands)</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rPr/>
            </w:pPr>
            <w:r>
              <w:rPr/>
              <w:t> </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rPr/>
            </w:pPr>
            <w:r>
              <w:rPr/>
              <w:t> </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31,908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15,399</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107%</w:t>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shd w:fill="auto" w:val="clear"/>
            <w:vAlign w:val="center"/>
          </w:tcPr>
          <w:p>
            <w:pPr>
              <w:pStyle w:val="TableContents"/>
              <w:spacing w:before="0" w:after="0"/>
              <w:jc w:val="right"/>
              <w:rPr>
                <w:rFonts w:ascii="inherit" w:hAnsi="inherit"/>
                <w:sz w:val="17"/>
              </w:rPr>
            </w:pPr>
            <w:r>
              <w:rPr>
                <w:rFonts w:ascii="inherit" w:hAnsi="inherit"/>
                <w:sz w:val="17"/>
              </w:rPr>
              <w:t>30,784</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w:t>
            </w:r>
          </w:p>
        </w:tc>
      </w:tr>
      <w:tr>
        <w:trPr/>
        <w:tc>
          <w:tcPr>
            <w:tcW w:w="3597"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rPr/>
            </w:pPr>
            <w:r>
              <w:rPr/>
              <w:t> </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42,286</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31,340</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35%</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40,049</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28%</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 gross profit</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13,524</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9,862</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37%</w:t>
            </w:r>
          </w:p>
        </w:tc>
        <w:tc>
          <w:tcPr>
            <w:tcW w:w="90" w:type="dxa"/>
            <w:tcBorders/>
            <w:shd w:fill="CCEEFF" w:val="clear"/>
            <w:vAlign w:val="center"/>
          </w:tcPr>
          <w:p>
            <w:pPr>
              <w:pStyle w:val="TableContents"/>
              <w:spacing w:before="0" w:after="0"/>
              <w:ind w:left="0" w:right="0" w:firstLine="30"/>
              <w:rPr/>
            </w:pPr>
            <w:r>
              <w:rPr/>
              <w:t> </w:t>
            </w:r>
          </w:p>
        </w:tc>
        <w:tc>
          <w:tcPr>
            <w:tcW w:w="12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12,788</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30%</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100bps</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100bps</w:t>
            </w:r>
          </w:p>
        </w:tc>
      </w:tr>
      <w:tr>
        <w:trPr/>
        <w:tc>
          <w:tcPr>
            <w:tcW w:w="3597"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rPr/>
            </w:pPr>
            <w:r>
              <w:rPr/>
              <w:t> </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7,036</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2,116</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233%</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6,849</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224%</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 gross profit</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479</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371</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29%</w:t>
            </w:r>
          </w:p>
        </w:tc>
        <w:tc>
          <w:tcPr>
            <w:tcW w:w="90" w:type="dxa"/>
            <w:tcBorders/>
            <w:shd w:fill="CCEEFF" w:val="clear"/>
            <w:vAlign w:val="center"/>
          </w:tcPr>
          <w:p>
            <w:pPr>
              <w:pStyle w:val="TableContents"/>
              <w:spacing w:before="0" w:after="0"/>
              <w:ind w:left="0" w:right="0" w:firstLine="30"/>
              <w:rPr/>
            </w:pPr>
            <w:r>
              <w:rPr/>
              <w:t> </w:t>
            </w:r>
          </w:p>
        </w:tc>
        <w:tc>
          <w:tcPr>
            <w:tcW w:w="12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453</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22%</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(1,100)bps</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(1,100)bps</w:t>
            </w:r>
          </w:p>
        </w:tc>
      </w:tr>
      <w:tr>
        <w:trPr/>
        <w:tc>
          <w:tcPr>
            <w:tcW w:w="3597"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rPr/>
            </w:pPr>
            <w:r>
              <w:rPr/>
              <w:t> </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343</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23%</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323</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16%</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46,254</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25,910</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79%</w:t>
            </w:r>
          </w:p>
        </w:tc>
        <w:tc>
          <w:tcPr>
            <w:tcW w:w="90" w:type="dxa"/>
            <w:tcBorders/>
            <w:shd w:fill="CCEEFF" w:val="clear"/>
            <w:vAlign w:val="center"/>
          </w:tcPr>
          <w:p>
            <w:pPr>
              <w:pStyle w:val="TableContents"/>
              <w:spacing w:before="0" w:after="0"/>
              <w:ind w:left="0" w:right="0" w:firstLine="30"/>
              <w:rPr/>
            </w:pPr>
            <w:r>
              <w:rPr/>
              <w:t> </w:t>
            </w:r>
          </w:p>
        </w:tc>
        <w:tc>
          <w:tcPr>
            <w:tcW w:w="12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44,348</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71%</w:t>
            </w:r>
          </w:p>
        </w:tc>
      </w:tr>
      <w:tr>
        <w:trPr/>
        <w:tc>
          <w:tcPr>
            <w:tcW w:w="3597"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rPr/>
            </w:pPr>
            <w:r>
              <w:rPr/>
              <w:t> </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expenses:</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rPr/>
            </w:pPr>
            <w:r>
              <w:rPr/>
              <w:t> </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29,681</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17,541</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69%</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28,400</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62%</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1,761</w:t>
            </w:r>
          </w:p>
        </w:tc>
        <w:tc>
          <w:tcPr>
            <w:tcW w:w="21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1,291</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36%</w:t>
            </w:r>
          </w:p>
        </w:tc>
        <w:tc>
          <w:tcPr>
            <w:tcW w:w="90" w:type="dxa"/>
            <w:tcBorders/>
            <w:shd w:fill="CCEEFF" w:val="clear"/>
            <w:vAlign w:val="center"/>
          </w:tcPr>
          <w:p>
            <w:pPr>
              <w:pStyle w:val="TableContents"/>
              <w:spacing w:before="0" w:after="0"/>
              <w:ind w:left="0" w:right="0" w:firstLine="30"/>
              <w:rPr/>
            </w:pPr>
            <w:r>
              <w:rPr/>
              <w:t> </w:t>
            </w:r>
          </w:p>
        </w:tc>
        <w:tc>
          <w:tcPr>
            <w:tcW w:w="12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1,668</w:t>
            </w:r>
          </w:p>
        </w:tc>
        <w:tc>
          <w:tcPr>
            <w:tcW w:w="3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29%</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contribution</w:t>
            </w:r>
          </w:p>
        </w:tc>
        <w:tc>
          <w:tcPr>
            <w:tcW w:w="75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14,812</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7,078</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109%</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14,280</w:t>
            </w:r>
          </w:p>
        </w:tc>
        <w:tc>
          <w:tcPr>
            <w:tcW w:w="34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102%</w:t>
            </w:r>
          </w:p>
        </w:tc>
      </w:tr>
      <w:tr>
        <w:trPr/>
        <w:tc>
          <w:tcPr>
            <w:tcW w:w="3597"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
              <w:rPr/>
            </w:pPr>
            <w:r>
              <w:rPr/>
              <w:t> </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segment income (a)</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(373</w:t>
            </w:r>
          </w:p>
        </w:tc>
        <w:tc>
          <w:tcPr>
            <w:tcW w:w="21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243%</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(1,148</w:t>
            </w:r>
          </w:p>
        </w:tc>
        <w:tc>
          <w:tcPr>
            <w:tcW w:w="3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208%</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16,090</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7,451</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116%</w:t>
            </w:r>
          </w:p>
        </w:tc>
        <w:tc>
          <w:tcPr>
            <w:tcW w:w="90" w:type="dxa"/>
            <w:tcBorders/>
            <w:shd w:fill="CCEEFF"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15,428</w:t>
            </w:r>
          </w:p>
        </w:tc>
        <w:tc>
          <w:tcPr>
            <w:tcW w:w="34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107%</w:t>
            </w:r>
          </w:p>
        </w:tc>
      </w:tr>
      <w:tr>
        <w:trPr/>
        <w:tc>
          <w:tcPr>
            <w:tcW w:w="3597"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
              <w:rPr/>
            </w:pPr>
            <w:r>
              <w:rPr/>
              <w:t> </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rPr/>
            </w:pPr>
            <w:r>
              <w:rPr/>
              <w:t> </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monthly ending pawn loan balance per store (c)</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89</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67</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33%</w:t>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shd w:fill="auto" w:val="clear"/>
            <w:vAlign w:val="center"/>
          </w:tcPr>
          <w:p>
            <w:pPr>
              <w:pStyle w:val="TableContents"/>
              <w:spacing w:before="0" w:after="0"/>
              <w:jc w:val="right"/>
              <w:rPr>
                <w:rFonts w:ascii="inherit" w:hAnsi="inherit"/>
                <w:sz w:val="17"/>
              </w:rPr>
            </w:pPr>
            <w:r>
              <w:rPr>
                <w:rFonts w:ascii="inherit" w:hAnsi="inherit"/>
                <w:sz w:val="17"/>
              </w:rPr>
              <w:t>87</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30%</w:t>
            </w:r>
          </w:p>
        </w:tc>
      </w:tr>
      <w:tr>
        <w:trPr/>
        <w:tc>
          <w:tcPr>
            <w:tcW w:w="35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Monthly average yield on pawn loans outstanding</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16" w:type="dxa"/>
            <w:tcBorders/>
            <w:shd w:fill="CCEEFF" w:val="clear"/>
            <w:vAlign w:val="center"/>
          </w:tcPr>
          <w:p>
            <w:pPr>
              <w:pStyle w:val="TableContents"/>
              <w:spacing w:before="0" w:after="0"/>
              <w:ind w:left="0" w:right="0" w:firstLine="30"/>
              <w:jc w:val="center"/>
              <w:rPr/>
            </w:pPr>
            <w:r>
              <w:rPr/>
              <w:t>—</w:t>
            </w:r>
          </w:p>
        </w:tc>
        <w:tc>
          <w:tcPr>
            <w:tcW w:w="90" w:type="dxa"/>
            <w:tcBorders/>
            <w:shd w:fill="CCEEFF" w:val="clear"/>
            <w:vAlign w:val="center"/>
          </w:tcPr>
          <w:p>
            <w:pPr>
              <w:pStyle w:val="TableContents"/>
              <w:spacing w:before="0" w:after="0"/>
              <w:ind w:left="0" w:right="0" w:firstLine="30"/>
              <w:rPr/>
            </w:pPr>
            <w:r>
              <w:rPr/>
              <w:t> </w:t>
            </w:r>
          </w:p>
        </w:tc>
        <w:tc>
          <w:tcPr>
            <w:tcW w:w="12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702" w:type="dxa"/>
            <w:tcBorders/>
            <w:shd w:fill="CCEEFF" w:val="clear"/>
            <w:vAlign w:val="center"/>
          </w:tcPr>
          <w:p>
            <w:pPr>
              <w:pStyle w:val="TableContents"/>
              <w:spacing w:before="0" w:after="0"/>
              <w:ind w:left="0" w:right="0" w:firstLine="300"/>
              <w:jc w:val="center"/>
              <w:rPr/>
            </w:pPr>
            <w:r>
              <w:rPr/>
              <w:t>—</w:t>
            </w:r>
          </w:p>
        </w:tc>
      </w:tr>
      <w:tr>
        <w:trPr/>
        <w:tc>
          <w:tcPr>
            <w:tcW w:w="3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 (d)</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16" w:type="dxa"/>
            <w:tcBorders/>
            <w:shd w:fill="auto" w:val="clear"/>
            <w:vAlign w:val="center"/>
          </w:tcPr>
          <w:p>
            <w:pPr>
              <w:pStyle w:val="TableContents"/>
              <w:spacing w:before="0" w:after="0"/>
              <w:ind w:left="0" w:right="0" w:firstLine="30"/>
              <w:jc w:val="center"/>
              <w:rPr/>
            </w:pPr>
            <w:r>
              <w:rPr/>
              <w:t>—</w:t>
            </w:r>
          </w:p>
        </w:tc>
        <w:tc>
          <w:tcPr>
            <w:tcW w:w="90" w:type="dxa"/>
            <w:tcBorders/>
            <w:shd w:fill="auto" w:val="clear"/>
            <w:vAlign w:val="center"/>
          </w:tcPr>
          <w:p>
            <w:pPr>
              <w:pStyle w:val="TableContents"/>
              <w:spacing w:before="0" w:after="0"/>
              <w:ind w:left="0" w:right="0" w:firstLine="30"/>
              <w:rPr/>
            </w:pPr>
            <w:r>
              <w:rPr/>
              <w:t> </w:t>
            </w:r>
          </w:p>
        </w:tc>
        <w:tc>
          <w:tcPr>
            <w:tcW w:w="12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02" w:type="dxa"/>
            <w:tcBorders/>
            <w:shd w:fill="auto" w:val="clear"/>
            <w:vAlign w:val="center"/>
          </w:tcPr>
          <w:p>
            <w:pPr>
              <w:pStyle w:val="TableContents"/>
              <w:spacing w:before="0" w:after="0"/>
              <w:jc w:val="center"/>
              <w:rPr/>
            </w:pPr>
            <w:r>
              <w:rPr/>
              <w:t>—</w:t>
            </w:r>
          </w:p>
        </w:tc>
      </w:tr>
    </w:tbl>
    <w:tbl>
      <w:tblPr>
        <w:tblW w:w="10205" w:type="dxa"/>
        <w:jc w:val="left"/>
        <w:tblInd w:w="0" w:type="dxa"/>
        <w:tblCellMar>
          <w:top w:w="0" w:type="dxa"/>
          <w:left w:w="0" w:type="dxa"/>
          <w:bottom w:w="0" w:type="dxa"/>
          <w:right w:w="0" w:type="dxa"/>
        </w:tblCellMar>
      </w:tblPr>
      <w:tblGrid>
        <w:gridCol w:w="239"/>
        <w:gridCol w:w="9966"/>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239" w:type="dxa"/>
            <w:tcBorders/>
            <w:shd w:fill="auto" w:val="clear"/>
            <w:vAlign w:val="center"/>
          </w:tcPr>
          <w:p>
            <w:pPr>
              <w:pStyle w:val="TableContents"/>
              <w:spacing w:before="0" w:after="283"/>
              <w:rPr>
                <w:sz w:val="4"/>
                <w:szCs w:val="4"/>
              </w:rPr>
            </w:pPr>
            <w:r>
              <w:rPr>
                <w:sz w:val="4"/>
                <w:szCs w:val="4"/>
              </w:rPr>
            </w:r>
          </w:p>
        </w:tc>
        <w:tc>
          <w:tcPr>
            <w:tcW w:w="99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w:t>
            </w:r>
          </w:p>
        </w:tc>
        <w:tc>
          <w:tcPr>
            <w:tcW w:w="996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The six months ended March 31, 2018 constant currency balance excludes nominal net GAAP basis foreign currency transaction gains resulting from movement in exchange rates. The net foreign currency transaction gains for the six months ended March 31, 2017 were nominal and are not excluded from the above results.</w:t>
            </w:r>
          </w:p>
        </w:tc>
      </w:tr>
      <w:tr>
        <w:trPr/>
        <w:tc>
          <w:tcPr>
            <w:tcW w:w="2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w:t>
            </w:r>
          </w:p>
        </w:tc>
        <w:tc>
          <w:tcPr>
            <w:tcW w:w="996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Balance includes pawn loans and inventory.</w:t>
            </w:r>
          </w:p>
        </w:tc>
      </w:tr>
      <w:tr>
        <w:trPr/>
        <w:tc>
          <w:tcPr>
            <w:tcW w:w="2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w:t>
            </w:r>
          </w:p>
        </w:tc>
        <w:tc>
          <w:tcPr>
            <w:tcW w:w="996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Balance is calculated based upon the average of the monthly ending balances during the applicable period.</w:t>
            </w:r>
          </w:p>
        </w:tc>
      </w:tr>
      <w:tr>
        <w:trPr/>
        <w:tc>
          <w:tcPr>
            <w:tcW w:w="2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w:t>
            </w:r>
          </w:p>
        </w:tc>
        <w:tc>
          <w:tcPr>
            <w:tcW w:w="9966" w:type="dxa"/>
            <w:tcBorders/>
            <w:shd w:fill="auto" w:val="clear"/>
            <w:vAlign w:val="center"/>
          </w:tcPr>
          <w:p>
            <w:pPr>
              <w:pStyle w:val="TableContents"/>
              <w:spacing w:before="0" w:after="0"/>
              <w:jc w:val="left"/>
              <w:rPr>
                <w:rFonts w:ascii="inherit" w:hAnsi="inherit"/>
                <w:sz w:val="13"/>
              </w:rPr>
            </w:pPr>
            <w:r>
              <w:rPr>
                <w:rFonts w:ascii="inherit" w:hAnsi="inherit"/>
                <w:sz w:val="13"/>
              </w:rPr>
              <w:t>Our pawn loan redemption rate represents the percentage of loans made that are repaid, renewed or extended at a point in time as opposed to the life of the loan.</w:t>
            </w:r>
          </w:p>
        </w:tc>
      </w:tr>
    </w:tbl>
    <w:p>
      <w:pPr>
        <w:pStyle w:val="TextBody"/>
        <w:spacing w:lineRule="auto" w:line="288" w:before="0" w:after="0"/>
        <w:jc w:val="left"/>
        <w:rPr>
          <w:rFonts w:ascii="inherit" w:hAnsi="inherit"/>
          <w:sz w:val="17"/>
        </w:rPr>
      </w:pPr>
      <w:r>
        <w:rPr>
          <w:rFonts w:ascii="inherit" w:hAnsi="inherit"/>
          <w:sz w:val="17"/>
        </w:rPr>
        <w:t>Our Latin America business continues to grow rapidly. In the current six-months, we acquired 112 pawn stores located in Guatemala, El Salvador, Honduras and Peru and 21 pawn stores located in Mexico, and we opened eight de novo stores.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Net revenue increased $20.3 million, or 79%</w:t>
      </w:r>
      <w:r>
        <w:rPr>
          <w:sz w:val="17"/>
        </w:rPr>
        <w:t xml:space="preserve"> </w:t>
      </w:r>
      <w:r>
        <w:rPr>
          <w:rFonts w:ascii="inherit" w:hAnsi="inherit"/>
          <w:sz w:val="17"/>
        </w:rPr>
        <w:t>($18.4 million, or 71%, on a constant currency basis). The increase in net revenue attributable to same stores and new stores added since the prior-year six-months is summarized as follows:</w:t>
      </w:r>
    </w:p>
    <w:tbl>
      <w:tblPr>
        <w:tblW w:w="10205" w:type="dxa"/>
        <w:jc w:val="left"/>
        <w:tblInd w:w="0" w:type="dxa"/>
        <w:tblCellMar>
          <w:top w:w="0" w:type="dxa"/>
          <w:left w:w="0" w:type="dxa"/>
          <w:bottom w:w="0" w:type="dxa"/>
          <w:right w:w="0" w:type="dxa"/>
        </w:tblCellMar>
      </w:tblPr>
      <w:tblGrid>
        <w:gridCol w:w="5333"/>
        <w:gridCol w:w="376"/>
        <w:gridCol w:w="1151"/>
        <w:gridCol w:w="94"/>
        <w:gridCol w:w="90"/>
        <w:gridCol w:w="651"/>
        <w:gridCol w:w="1436"/>
        <w:gridCol w:w="160"/>
        <w:gridCol w:w="90"/>
        <w:gridCol w:w="125"/>
        <w:gridCol w:w="380"/>
        <w:gridCol w:w="31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33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43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33" w:type="dxa"/>
            <w:tcBorders/>
            <w:shd w:fill="auto" w:val="clear"/>
            <w:vAlign w:val="center"/>
          </w:tcPr>
          <w:p>
            <w:pPr>
              <w:pStyle w:val="TableContents"/>
              <w:spacing w:before="0" w:after="0"/>
              <w:ind w:left="0" w:right="0" w:firstLine="30"/>
              <w:rPr/>
            </w:pPr>
            <w:r>
              <w:rPr/>
              <w:t> </w:t>
            </w:r>
          </w:p>
        </w:tc>
        <w:tc>
          <w:tcPr>
            <w:tcW w:w="4872" w:type="dxa"/>
            <w:gridSpan w:val="11"/>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Change in Net Revenue</w:t>
            </w:r>
          </w:p>
        </w:tc>
      </w:tr>
      <w:tr>
        <w:trPr/>
        <w:tc>
          <w:tcPr>
            <w:tcW w:w="5333" w:type="dxa"/>
            <w:tcBorders/>
            <w:shd w:fill="auto" w:val="clear"/>
            <w:vAlign w:val="center"/>
          </w:tcPr>
          <w:p>
            <w:pPr>
              <w:pStyle w:val="TableContents"/>
              <w:spacing w:before="0" w:after="0"/>
              <w:ind w:left="0" w:right="0" w:firstLine="30"/>
              <w:rPr/>
            </w:pPr>
            <w:r>
              <w:rPr/>
              <w:t> </w:t>
            </w:r>
          </w:p>
        </w:tc>
        <w:tc>
          <w:tcPr>
            <w:tcW w:w="162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Pawn Service Charges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24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Merchandise Sales Gross Profit</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82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5333" w:type="dxa"/>
            <w:tcBorders/>
            <w:shd w:fill="auto" w:val="clear"/>
            <w:vAlign w:val="center"/>
          </w:tcPr>
          <w:p>
            <w:pPr>
              <w:pStyle w:val="TableContents"/>
              <w:spacing w:before="0" w:after="0"/>
              <w:ind w:left="0" w:right="0" w:firstLine="30"/>
              <w:rPr/>
            </w:pPr>
            <w:r>
              <w:rPr/>
              <w:t> </w:t>
            </w:r>
          </w:p>
        </w:tc>
        <w:tc>
          <w:tcPr>
            <w:tcW w:w="162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24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4" w:type="dxa"/>
            <w:gridSpan w:val="3"/>
            <w:tcBorders/>
            <w:shd w:fill="auto" w:val="clear"/>
            <w:vAlign w:val="center"/>
          </w:tcPr>
          <w:p>
            <w:pPr>
              <w:pStyle w:val="TableContents"/>
              <w:spacing w:before="0" w:after="0"/>
              <w:ind w:left="0" w:right="0" w:firstLine="30"/>
              <w:rPr/>
            </w:pPr>
            <w:r>
              <w:rPr/>
              <w:t> </w:t>
            </w:r>
          </w:p>
        </w:tc>
      </w:tr>
      <w:tr>
        <w:trPr/>
        <w:tc>
          <w:tcPr>
            <w:tcW w:w="5333" w:type="dxa"/>
            <w:tcBorders/>
            <w:shd w:fill="auto" w:val="clear"/>
            <w:vAlign w:val="center"/>
          </w:tcPr>
          <w:p>
            <w:pPr>
              <w:pStyle w:val="TableContents"/>
              <w:spacing w:before="0" w:after="0"/>
              <w:ind w:left="0" w:right="0" w:firstLine="30"/>
              <w:rPr/>
            </w:pPr>
            <w:r>
              <w:rPr/>
              <w:t> </w:t>
            </w:r>
          </w:p>
        </w:tc>
        <w:tc>
          <w:tcPr>
            <w:tcW w:w="4872"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53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Same stores</w:t>
            </w:r>
          </w:p>
        </w:tc>
        <w:tc>
          <w:tcPr>
            <w:tcW w:w="37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rFonts w:ascii="inherit" w:hAnsi="inherit"/>
                <w:sz w:val="17"/>
              </w:rPr>
            </w:pPr>
            <w:r>
              <w:rPr>
                <w:rFonts w:ascii="inherit" w:hAnsi="inherit"/>
                <w:sz w:val="17"/>
              </w:rPr>
              <w:t>2.9</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36" w:type="dxa"/>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4.2</w:t>
            </w:r>
          </w:p>
        </w:tc>
        <w:tc>
          <w:tcPr>
            <w:tcW w:w="3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stores and other</w:t>
            </w:r>
          </w:p>
        </w:tc>
        <w:tc>
          <w:tcPr>
            <w:tcW w:w="15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0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w:t>
            </w:r>
          </w:p>
        </w:tc>
        <w:tc>
          <w:tcPr>
            <w:tcW w:w="31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37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16.5</w:t>
            </w:r>
          </w:p>
        </w:tc>
        <w:tc>
          <w:tcPr>
            <w:tcW w:w="9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3.6</w:t>
            </w:r>
          </w:p>
        </w:tc>
        <w:tc>
          <w:tcPr>
            <w:tcW w:w="16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20.1</w:t>
            </w:r>
          </w:p>
        </w:tc>
        <w:tc>
          <w:tcPr>
            <w:tcW w:w="31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jewelry scrapping sales gross profit and other revenues</w:t>
            </w:r>
          </w:p>
        </w:tc>
        <w:tc>
          <w:tcPr>
            <w:tcW w:w="162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24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0.2</w:t>
            </w:r>
          </w:p>
        </w:tc>
        <w:tc>
          <w:tcPr>
            <w:tcW w:w="31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change in net revenue</w:t>
            </w:r>
          </w:p>
        </w:tc>
        <w:tc>
          <w:tcPr>
            <w:tcW w:w="162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24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20.3</w:t>
            </w:r>
          </w:p>
        </w:tc>
        <w:tc>
          <w:tcPr>
            <w:tcW w:w="31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4939"/>
        <w:gridCol w:w="367"/>
        <w:gridCol w:w="1084"/>
        <w:gridCol w:w="83"/>
        <w:gridCol w:w="143"/>
        <w:gridCol w:w="619"/>
        <w:gridCol w:w="1364"/>
        <w:gridCol w:w="152"/>
        <w:gridCol w:w="143"/>
        <w:gridCol w:w="199"/>
        <w:gridCol w:w="606"/>
        <w:gridCol w:w="506"/>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493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39" w:type="dxa"/>
            <w:tcBorders/>
            <w:shd w:fill="auto" w:val="clear"/>
            <w:vAlign w:val="center"/>
          </w:tcPr>
          <w:p>
            <w:pPr>
              <w:pStyle w:val="TableContents"/>
              <w:spacing w:before="0" w:after="0"/>
              <w:ind w:left="0" w:right="0" w:firstLine="30"/>
              <w:rPr/>
            </w:pPr>
            <w:r>
              <w:rPr/>
              <w:t> </w:t>
            </w:r>
          </w:p>
        </w:tc>
        <w:tc>
          <w:tcPr>
            <w:tcW w:w="5266" w:type="dxa"/>
            <w:gridSpan w:val="11"/>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Change in Net Revenue (Constant Currency)</w:t>
            </w:r>
          </w:p>
        </w:tc>
      </w:tr>
      <w:tr>
        <w:trPr/>
        <w:tc>
          <w:tcPr>
            <w:tcW w:w="4939" w:type="dxa"/>
            <w:tcBorders/>
            <w:shd w:fill="auto" w:val="clear"/>
            <w:vAlign w:val="center"/>
          </w:tcPr>
          <w:p>
            <w:pPr>
              <w:pStyle w:val="TableContents"/>
              <w:spacing w:before="0" w:after="0"/>
              <w:ind w:left="0" w:right="0" w:firstLine="30"/>
              <w:rPr/>
            </w:pPr>
            <w:r>
              <w:rPr/>
              <w:t> </w:t>
            </w:r>
          </w:p>
        </w:tc>
        <w:tc>
          <w:tcPr>
            <w:tcW w:w="153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Pawn Service Charges</w:t>
            </w:r>
          </w:p>
        </w:tc>
        <w:tc>
          <w:tcPr>
            <w:tcW w:w="143"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13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Merchandise Sales Gross Profit</w:t>
            </w:r>
          </w:p>
        </w:tc>
        <w:tc>
          <w:tcPr>
            <w:tcW w:w="143"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1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4939" w:type="dxa"/>
            <w:tcBorders/>
            <w:shd w:fill="auto" w:val="clear"/>
            <w:vAlign w:val="center"/>
          </w:tcPr>
          <w:p>
            <w:pPr>
              <w:pStyle w:val="TableContents"/>
              <w:spacing w:before="0" w:after="0"/>
              <w:ind w:left="0" w:right="0" w:firstLine="30"/>
              <w:rPr/>
            </w:pPr>
            <w:r>
              <w:rPr/>
              <w:t> </w:t>
            </w:r>
          </w:p>
        </w:tc>
        <w:tc>
          <w:tcPr>
            <w:tcW w:w="1534"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2135"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311" w:type="dxa"/>
            <w:gridSpan w:val="3"/>
            <w:tcBorders/>
            <w:shd w:fill="auto" w:val="clear"/>
            <w:vAlign w:val="center"/>
          </w:tcPr>
          <w:p>
            <w:pPr>
              <w:pStyle w:val="TableContents"/>
              <w:spacing w:before="0" w:after="0"/>
              <w:ind w:left="0" w:right="0" w:firstLine="30"/>
              <w:rPr/>
            </w:pPr>
            <w:r>
              <w:rPr/>
              <w:t> </w:t>
            </w:r>
          </w:p>
        </w:tc>
      </w:tr>
      <w:tr>
        <w:trPr/>
        <w:tc>
          <w:tcPr>
            <w:tcW w:w="4939" w:type="dxa"/>
            <w:tcBorders/>
            <w:shd w:fill="auto" w:val="clear"/>
            <w:vAlign w:val="center"/>
          </w:tcPr>
          <w:p>
            <w:pPr>
              <w:pStyle w:val="TableContents"/>
              <w:spacing w:before="0" w:after="0"/>
              <w:ind w:left="0" w:right="0" w:firstLine="30"/>
              <w:rPr/>
            </w:pPr>
            <w:r>
              <w:rPr/>
              <w:t> </w:t>
            </w:r>
          </w:p>
        </w:tc>
        <w:tc>
          <w:tcPr>
            <w:tcW w:w="5266"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49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Same stores</w:t>
            </w:r>
          </w:p>
        </w:tc>
        <w:tc>
          <w:tcPr>
            <w:tcW w:w="3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61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64" w:type="dxa"/>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9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06" w:type="dxa"/>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5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stores and other</w:t>
            </w:r>
          </w:p>
        </w:tc>
        <w:tc>
          <w:tcPr>
            <w:tcW w:w="14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9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8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w:t>
            </w:r>
          </w:p>
        </w:tc>
        <w:tc>
          <w:tcPr>
            <w:tcW w:w="50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9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36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15.4</w:t>
            </w:r>
          </w:p>
        </w:tc>
        <w:tc>
          <w:tcPr>
            <w:tcW w:w="8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61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w:t>
            </w:r>
          </w:p>
        </w:tc>
        <w:tc>
          <w:tcPr>
            <w:tcW w:w="15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18.3</w:t>
            </w:r>
          </w:p>
        </w:tc>
        <w:tc>
          <w:tcPr>
            <w:tcW w:w="50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jewelry scrapping sales gross profit and other revenues</w:t>
            </w:r>
          </w:p>
        </w:tc>
        <w:tc>
          <w:tcPr>
            <w:tcW w:w="1534"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2135"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8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0.1</w:t>
            </w:r>
          </w:p>
        </w:tc>
        <w:tc>
          <w:tcPr>
            <w:tcW w:w="50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9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change in net revenue</w:t>
            </w:r>
          </w:p>
        </w:tc>
        <w:tc>
          <w:tcPr>
            <w:tcW w:w="1534"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2135"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18.4</w:t>
            </w:r>
          </w:p>
        </w:tc>
        <w:tc>
          <w:tcPr>
            <w:tcW w:w="50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7"/>
        </w:rPr>
        <w:t>Pawn service charges increased 107%</w:t>
      </w:r>
      <w:r>
        <w:rPr>
          <w:sz w:val="17"/>
        </w:rPr>
        <w:t xml:space="preserve"> </w:t>
      </w:r>
      <w:r>
        <w:rPr>
          <w:rFonts w:ascii="inherit" w:hAnsi="inherit"/>
          <w:sz w:val="17"/>
        </w:rPr>
        <w:t>(100%</w:t>
      </w:r>
      <w:r>
        <w:rPr>
          <w:sz w:val="17"/>
        </w:rPr>
        <w:t xml:space="preserve"> </w:t>
      </w:r>
      <w:r>
        <w:rPr>
          <w:rFonts w:ascii="inherit" w:hAnsi="inherit"/>
          <w:sz w:val="17"/>
        </w:rPr>
        <w:t>on a constant currency basis) primarily due to the acquisition of stores discussed above and same store growth. The average ending monthly pawn loan balance per store outstanding during the current six-months increased 33%</w:t>
      </w:r>
      <w:r>
        <w:rPr>
          <w:sz w:val="17"/>
        </w:rPr>
        <w:t> </w:t>
      </w:r>
      <w:r>
        <w:rPr>
          <w:rFonts w:ascii="inherit" w:hAnsi="inherit"/>
          <w:sz w:val="17"/>
        </w:rPr>
        <w:t>(30%</w:t>
      </w:r>
      <w:r>
        <w:rPr>
          <w:sz w:val="17"/>
        </w:rPr>
        <w:t> </w:t>
      </w:r>
      <w:r>
        <w:rPr>
          <w:rFonts w:ascii="inherit" w:hAnsi="inherit"/>
          <w:sz w:val="17"/>
        </w:rPr>
        <w:t>on a constant currency basis), including additions to store count from acquisitions discussed above and de novo stores, offset by foreign currency impacts.</w:t>
      </w:r>
    </w:p>
    <w:p>
      <w:pPr>
        <w:pStyle w:val="TextBody"/>
        <w:spacing w:lineRule="auto" w:line="288" w:before="0" w:after="0"/>
        <w:jc w:val="left"/>
        <w:rPr>
          <w:sz w:val="17"/>
        </w:rPr>
      </w:pPr>
      <w:r>
        <w:rPr>
          <w:rFonts w:ascii="inherit" w:hAnsi="inherit"/>
          <w:sz w:val="17"/>
        </w:rPr>
        <w:t>Merchandise sales increased 35%</w:t>
      </w:r>
      <w:r>
        <w:rPr>
          <w:sz w:val="17"/>
        </w:rPr>
        <w:t xml:space="preserve"> </w:t>
      </w:r>
      <w:r>
        <w:rPr>
          <w:rFonts w:ascii="inherit" w:hAnsi="inherit"/>
          <w:sz w:val="17"/>
        </w:rPr>
        <w:t>(28%</w:t>
      </w:r>
      <w:r>
        <w:rPr>
          <w:sz w:val="17"/>
        </w:rPr>
        <w:t xml:space="preserve"> </w:t>
      </w:r>
      <w:r>
        <w:rPr>
          <w:rFonts w:ascii="inherit" w:hAnsi="inherit"/>
          <w:sz w:val="17"/>
        </w:rPr>
        <w:t>on a constant currency basis), with gross margin on merchandise sales of 32%, 100</w:t>
      </w:r>
      <w:r>
        <w:rPr>
          <w:sz w:val="17"/>
        </w:rPr>
        <w:t xml:space="preserve"> </w:t>
      </w:r>
      <w:r>
        <w:rPr>
          <w:rFonts w:ascii="inherit" w:hAnsi="inherit"/>
          <w:sz w:val="17"/>
        </w:rPr>
        <w:t>basis points above the prior-year six-months. As a result of the combination of these effects, offset by foreign currency impacts, merchandise sales gross profit was up 37%</w:t>
      </w:r>
      <w:r>
        <w:rPr>
          <w:sz w:val="17"/>
        </w:rPr>
        <w:t> </w:t>
      </w:r>
      <w:r>
        <w:rPr>
          <w:rFonts w:ascii="inherit" w:hAnsi="inherit"/>
          <w:sz w:val="17"/>
        </w:rPr>
        <w:t>to $13.5 million</w:t>
      </w:r>
      <w:r>
        <w:rPr>
          <w:sz w:val="17"/>
        </w:rPr>
        <w:t> </w:t>
      </w:r>
      <w:r>
        <w:rPr>
          <w:rFonts w:ascii="inherit" w:hAnsi="inherit"/>
          <w:sz w:val="17"/>
        </w:rPr>
        <w:t>(30%</w:t>
      </w:r>
      <w:r>
        <w:rPr>
          <w:sz w:val="17"/>
        </w:rPr>
        <w:t> </w:t>
      </w:r>
      <w:r>
        <w:rPr>
          <w:rFonts w:ascii="inherit" w:hAnsi="inherit"/>
          <w:sz w:val="17"/>
        </w:rPr>
        <w:t>to $12.8 million</w:t>
      </w:r>
      <w:r>
        <w:rPr>
          <w:sz w:val="17"/>
        </w:rPr>
        <w:t> </w:t>
      </w:r>
      <w:r>
        <w:rPr>
          <w:rFonts w:ascii="inherit" w:hAnsi="inherit"/>
          <w:sz w:val="17"/>
        </w:rPr>
        <w:t>on a constant currency basis).</w:t>
      </w:r>
    </w:p>
    <w:p>
      <w:pPr>
        <w:pStyle w:val="TextBody"/>
        <w:spacing w:lineRule="auto" w:line="288" w:before="0" w:after="0"/>
        <w:jc w:val="left"/>
        <w:rPr>
          <w:sz w:val="17"/>
        </w:rPr>
      </w:pPr>
      <w:r>
        <w:rPr>
          <w:rFonts w:ascii="inherit" w:hAnsi="inherit"/>
          <w:sz w:val="17"/>
        </w:rPr>
        <w:t>Jewelry scrapping sales increased 233%</w:t>
      </w:r>
      <w:r>
        <w:rPr>
          <w:sz w:val="17"/>
        </w:rPr>
        <w:t xml:space="preserve"> </w:t>
      </w:r>
      <w:r>
        <w:rPr>
          <w:rFonts w:ascii="inherit" w:hAnsi="inherit"/>
          <w:sz w:val="17"/>
        </w:rPr>
        <w:t>(224%</w:t>
      </w:r>
      <w:r>
        <w:rPr>
          <w:sz w:val="17"/>
        </w:rPr>
        <w:t xml:space="preserve"> </w:t>
      </w:r>
      <w:r>
        <w:rPr>
          <w:rFonts w:ascii="inherit" w:hAnsi="inherit"/>
          <w:sz w:val="17"/>
        </w:rPr>
        <w:t>on a constant currency basis) with a 1,100</w:t>
      </w:r>
      <w:r>
        <w:rPr>
          <w:sz w:val="17"/>
        </w:rPr>
        <w:t xml:space="preserve"> </w:t>
      </w:r>
      <w:r>
        <w:rPr>
          <w:rFonts w:ascii="inherit" w:hAnsi="inherit"/>
          <w:sz w:val="17"/>
        </w:rPr>
        <w:t>basis point decline in margin, primarily due to the acquisition of stores discussed above.</w:t>
      </w:r>
    </w:p>
    <w:p>
      <w:pPr>
        <w:pStyle w:val="TextBody"/>
        <w:spacing w:lineRule="auto" w:line="288" w:before="0" w:after="0"/>
        <w:jc w:val="left"/>
        <w:rPr>
          <w:sz w:val="17"/>
        </w:rPr>
      </w:pPr>
      <w:r>
        <w:rPr>
          <w:rFonts w:ascii="inherit" w:hAnsi="inherit"/>
          <w:sz w:val="17"/>
        </w:rPr>
        <w:t>We leveraged a 79%</w:t>
      </w:r>
      <w:r>
        <w:rPr>
          <w:sz w:val="17"/>
        </w:rPr>
        <w:t xml:space="preserve"> </w:t>
      </w:r>
      <w:r>
        <w:rPr>
          <w:rFonts w:ascii="inherit" w:hAnsi="inherit"/>
          <w:sz w:val="17"/>
        </w:rPr>
        <w:t>increase in net revenue (71%</w:t>
      </w:r>
      <w:r>
        <w:rPr>
          <w:sz w:val="17"/>
        </w:rPr>
        <w:t xml:space="preserve"> </w:t>
      </w:r>
      <w:r>
        <w:rPr>
          <w:rFonts w:ascii="inherit" w:hAnsi="inherit"/>
          <w:sz w:val="17"/>
        </w:rPr>
        <w:t>on a constant currency basis) into a 109%</w:t>
      </w:r>
      <w:r>
        <w:rPr>
          <w:sz w:val="17"/>
        </w:rPr>
        <w:t xml:space="preserve"> </w:t>
      </w:r>
      <w:r>
        <w:rPr>
          <w:rFonts w:ascii="inherit" w:hAnsi="inherit"/>
          <w:sz w:val="17"/>
        </w:rPr>
        <w:t>increase in segment operating contribution (102%</w:t>
      </w:r>
      <w:r>
        <w:rPr>
          <w:sz w:val="17"/>
        </w:rPr>
        <w:t xml:space="preserve"> </w:t>
      </w:r>
      <w:r>
        <w:rPr>
          <w:rFonts w:ascii="inherit" w:hAnsi="inherit"/>
          <w:sz w:val="17"/>
        </w:rPr>
        <w:t>on a constant currency basis) due to focused expense management in addition to greater operational leverage from the acquisition of stores discussed above, resulting in only a 69%</w:t>
      </w:r>
      <w:r>
        <w:rPr>
          <w:sz w:val="17"/>
        </w:rPr>
        <w:t xml:space="preserve"> </w:t>
      </w:r>
      <w:r>
        <w:rPr>
          <w:rFonts w:ascii="inherit" w:hAnsi="inherit"/>
          <w:sz w:val="17"/>
        </w:rPr>
        <w:t>increase (62%</w:t>
      </w:r>
      <w:r>
        <w:rPr>
          <w:sz w:val="17"/>
        </w:rPr>
        <w:t xml:space="preserve"> </w:t>
      </w:r>
      <w:r>
        <w:rPr>
          <w:rFonts w:ascii="inherit" w:hAnsi="inherit"/>
          <w:sz w:val="17"/>
        </w:rPr>
        <w:t>increase on a constant currency basis) in operations expenses. After a $0.9 million improvement in other segment income, primarily interest income from our notes receivable, segment contribution increased 116%</w:t>
      </w:r>
      <w:r>
        <w:rPr>
          <w:sz w:val="17"/>
        </w:rPr>
        <w:t xml:space="preserve"> </w:t>
      </w:r>
      <w:r>
        <w:rPr>
          <w:rFonts w:ascii="inherit" w:hAnsi="inherit"/>
          <w:sz w:val="17"/>
        </w:rPr>
        <w:t>(107%</w:t>
      </w:r>
      <w:r>
        <w:rPr>
          <w:sz w:val="17"/>
        </w:rPr>
        <w:t xml:space="preserve"> </w:t>
      </w:r>
      <w:r>
        <w:rPr>
          <w:rFonts w:ascii="inherit" w:hAnsi="inherit"/>
          <w:sz w:val="17"/>
        </w:rPr>
        <w:t>on a constant currency basis).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34</w:t>
      </w:r>
      <w:r>
        <w:br w:type="page"/>
      </w:r>
    </w:p>
    <w:p>
      <w:pPr>
        <w:pStyle w:val="TextBody"/>
        <w:spacing w:lineRule="auto" w:line="288" w:before="0" w:after="0"/>
        <w:rPr/>
      </w:pPr>
      <w:hyperlink w:anchor="sA33FD6028AA25395924ED4406F429385">
        <w:bookmarkStart w:id="31" w:name="s4cd5c4469cfe4fecaf95c711cf2ef91d"/>
        <w:bookmarkEnd w:id="31"/>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Other International</w:t>
      </w:r>
    </w:p>
    <w:p>
      <w:pPr>
        <w:pStyle w:val="TextBody"/>
        <w:spacing w:lineRule="auto" w:line="288" w:before="0" w:after="0"/>
        <w:rPr>
          <w:rFonts w:ascii="inherit" w:hAnsi="inherit"/>
          <w:sz w:val="17"/>
        </w:rPr>
      </w:pPr>
      <w:r>
        <w:rPr>
          <w:rFonts w:ascii="inherit" w:hAnsi="inherit"/>
          <w:sz w:val="17"/>
        </w:rPr>
        <w:t>The following table presents selected financial data from continuing operations for the Other International segment after translation to U.S. dollars from its functional currency of primarily Australian and Canadian dollars:</w:t>
      </w:r>
    </w:p>
    <w:tbl>
      <w:tblPr>
        <w:tblW w:w="7678" w:type="dxa"/>
        <w:jc w:val="center"/>
        <w:tblInd w:w="0" w:type="dxa"/>
        <w:tblCellMar>
          <w:top w:w="0" w:type="dxa"/>
          <w:left w:w="0" w:type="dxa"/>
          <w:bottom w:w="0" w:type="dxa"/>
          <w:right w:w="0" w:type="dxa"/>
        </w:tblCellMar>
      </w:tblPr>
      <w:tblGrid>
        <w:gridCol w:w="3965"/>
        <w:gridCol w:w="173"/>
        <w:gridCol w:w="672"/>
        <w:gridCol w:w="152"/>
        <w:gridCol w:w="124"/>
        <w:gridCol w:w="173"/>
        <w:gridCol w:w="672"/>
        <w:gridCol w:w="152"/>
        <w:gridCol w:w="90"/>
        <w:gridCol w:w="1505"/>
      </w:tblGrid>
      <w:tr>
        <w:trPr/>
        <w:tc>
          <w:tcPr>
            <w:tcW w:w="7678" w:type="dxa"/>
            <w:gridSpan w:val="10"/>
            <w:tcBorders/>
            <w:shd w:fill="auto" w:val="clear"/>
            <w:vAlign w:val="center"/>
          </w:tcPr>
          <w:p>
            <w:pPr>
              <w:pStyle w:val="TableContents"/>
              <w:spacing w:before="0" w:after="283"/>
              <w:rPr>
                <w:sz w:val="4"/>
                <w:szCs w:val="4"/>
              </w:rPr>
            </w:pPr>
            <w:r>
              <w:rPr>
                <w:sz w:val="4"/>
                <w:szCs w:val="4"/>
              </w:rPr>
            </w:r>
          </w:p>
        </w:tc>
      </w:tr>
      <w:tr>
        <w:trPr/>
        <w:tc>
          <w:tcPr>
            <w:tcW w:w="396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65" w:type="dxa"/>
            <w:tcBorders/>
            <w:shd w:fill="auto" w:val="clear"/>
            <w:vAlign w:val="center"/>
          </w:tcPr>
          <w:p>
            <w:pPr>
              <w:pStyle w:val="TableContents"/>
              <w:spacing w:before="0" w:after="0"/>
              <w:ind w:left="0" w:right="0" w:firstLine="30"/>
              <w:jc w:val="left"/>
              <w:rPr/>
            </w:pPr>
            <w:r>
              <w:rPr/>
              <w:t> </w:t>
            </w:r>
          </w:p>
        </w:tc>
        <w:tc>
          <w:tcPr>
            <w:tcW w:w="211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c>
          <w:tcPr>
            <w:tcW w:w="90" w:type="dxa"/>
            <w:tcBorders/>
            <w:shd w:fill="auto" w:val="clear"/>
            <w:vAlign w:val="center"/>
          </w:tcPr>
          <w:p>
            <w:pPr>
              <w:pStyle w:val="TableContents"/>
              <w:spacing w:before="0" w:after="0"/>
              <w:ind w:left="0" w:right="0" w:firstLine="30"/>
              <w:rPr/>
            </w:pPr>
            <w:r>
              <w:rPr/>
              <w:t> </w:t>
            </w:r>
          </w:p>
        </w:tc>
        <w:tc>
          <w:tcPr>
            <w:tcW w:w="150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Percentage Change</w:t>
            </w:r>
          </w:p>
        </w:tc>
      </w:tr>
      <w:tr>
        <w:trPr/>
        <w:tc>
          <w:tcPr>
            <w:tcW w:w="3965" w:type="dxa"/>
            <w:tcBorders/>
            <w:shd w:fill="auto" w:val="clear"/>
            <w:vAlign w:val="center"/>
          </w:tcPr>
          <w:p>
            <w:pPr>
              <w:pStyle w:val="TableContents"/>
              <w:spacing w:before="0" w:after="0"/>
              <w:ind w:left="0" w:right="0" w:firstLine="30"/>
              <w:jc w:val="left"/>
              <w:rPr/>
            </w:pPr>
            <w:r>
              <w:rPr/>
              <w:t> </w:t>
            </w:r>
          </w:p>
        </w:tc>
        <w:tc>
          <w:tcPr>
            <w:tcW w:w="99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24"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9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1505" w:type="dxa"/>
            <w:vMerge w:val="continue"/>
            <w:tcBorders>
              <w:bottom w:val="single" w:sz="2" w:space="0" w:color="000000"/>
            </w:tcBorders>
            <w:shd w:fill="auto" w:val="clear"/>
            <w:tcMar>
              <w:bottom w:w="30" w:type="dxa"/>
            </w:tcMar>
            <w:vAlign w:val="center"/>
          </w:tcPr>
          <w:p>
            <w:pPr>
              <w:pStyle w:val="Normal"/>
              <w:rPr/>
            </w:pPr>
            <w:r>
              <w:rPr/>
            </w:r>
          </w:p>
        </w:tc>
      </w:tr>
      <w:tr>
        <w:trPr/>
        <w:tc>
          <w:tcPr>
            <w:tcW w:w="3965"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3965" w:type="dxa"/>
            <w:tcBorders/>
            <w:shd w:fill="auto" w:val="clear"/>
            <w:vAlign w:val="center"/>
          </w:tcPr>
          <w:p>
            <w:pPr>
              <w:pStyle w:val="TableContents"/>
              <w:spacing w:before="0" w:after="0"/>
              <w:ind w:left="0" w:right="0" w:firstLine="30"/>
              <w:jc w:val="left"/>
              <w:rPr/>
            </w:pPr>
            <w:r>
              <w:rPr/>
              <w:t> </w:t>
            </w:r>
          </w:p>
        </w:tc>
        <w:tc>
          <w:tcPr>
            <w:tcW w:w="2118"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39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997"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9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0"/>
              <w:rPr/>
            </w:pPr>
            <w:r>
              <w:rPr/>
              <w:t> </w:t>
            </w:r>
          </w:p>
        </w:tc>
      </w:tr>
      <w:tr>
        <w:trPr/>
        <w:tc>
          <w:tcPr>
            <w:tcW w:w="39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interest and other</w:t>
            </w:r>
          </w:p>
        </w:tc>
        <w:tc>
          <w:tcPr>
            <w:tcW w:w="17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72" w:type="dxa"/>
            <w:tcBorders/>
            <w:shd w:fill="auto" w:val="clear"/>
            <w:vAlign w:val="center"/>
          </w:tcPr>
          <w:p>
            <w:pPr>
              <w:pStyle w:val="TableContents"/>
              <w:spacing w:before="0" w:after="0"/>
              <w:jc w:val="right"/>
              <w:rPr>
                <w:rFonts w:ascii="inherit" w:hAnsi="inherit"/>
                <w:sz w:val="17"/>
              </w:rPr>
            </w:pPr>
            <w:r>
              <w:rPr>
                <w:rFonts w:ascii="inherit" w:hAnsi="inherit"/>
                <w:sz w:val="17"/>
              </w:rPr>
              <w:t>3,751</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7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72" w:type="dxa"/>
            <w:tcBorders/>
            <w:shd w:fill="auto" w:val="clear"/>
            <w:vAlign w:val="center"/>
          </w:tcPr>
          <w:p>
            <w:pPr>
              <w:pStyle w:val="TableContents"/>
              <w:spacing w:before="0" w:after="0"/>
              <w:jc w:val="right"/>
              <w:rPr>
                <w:rFonts w:ascii="inherit" w:hAnsi="inherit"/>
                <w:sz w:val="17"/>
              </w:rPr>
            </w:pPr>
            <w:r>
              <w:rPr>
                <w:rFonts w:ascii="inherit" w:hAnsi="inherit"/>
                <w:sz w:val="17"/>
              </w:rPr>
              <w:t>3,994</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(6)%</w:t>
            </w:r>
          </w:p>
        </w:tc>
      </w:tr>
      <w:tr>
        <w:trPr/>
        <w:tc>
          <w:tcPr>
            <w:tcW w:w="39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8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924</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8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980</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(6)%</w:t>
            </w:r>
          </w:p>
        </w:tc>
      </w:tr>
      <w:tr>
        <w:trPr/>
        <w:tc>
          <w:tcPr>
            <w:tcW w:w="39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84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2,827</w:t>
            </w:r>
          </w:p>
        </w:tc>
        <w:tc>
          <w:tcPr>
            <w:tcW w:w="15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84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3,014</w:t>
            </w:r>
          </w:p>
        </w:tc>
        <w:tc>
          <w:tcPr>
            <w:tcW w:w="15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(6)%</w:t>
            </w:r>
          </w:p>
        </w:tc>
      </w:tr>
      <w:tr>
        <w:trPr/>
        <w:tc>
          <w:tcPr>
            <w:tcW w:w="3965" w:type="dxa"/>
            <w:tcBorders/>
            <w:shd w:fill="CCEEFF" w:val="clear"/>
            <w:vAlign w:val="center"/>
          </w:tcPr>
          <w:p>
            <w:pPr>
              <w:pStyle w:val="TableContents"/>
              <w:spacing w:before="0" w:after="0"/>
              <w:ind w:left="0" w:right="0" w:firstLine="30"/>
              <w:rPr/>
            </w:pPr>
            <w:r>
              <w:rPr/>
              <w:t> </w:t>
            </w:r>
          </w:p>
        </w:tc>
        <w:tc>
          <w:tcPr>
            <w:tcW w:w="997"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9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rPr/>
            </w:pPr>
            <w:r>
              <w:rPr/>
              <w:t> </w:t>
            </w:r>
          </w:p>
        </w:tc>
      </w:tr>
      <w:tr>
        <w:trPr/>
        <w:tc>
          <w:tcPr>
            <w:tcW w:w="39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expenses (income):</w:t>
            </w:r>
          </w:p>
        </w:tc>
        <w:tc>
          <w:tcPr>
            <w:tcW w:w="997"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0"/>
              <w:rPr/>
            </w:pPr>
            <w:r>
              <w:rPr/>
              <w:t> </w:t>
            </w:r>
          </w:p>
        </w:tc>
      </w:tr>
      <w:tr>
        <w:trPr/>
        <w:tc>
          <w:tcPr>
            <w:tcW w:w="39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8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4,692</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8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3,759</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25%</w:t>
            </w:r>
          </w:p>
        </w:tc>
      </w:tr>
      <w:tr>
        <w:trPr/>
        <w:tc>
          <w:tcPr>
            <w:tcW w:w="39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w:t>
            </w:r>
          </w:p>
        </w:tc>
        <w:tc>
          <w:tcPr>
            <w:tcW w:w="84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(2,326</w:t>
            </w:r>
          </w:p>
        </w:tc>
        <w:tc>
          <w:tcPr>
            <w:tcW w:w="15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84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(2,721</w:t>
            </w:r>
          </w:p>
        </w:tc>
        <w:tc>
          <w:tcPr>
            <w:tcW w:w="15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(15)%</w:t>
            </w:r>
          </w:p>
        </w:tc>
      </w:tr>
      <w:tr>
        <w:trPr/>
        <w:tc>
          <w:tcPr>
            <w:tcW w:w="39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contribution</w:t>
            </w:r>
          </w:p>
        </w:tc>
        <w:tc>
          <w:tcPr>
            <w:tcW w:w="8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461</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8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1,976</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(77)%</w:t>
            </w:r>
          </w:p>
        </w:tc>
      </w:tr>
      <w:tr>
        <w:trPr/>
        <w:tc>
          <w:tcPr>
            <w:tcW w:w="3965"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39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segment (income) expense</w:t>
            </w:r>
          </w:p>
        </w:tc>
        <w:tc>
          <w:tcPr>
            <w:tcW w:w="8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8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w:t>
            </w:r>
          </w:p>
        </w:tc>
      </w:tr>
      <w:tr>
        <w:trPr/>
        <w:tc>
          <w:tcPr>
            <w:tcW w:w="39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7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579</w:t>
            </w:r>
          </w:p>
        </w:tc>
        <w:tc>
          <w:tcPr>
            <w:tcW w:w="15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7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1,936</w:t>
            </w:r>
          </w:p>
        </w:tc>
        <w:tc>
          <w:tcPr>
            <w:tcW w:w="15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jc w:val="center"/>
              <w:rPr>
                <w:rFonts w:ascii="inherit" w:hAnsi="inherit"/>
                <w:sz w:val="17"/>
              </w:rPr>
            </w:pPr>
            <w:r>
              <w:rPr>
                <w:rFonts w:ascii="inherit" w:hAnsi="inherit"/>
                <w:sz w:val="17"/>
              </w:rPr>
              <w:t>(70)%</w:t>
            </w:r>
          </w:p>
        </w:tc>
      </w:tr>
    </w:tbl>
    <w:tbl>
      <w:tblPr>
        <w:tblW w:w="4465" w:type="dxa"/>
        <w:jc w:val="left"/>
        <w:tblInd w:w="0" w:type="dxa"/>
        <w:tblCellMar>
          <w:top w:w="0" w:type="dxa"/>
          <w:left w:w="0" w:type="dxa"/>
          <w:bottom w:w="0" w:type="dxa"/>
          <w:right w:w="0" w:type="dxa"/>
        </w:tblCellMar>
      </w:tblPr>
      <w:tblGrid>
        <w:gridCol w:w="140"/>
        <w:gridCol w:w="4325"/>
      </w:tblGrid>
      <w:tr>
        <w:trPr/>
        <w:tc>
          <w:tcPr>
            <w:tcW w:w="4465" w:type="dxa"/>
            <w:gridSpan w:val="2"/>
            <w:tcBorders/>
            <w:shd w:fill="auto" w:val="clear"/>
            <w:vAlign w:val="center"/>
          </w:tcPr>
          <w:p>
            <w:pPr>
              <w:pStyle w:val="TableContents"/>
              <w:spacing w:before="0" w:after="283"/>
              <w:rPr>
                <w:sz w:val="4"/>
                <w:szCs w:val="4"/>
              </w:rPr>
            </w:pPr>
            <w:r>
              <w:rPr>
                <w:sz w:val="4"/>
                <w:szCs w:val="4"/>
              </w:rPr>
            </w:r>
          </w:p>
        </w:tc>
      </w:tr>
      <w:tr>
        <w:trPr/>
        <w:tc>
          <w:tcPr>
            <w:tcW w:w="140" w:type="dxa"/>
            <w:tcBorders/>
            <w:shd w:fill="auto" w:val="clear"/>
            <w:vAlign w:val="center"/>
          </w:tcPr>
          <w:p>
            <w:pPr>
              <w:pStyle w:val="TableContents"/>
              <w:spacing w:before="0" w:after="283"/>
              <w:rPr>
                <w:sz w:val="4"/>
                <w:szCs w:val="4"/>
              </w:rPr>
            </w:pPr>
            <w:r>
              <w:rPr>
                <w:sz w:val="4"/>
                <w:szCs w:val="4"/>
              </w:rPr>
            </w:r>
          </w:p>
        </w:tc>
        <w:tc>
          <w:tcPr>
            <w:tcW w:w="43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4325" w:type="dxa"/>
            <w:tcBorders/>
            <w:shd w:fill="auto" w:val="clear"/>
            <w:vAlign w:val="center"/>
          </w:tcPr>
          <w:p>
            <w:pPr>
              <w:pStyle w:val="TableContents"/>
              <w:spacing w:before="0" w:after="0"/>
              <w:ind w:left="0" w:right="0" w:hanging="180"/>
              <w:jc w:val="left"/>
              <w:rPr>
                <w:rFonts w:ascii="inherit" w:hAnsi="inherit"/>
                <w:sz w:val="13"/>
              </w:rPr>
            </w:pPr>
            <w:r>
              <w:rPr>
                <w:rFonts w:ascii="inherit" w:hAnsi="inherit"/>
                <w:sz w:val="13"/>
              </w:rPr>
              <w:t>Represents an increase or decrease that is not meaningful.</w:t>
            </w:r>
          </w:p>
        </w:tc>
      </w:tr>
    </w:tbl>
    <w:p>
      <w:pPr>
        <w:pStyle w:val="TextBody"/>
        <w:spacing w:lineRule="auto" w:line="288" w:before="0" w:after="0"/>
        <w:rPr>
          <w:sz w:val="17"/>
        </w:rPr>
      </w:pPr>
      <w:r>
        <w:rPr>
          <w:rFonts w:ascii="inherit" w:hAnsi="inherit"/>
          <w:sz w:val="17"/>
        </w:rPr>
        <w:t>Segment contribution was $0.6 million, a decrease of 70%</w:t>
      </w:r>
      <w:r>
        <w:rPr>
          <w:sz w:val="17"/>
        </w:rPr>
        <w:t xml:space="preserve"> </w:t>
      </w:r>
      <w:r>
        <w:rPr>
          <w:rFonts w:ascii="inherit" w:hAnsi="inherit"/>
          <w:sz w:val="17"/>
        </w:rPr>
        <w:t>from the prior-year six-months, primarily due to a $0.9 million</w:t>
      </w:r>
      <w:r>
        <w:rPr>
          <w:sz w:val="17"/>
        </w:rPr>
        <w:t xml:space="preserve"> </w:t>
      </w:r>
      <w:r>
        <w:rPr>
          <w:rFonts w:ascii="inherit" w:hAnsi="inherit"/>
          <w:sz w:val="17"/>
        </w:rPr>
        <w:t>increase in operating expenses from further investment in the development of a digital IT platform that enables greater intimacy with our customers to drive future revenue enhancement.</w:t>
      </w:r>
    </w:p>
    <w:p>
      <w:pPr>
        <w:pStyle w:val="TextBody"/>
        <w:spacing w:lineRule="auto" w:line="288" w:before="0" w:after="0"/>
        <w:rPr>
          <w:rFonts w:ascii="inherit" w:hAnsi="inherit"/>
          <w:sz w:val="17"/>
        </w:rPr>
      </w:pPr>
      <w:r>
        <w:rPr>
          <w:rFonts w:ascii="inherit" w:hAnsi="inherit"/>
          <w:sz w:val="17"/>
        </w:rPr>
        <w:t>We have taken impairment charges on this investment in prior periods and continue to monitor the fair value of our investment for other-than-temporary impairments. We may record a further impairment charge should the fair value of our investment fall below its carrying value for an extended period of time.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35</w:t>
      </w:r>
      <w:r>
        <w:br w:type="page"/>
      </w:r>
    </w:p>
    <w:p>
      <w:pPr>
        <w:pStyle w:val="TextBody"/>
        <w:spacing w:lineRule="auto" w:line="288" w:before="0" w:after="0"/>
        <w:rPr/>
      </w:pPr>
      <w:hyperlink w:anchor="sA33FD6028AA25395924ED4406F429385">
        <w:bookmarkStart w:id="32" w:name="sec04a9af370641dface4549b6e9415f8"/>
        <w:bookmarkEnd w:id="32"/>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Other Items</w:t>
      </w:r>
    </w:p>
    <w:p>
      <w:pPr>
        <w:pStyle w:val="TextBody"/>
        <w:spacing w:lineRule="auto" w:line="288" w:before="0" w:after="0"/>
        <w:jc w:val="left"/>
        <w:rPr>
          <w:rFonts w:ascii="inherit" w:hAnsi="inherit"/>
          <w:sz w:val="17"/>
        </w:rPr>
      </w:pPr>
      <w:r>
        <w:rPr>
          <w:rFonts w:ascii="inherit" w:hAnsi="inherit"/>
          <w:sz w:val="17"/>
        </w:rPr>
        <w:t>The following table reconciles our consolidated segment contribution discussed above to net income attributable to EZCORP, Inc., including items that affect our consolidated financial results but are not allocated among segments:</w:t>
      </w:r>
    </w:p>
    <w:tbl>
      <w:tblPr>
        <w:tblW w:w="8472" w:type="dxa"/>
        <w:jc w:val="left"/>
        <w:tblInd w:w="0" w:type="dxa"/>
        <w:tblCellMar>
          <w:top w:w="0" w:type="dxa"/>
          <w:left w:w="0" w:type="dxa"/>
          <w:bottom w:w="0" w:type="dxa"/>
          <w:right w:w="0" w:type="dxa"/>
        </w:tblCellMar>
      </w:tblPr>
      <w:tblGrid>
        <w:gridCol w:w="4760"/>
        <w:gridCol w:w="152"/>
        <w:gridCol w:w="718"/>
        <w:gridCol w:w="134"/>
        <w:gridCol w:w="109"/>
        <w:gridCol w:w="152"/>
        <w:gridCol w:w="718"/>
        <w:gridCol w:w="134"/>
        <w:gridCol w:w="90"/>
        <w:gridCol w:w="1505"/>
      </w:tblGrid>
      <w:tr>
        <w:trPr/>
        <w:tc>
          <w:tcPr>
            <w:tcW w:w="8472" w:type="dxa"/>
            <w:gridSpan w:val="10"/>
            <w:tcBorders/>
            <w:shd w:fill="auto" w:val="clear"/>
            <w:vAlign w:val="center"/>
          </w:tcPr>
          <w:p>
            <w:pPr>
              <w:pStyle w:val="TableContents"/>
              <w:spacing w:before="0" w:after="283"/>
              <w:rPr>
                <w:sz w:val="4"/>
                <w:szCs w:val="4"/>
              </w:rPr>
            </w:pPr>
            <w:r>
              <w:rPr>
                <w:sz w:val="4"/>
                <w:szCs w:val="4"/>
              </w:rPr>
            </w:r>
          </w:p>
        </w:tc>
      </w:tr>
      <w:tr>
        <w:trPr/>
        <w:tc>
          <w:tcPr>
            <w:tcW w:w="476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760" w:type="dxa"/>
            <w:tcBorders/>
            <w:shd w:fill="auto" w:val="clear"/>
            <w:vAlign w:val="center"/>
          </w:tcPr>
          <w:p>
            <w:pPr>
              <w:pStyle w:val="TableContents"/>
              <w:spacing w:before="0" w:after="0"/>
              <w:ind w:left="0" w:right="0" w:firstLine="30"/>
              <w:jc w:val="left"/>
              <w:rPr/>
            </w:pPr>
            <w:r>
              <w:rPr/>
              <w:t> </w:t>
            </w:r>
          </w:p>
        </w:tc>
        <w:tc>
          <w:tcPr>
            <w:tcW w:w="211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c>
          <w:tcPr>
            <w:tcW w:w="90" w:type="dxa"/>
            <w:tcBorders/>
            <w:shd w:fill="auto" w:val="clear"/>
            <w:vAlign w:val="center"/>
          </w:tcPr>
          <w:p>
            <w:pPr>
              <w:pStyle w:val="TableContents"/>
              <w:spacing w:before="0" w:after="0"/>
              <w:ind w:left="0" w:right="0" w:firstLine="30"/>
              <w:rPr/>
            </w:pPr>
            <w:r>
              <w:rPr/>
              <w:t> </w:t>
            </w:r>
          </w:p>
        </w:tc>
        <w:tc>
          <w:tcPr>
            <w:tcW w:w="150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Percentage Change</w:t>
            </w:r>
          </w:p>
        </w:tc>
      </w:tr>
      <w:tr>
        <w:trPr/>
        <w:tc>
          <w:tcPr>
            <w:tcW w:w="4760" w:type="dxa"/>
            <w:tcBorders/>
            <w:shd w:fill="auto" w:val="clear"/>
            <w:vAlign w:val="center"/>
          </w:tcPr>
          <w:p>
            <w:pPr>
              <w:pStyle w:val="TableContents"/>
              <w:spacing w:before="0" w:after="0"/>
              <w:ind w:left="0" w:right="0" w:firstLine="30"/>
              <w:jc w:val="left"/>
              <w:rPr/>
            </w:pPr>
            <w:r>
              <w:rPr/>
              <w:t> </w:t>
            </w:r>
          </w:p>
        </w:tc>
        <w:tc>
          <w:tcPr>
            <w:tcW w:w="100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09" w:type="dxa"/>
            <w:tcBorders/>
            <w:shd w:fill="auto" w:val="clear"/>
            <w:vAlign w:val="center"/>
          </w:tcPr>
          <w:p>
            <w:pPr>
              <w:pStyle w:val="TableContents"/>
              <w:spacing w:before="0" w:after="0"/>
              <w:ind w:left="0" w:right="0" w:firstLine="30"/>
              <w:rPr/>
            </w:pPr>
            <w:r>
              <w:rPr/>
              <w:t> </w:t>
            </w:r>
          </w:p>
        </w:tc>
        <w:tc>
          <w:tcPr>
            <w:tcW w:w="100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1505" w:type="dxa"/>
            <w:vMerge w:val="continue"/>
            <w:tcBorders>
              <w:bottom w:val="single" w:sz="2" w:space="0" w:color="000000"/>
            </w:tcBorders>
            <w:shd w:fill="auto" w:val="clear"/>
            <w:tcMar>
              <w:bottom w:w="30" w:type="dxa"/>
            </w:tcMar>
            <w:vAlign w:val="center"/>
          </w:tcPr>
          <w:p>
            <w:pPr>
              <w:pStyle w:val="Normal"/>
              <w:rPr/>
            </w:pPr>
            <w:r>
              <w:rPr/>
            </w:r>
          </w:p>
        </w:tc>
      </w:tr>
      <w:tr>
        <w:trPr/>
        <w:tc>
          <w:tcPr>
            <w:tcW w:w="4760" w:type="dxa"/>
            <w:tcBorders/>
            <w:shd w:fill="auto" w:val="clear"/>
            <w:vAlign w:val="center"/>
          </w:tcPr>
          <w:p>
            <w:pPr>
              <w:pStyle w:val="TableContents"/>
              <w:spacing w:before="0" w:after="0"/>
              <w:ind w:left="0" w:right="0" w:firstLine="30"/>
              <w:rPr/>
            </w:pPr>
            <w:r>
              <w:rPr/>
              <w:t> </w:t>
            </w:r>
          </w:p>
        </w:tc>
        <w:tc>
          <w:tcPr>
            <w:tcW w:w="1004" w:type="dxa"/>
            <w:gridSpan w:val="3"/>
            <w:tcBorders/>
            <w:shd w:fill="auto" w:val="cle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ind w:left="0" w:right="0" w:firstLine="30"/>
              <w:rPr/>
            </w:pPr>
            <w:r>
              <w:rPr/>
              <w:t> </w:t>
            </w:r>
          </w:p>
        </w:tc>
        <w:tc>
          <w:tcPr>
            <w:tcW w:w="100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760" w:type="dxa"/>
            <w:tcBorders/>
            <w:shd w:fill="auto" w:val="clear"/>
            <w:vAlign w:val="center"/>
          </w:tcPr>
          <w:p>
            <w:pPr>
              <w:pStyle w:val="TableContents"/>
              <w:spacing w:before="0" w:after="0"/>
              <w:ind w:left="0" w:right="0" w:firstLine="30"/>
              <w:jc w:val="left"/>
              <w:rPr/>
            </w:pPr>
            <w:r>
              <w:rPr/>
              <w:t> </w:t>
            </w:r>
          </w:p>
        </w:tc>
        <w:tc>
          <w:tcPr>
            <w:tcW w:w="2117"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5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18" w:type="dxa"/>
            <w:tcBorders/>
            <w:shd w:fill="CCEEFF" w:val="clear"/>
            <w:vAlign w:val="center"/>
          </w:tcPr>
          <w:p>
            <w:pPr>
              <w:pStyle w:val="TableContents"/>
              <w:spacing w:before="0" w:after="0"/>
              <w:jc w:val="right"/>
              <w:rPr>
                <w:rFonts w:ascii="inherit" w:hAnsi="inherit"/>
                <w:sz w:val="17"/>
              </w:rPr>
            </w:pPr>
            <w:r>
              <w:rPr>
                <w:rFonts w:ascii="inherit" w:hAnsi="inherit"/>
                <w:sz w:val="17"/>
              </w:rPr>
              <w:t>72,667</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18" w:type="dxa"/>
            <w:tcBorders/>
            <w:shd w:fill="CCEEFF" w:val="clear"/>
            <w:vAlign w:val="center"/>
          </w:tcPr>
          <w:p>
            <w:pPr>
              <w:pStyle w:val="TableContents"/>
              <w:spacing w:before="0" w:after="0"/>
              <w:jc w:val="right"/>
              <w:rPr>
                <w:rFonts w:ascii="inherit" w:hAnsi="inherit"/>
                <w:sz w:val="17"/>
              </w:rPr>
            </w:pPr>
            <w:r>
              <w:rPr>
                <w:rFonts w:ascii="inherit" w:hAnsi="inherit"/>
                <w:sz w:val="17"/>
              </w:rPr>
              <w:t>66,225</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10%</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 (income):</w:t>
            </w:r>
          </w:p>
        </w:tc>
        <w:tc>
          <w:tcPr>
            <w:tcW w:w="1004" w:type="dxa"/>
            <w:gridSpan w:val="3"/>
            <w:tcBorders/>
            <w:shd w:fill="auto" w:val="cle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ind w:left="0" w:right="0" w:firstLine="30"/>
              <w:rPr/>
            </w:pPr>
            <w:r>
              <w:rPr/>
              <w:t> </w:t>
            </w:r>
          </w:p>
        </w:tc>
        <w:tc>
          <w:tcPr>
            <w:tcW w:w="100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rPr/>
            </w:pPr>
            <w:r>
              <w:rPr/>
              <w:t> </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26,659</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27,210</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(2)%</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3,989</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5,735</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(30)%</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pPr>
            <w:r>
              <w:rPr/>
              <w:t>—</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11,673</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11,188</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4%</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(7,138</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(4,447</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61%</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8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(179</w:t>
            </w:r>
          </w:p>
        </w:tc>
        <w:tc>
          <w:tcPr>
            <w:tcW w:w="13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8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(189</w:t>
            </w:r>
          </w:p>
        </w:tc>
        <w:tc>
          <w:tcPr>
            <w:tcW w:w="13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780"/>
              <w:jc w:val="center"/>
              <w:rPr>
                <w:rFonts w:ascii="inherit" w:hAnsi="inherit"/>
                <w:sz w:val="17"/>
              </w:rPr>
            </w:pPr>
            <w:r>
              <w:rPr>
                <w:rFonts w:ascii="inherit" w:hAnsi="inherit"/>
                <w:sz w:val="17"/>
              </w:rPr>
              <w:t>(5)%</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37,652</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26,728</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41%</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8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13,358</w:t>
            </w:r>
          </w:p>
        </w:tc>
        <w:tc>
          <w:tcPr>
            <w:tcW w:w="13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8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10,231</w:t>
            </w:r>
          </w:p>
        </w:tc>
        <w:tc>
          <w:tcPr>
            <w:tcW w:w="13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24,294</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16,497</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47%</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8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(722</w:t>
            </w:r>
          </w:p>
        </w:tc>
        <w:tc>
          <w:tcPr>
            <w:tcW w:w="13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8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(1,603</w:t>
            </w:r>
          </w:p>
        </w:tc>
        <w:tc>
          <w:tcPr>
            <w:tcW w:w="13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(55)%</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23,572</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14,894</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58%</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loss attributable to noncontrolling interest</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(989</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(294</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236%</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24,561</w:t>
            </w:r>
          </w:p>
        </w:tc>
        <w:tc>
          <w:tcPr>
            <w:tcW w:w="13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15,188</w:t>
            </w:r>
          </w:p>
        </w:tc>
        <w:tc>
          <w:tcPr>
            <w:tcW w:w="13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jc w:val="center"/>
              <w:rPr>
                <w:rFonts w:ascii="inherit" w:hAnsi="inherit"/>
                <w:sz w:val="17"/>
              </w:rPr>
            </w:pPr>
            <w:r>
              <w:rPr>
                <w:rFonts w:ascii="inherit" w:hAnsi="inherit"/>
                <w:sz w:val="17"/>
              </w:rPr>
              <w:t>62%</w:t>
            </w:r>
          </w:p>
        </w:tc>
      </w:tr>
    </w:tbl>
    <w:tbl>
      <w:tblPr>
        <w:tblW w:w="4465" w:type="dxa"/>
        <w:jc w:val="left"/>
        <w:tblInd w:w="0" w:type="dxa"/>
        <w:tblCellMar>
          <w:top w:w="0" w:type="dxa"/>
          <w:left w:w="0" w:type="dxa"/>
          <w:bottom w:w="0" w:type="dxa"/>
          <w:right w:w="0" w:type="dxa"/>
        </w:tblCellMar>
      </w:tblPr>
      <w:tblGrid>
        <w:gridCol w:w="140"/>
        <w:gridCol w:w="4325"/>
      </w:tblGrid>
      <w:tr>
        <w:trPr/>
        <w:tc>
          <w:tcPr>
            <w:tcW w:w="4465" w:type="dxa"/>
            <w:gridSpan w:val="2"/>
            <w:tcBorders/>
            <w:shd w:fill="auto" w:val="clear"/>
            <w:vAlign w:val="center"/>
          </w:tcPr>
          <w:p>
            <w:pPr>
              <w:pStyle w:val="TableContents"/>
              <w:spacing w:before="0" w:after="283"/>
              <w:rPr>
                <w:sz w:val="4"/>
                <w:szCs w:val="4"/>
              </w:rPr>
            </w:pPr>
            <w:r>
              <w:rPr>
                <w:sz w:val="4"/>
                <w:szCs w:val="4"/>
              </w:rPr>
            </w:r>
          </w:p>
        </w:tc>
      </w:tr>
      <w:tr>
        <w:trPr/>
        <w:tc>
          <w:tcPr>
            <w:tcW w:w="140" w:type="dxa"/>
            <w:tcBorders/>
            <w:shd w:fill="auto" w:val="clear"/>
            <w:vAlign w:val="center"/>
          </w:tcPr>
          <w:p>
            <w:pPr>
              <w:pStyle w:val="TableContents"/>
              <w:spacing w:before="0" w:after="283"/>
              <w:rPr>
                <w:sz w:val="4"/>
                <w:szCs w:val="4"/>
              </w:rPr>
            </w:pPr>
            <w:r>
              <w:rPr>
                <w:sz w:val="4"/>
                <w:szCs w:val="4"/>
              </w:rPr>
            </w:r>
          </w:p>
        </w:tc>
        <w:tc>
          <w:tcPr>
            <w:tcW w:w="43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4325" w:type="dxa"/>
            <w:tcBorders/>
            <w:shd w:fill="auto" w:val="clear"/>
            <w:vAlign w:val="center"/>
          </w:tcPr>
          <w:p>
            <w:pPr>
              <w:pStyle w:val="TableContents"/>
              <w:spacing w:before="0" w:after="0"/>
              <w:ind w:left="0" w:right="0" w:hanging="180"/>
              <w:jc w:val="left"/>
              <w:rPr>
                <w:rFonts w:ascii="inherit" w:hAnsi="inherit"/>
                <w:sz w:val="13"/>
              </w:rPr>
            </w:pPr>
            <w:r>
              <w:rPr>
                <w:rFonts w:ascii="inherit" w:hAnsi="inherit"/>
                <w:sz w:val="13"/>
              </w:rPr>
              <w:t>Represents an increase or decrease that is not meaningful.</w:t>
            </w:r>
          </w:p>
        </w:tc>
      </w:tr>
    </w:tbl>
    <w:p>
      <w:pPr>
        <w:pStyle w:val="TextBody"/>
        <w:spacing w:lineRule="auto" w:line="288" w:before="0" w:after="0"/>
        <w:jc w:val="left"/>
        <w:rPr>
          <w:rFonts w:ascii="inherit" w:hAnsi="inherit"/>
          <w:sz w:val="17"/>
        </w:rPr>
      </w:pPr>
      <w:r>
        <w:rPr>
          <w:rFonts w:ascii="inherit" w:hAnsi="inherit"/>
          <w:sz w:val="17"/>
        </w:rPr>
        <w:t>Administrative expenses decreased $0.6 million, or 2%, including the impact of $0.4 million of acquisition-related expenses in the current six-months, as we continue to focus on controlling administrative expenditures despite the growth of the business.</w:t>
      </w:r>
    </w:p>
    <w:p>
      <w:pPr>
        <w:pStyle w:val="TextBody"/>
        <w:spacing w:lineRule="auto" w:line="288" w:before="0" w:after="0"/>
        <w:rPr>
          <w:rFonts w:ascii="inherit" w:hAnsi="inherit"/>
          <w:sz w:val="17"/>
        </w:rPr>
      </w:pPr>
      <w:r>
        <w:rPr>
          <w:rFonts w:ascii="inherit" w:hAnsi="inherit"/>
          <w:sz w:val="17"/>
        </w:rPr>
        <w:t>Depreciation and amortization expense decreased $1.7 million, or 30%, primarily due to acceleration of depreciation in the prior-year six-months for certain assets resulting from a decrease in useful life estimates.</w:t>
      </w:r>
    </w:p>
    <w:p>
      <w:pPr>
        <w:pStyle w:val="TextBody"/>
        <w:spacing w:lineRule="auto" w:line="288" w:before="0" w:after="0"/>
        <w:rPr>
          <w:rFonts w:ascii="inherit" w:hAnsi="inherit"/>
          <w:sz w:val="17"/>
        </w:rPr>
      </w:pPr>
      <w:r>
        <w:rPr>
          <w:rFonts w:ascii="inherit" w:hAnsi="inherit"/>
          <w:sz w:val="17"/>
        </w:rPr>
        <w:t>Interest expense increased $0.5 million, or 4%, primarily due to an increase in long-term debt outstanding during the current six-months, offset by a decrease in the weighted interest rates accrued thereon.</w:t>
      </w:r>
    </w:p>
    <w:p>
      <w:pPr>
        <w:pStyle w:val="TextBody"/>
        <w:spacing w:lineRule="auto" w:line="288" w:before="0" w:after="0"/>
        <w:rPr>
          <w:rFonts w:ascii="inherit" w:hAnsi="inherit"/>
          <w:sz w:val="17"/>
        </w:rPr>
      </w:pPr>
      <w:r>
        <w:rPr>
          <w:rFonts w:ascii="inherit" w:hAnsi="inherit"/>
          <w:sz w:val="17"/>
        </w:rPr>
        <w:t>Interest income increased $2.7 million, or 61%, as a result of our note receivable from the sale of Grupo Finmart which was restructured in September 2017, including ordinary accruals of interest in addition to accretion of associated deferred compensation amounts. Grupo Finmart has continued to make timely monthly principal and interest payments on the notes following the restructuring.</w:t>
      </w:r>
    </w:p>
    <w:p>
      <w:pPr>
        <w:pStyle w:val="TextBody"/>
        <w:spacing w:lineRule="auto" w:line="288" w:before="0" w:after="0"/>
        <w:rPr>
          <w:rFonts w:ascii="inherit" w:hAnsi="inherit"/>
          <w:sz w:val="17"/>
        </w:rPr>
      </w:pPr>
      <w:r>
        <w:rPr>
          <w:rFonts w:ascii="inherit" w:hAnsi="inherit"/>
          <w:sz w:val="17"/>
        </w:rPr>
        <w:t>Income tax expense increased $3.1 million, or 31%, due primarily to the impacts of a $10.9 million, or 41%, increase in income from continuing operations before income taxes and the impact of certain discrete items discussed below. 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pStyle w:val="TextBody"/>
        <w:spacing w:lineRule="auto" w:line="288" w:before="0" w:after="0"/>
        <w:rPr>
          <w:sz w:val="17"/>
        </w:rPr>
      </w:pPr>
      <w:r>
        <w:rPr>
          <w:rFonts w:ascii="inherit" w:hAnsi="inherit"/>
          <w:sz w:val="17"/>
        </w:rPr>
        <w:t>On December 22, 2017, the Tax Cuts and Jobs Act of 2017 (the "Act") was signed into law. Among other things, the Act reduces the U.S. federal corporate tax rate from 35%</w:t>
      </w:r>
      <w:r>
        <w:rPr>
          <w:sz w:val="17"/>
        </w:rPr>
        <w:t xml:space="preserve"> </w:t>
      </w:r>
      <w:r>
        <w:rPr>
          <w:rFonts w:ascii="inherit" w:hAnsi="inherit"/>
          <w:sz w:val="17"/>
        </w:rPr>
        <w:t>to 21%, requires companies to pay a one-time transition tax on earnings of certain foreign subsidiaries that were previously tax deferred and creates new taxes on certain foreign sourced earnings. The corporate tax rate reduction was effective as of January 1, 2018 and, accordingly, reduced our current fiscal year federal statutory rate to a blended rate of 24.5%, and will further reduce it to 21%</w:t>
      </w:r>
      <w:r>
        <w:rPr>
          <w:sz w:val="17"/>
        </w:rPr>
        <w:t xml:space="preserve"> </w:t>
      </w:r>
      <w:r>
        <w:rPr>
          <w:rFonts w:ascii="inherit" w:hAnsi="inherit"/>
          <w:sz w:val="17"/>
        </w:rPr>
        <w:t>beginning in fiscal 2019. As of March 31, 2018, while we are able to make reasonable estimates of the impact of the reduction in the corporate rate and the deemed repatriation transition tax, the final impact of the Act may differ from these estimates, due to, among other things, changes in our interpretations and assumptions, additional guidance that may be issued by the Internal Revenue Service, and actions we may take. We are continuing to gather additional information to determine the final impact of the Act. We recognized $2.8 million</w:t>
      </w:r>
      <w:r>
        <w:rPr>
          <w:sz w:val="17"/>
        </w:rPr>
        <w:t xml:space="preserve"> </w:t>
      </w:r>
      <w:r>
        <w:rPr>
          <w:rFonts w:ascii="inherit" w:hAnsi="inherit"/>
          <w:sz w:val="17"/>
        </w:rPr>
        <w:t xml:space="preserve">for the revaluation of our deferred tax assets and liabilities upon enactment of the Act, which is included as a component of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36</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"Income tax expense" in our condensed consolidated statements of operations in the current six-months. We anticipate recording another charge in the fiscal quarter ending September 30, 2018 as we have balances related to our short-term deferred tax assets and liabilities that are recorded at 24.5% but reverse at 21% in fiscal 2019. We believe we have adequate foreign tax credit carryforwards to fully offset any transition tax on the total post-1986 foreign earnings and profit of our foreign subsidiaries as required under the Act.</w:t>
      </w:r>
    </w:p>
    <w:p>
      <w:pPr>
        <w:pStyle w:val="TextBody"/>
        <w:spacing w:lineRule="auto" w:line="288" w:before="0" w:after="0"/>
        <w:rPr>
          <w:rFonts w:ascii="inherit" w:hAnsi="inherit"/>
          <w:sz w:val="17"/>
        </w:rPr>
      </w:pPr>
      <w:r>
        <w:rPr>
          <w:rFonts w:ascii="inherit" w:hAnsi="inherit"/>
          <w:sz w:val="17"/>
        </w:rPr>
        <w:t>Loss from discontinued operations was primarily comprised of the write-off of balances from a discontinued business which we previously anticipated to collect.</w:t>
      </w:r>
    </w:p>
    <w:p>
      <w:pPr>
        <w:pStyle w:val="TextBody"/>
        <w:spacing w:lineRule="auto" w:line="288" w:before="0" w:after="0"/>
        <w:rPr>
          <w:rFonts w:ascii="inherit" w:hAnsi="inherit"/>
          <w:b/>
          <w:sz w:val="17"/>
        </w:rPr>
      </w:pPr>
      <w:bookmarkStart w:id="33" w:name="s0BEDEAC6358C5466917963089639C67B"/>
      <w:bookmarkEnd w:id="33"/>
      <w:r>
        <w:rPr>
          <w:rFonts w:ascii="inherit" w:hAnsi="inherit"/>
          <w:b/>
          <w:sz w:val="17"/>
        </w:rPr>
        <w:t>Liquidity and Capital Resources</w:t>
      </w:r>
    </w:p>
    <w:p>
      <w:pPr>
        <w:pStyle w:val="TextBody"/>
        <w:spacing w:lineRule="auto" w:line="288" w:before="0" w:after="0"/>
        <w:jc w:val="left"/>
        <w:rPr>
          <w:rFonts w:ascii="inherit" w:hAnsi="inherit"/>
          <w:b/>
          <w:i/>
          <w:sz w:val="17"/>
        </w:rPr>
      </w:pPr>
      <w:r>
        <w:rPr>
          <w:rFonts w:ascii="inherit" w:hAnsi="inherit"/>
          <w:b/>
          <w:i/>
          <w:sz w:val="17"/>
        </w:rPr>
        <w:t>Cash Flows</w:t>
      </w:r>
    </w:p>
    <w:p>
      <w:pPr>
        <w:pStyle w:val="TextBody"/>
        <w:spacing w:lineRule="auto" w:line="288" w:before="0" w:after="0"/>
        <w:rPr>
          <w:rFonts w:ascii="inherit" w:hAnsi="inherit"/>
          <w:sz w:val="17"/>
        </w:rPr>
      </w:pPr>
      <w:r>
        <w:rPr>
          <w:rFonts w:ascii="inherit" w:hAnsi="inherit"/>
          <w:sz w:val="17"/>
        </w:rPr>
        <w:t>The table and discussion below presents a summary of the selected sources and uses of our cash:</w:t>
      </w:r>
    </w:p>
    <w:tbl>
      <w:tblPr>
        <w:tblW w:w="8352" w:type="dxa"/>
        <w:jc w:val="left"/>
        <w:tblInd w:w="0" w:type="dxa"/>
        <w:tblCellMar>
          <w:top w:w="0" w:type="dxa"/>
          <w:left w:w="0" w:type="dxa"/>
          <w:bottom w:w="0" w:type="dxa"/>
          <w:right w:w="0" w:type="dxa"/>
        </w:tblCellMar>
      </w:tblPr>
      <w:tblGrid>
        <w:gridCol w:w="5270"/>
        <w:gridCol w:w="152"/>
        <w:gridCol w:w="718"/>
        <w:gridCol w:w="134"/>
        <w:gridCol w:w="109"/>
        <w:gridCol w:w="152"/>
        <w:gridCol w:w="718"/>
        <w:gridCol w:w="134"/>
        <w:gridCol w:w="90"/>
        <w:gridCol w:w="875"/>
      </w:tblGrid>
      <w:tr>
        <w:trPr/>
        <w:tc>
          <w:tcPr>
            <w:tcW w:w="8352" w:type="dxa"/>
            <w:gridSpan w:val="10"/>
            <w:tcBorders/>
            <w:shd w:fill="auto" w:val="clear"/>
            <w:vAlign w:val="center"/>
          </w:tcPr>
          <w:p>
            <w:pPr>
              <w:pStyle w:val="TableContents"/>
              <w:spacing w:before="0" w:after="283"/>
              <w:rPr>
                <w:sz w:val="4"/>
                <w:szCs w:val="4"/>
              </w:rPr>
            </w:pPr>
            <w:r>
              <w:rPr>
                <w:sz w:val="4"/>
                <w:szCs w:val="4"/>
              </w:rPr>
            </w:r>
          </w:p>
        </w:tc>
      </w:tr>
      <w:tr>
        <w:trPr/>
        <w:tc>
          <w:tcPr>
            <w:tcW w:w="527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70" w:type="dxa"/>
            <w:tcBorders/>
            <w:shd w:fill="auto" w:val="clear"/>
            <w:vAlign w:val="center"/>
          </w:tcPr>
          <w:p>
            <w:pPr>
              <w:pStyle w:val="TableContents"/>
              <w:spacing w:before="0" w:after="0"/>
              <w:ind w:left="0" w:right="0" w:firstLine="30"/>
              <w:jc w:val="left"/>
              <w:rPr/>
            </w:pPr>
            <w:r>
              <w:rPr/>
              <w:t> </w:t>
            </w:r>
          </w:p>
        </w:tc>
        <w:tc>
          <w:tcPr>
            <w:tcW w:w="211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c>
          <w:tcPr>
            <w:tcW w:w="90" w:type="dxa"/>
            <w:tcBorders/>
            <w:shd w:fill="auto" w:val="clear"/>
            <w:vAlign w:val="center"/>
          </w:tcPr>
          <w:p>
            <w:pPr>
              <w:pStyle w:val="TableContents"/>
              <w:spacing w:before="0" w:after="0"/>
              <w:ind w:left="0" w:right="0" w:firstLine="30"/>
              <w:rPr/>
            </w:pPr>
            <w:r>
              <w:rPr/>
              <w:t> </w:t>
            </w:r>
          </w:p>
        </w:tc>
        <w:tc>
          <w:tcPr>
            <w:tcW w:w="875" w:type="dxa"/>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Percentage</w:t>
            </w:r>
          </w:p>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5270" w:type="dxa"/>
            <w:tcBorders/>
            <w:shd w:fill="auto" w:val="clear"/>
            <w:vAlign w:val="center"/>
          </w:tcPr>
          <w:p>
            <w:pPr>
              <w:pStyle w:val="TableContents"/>
              <w:spacing w:before="0" w:after="0"/>
              <w:ind w:left="0" w:right="0" w:firstLine="30"/>
              <w:jc w:val="left"/>
              <w:rPr/>
            </w:pPr>
            <w:r>
              <w:rPr/>
              <w:t> </w:t>
            </w:r>
          </w:p>
        </w:tc>
        <w:tc>
          <w:tcPr>
            <w:tcW w:w="100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09" w:type="dxa"/>
            <w:tcBorders/>
            <w:shd w:fill="auto" w:val="clear"/>
            <w:vAlign w:val="center"/>
          </w:tcPr>
          <w:p>
            <w:pPr>
              <w:pStyle w:val="TableContents"/>
              <w:spacing w:before="0" w:after="0"/>
              <w:ind w:left="0" w:right="0" w:firstLine="30"/>
              <w:rPr/>
            </w:pPr>
            <w:r>
              <w:rPr/>
              <w:t> </w:t>
            </w:r>
          </w:p>
        </w:tc>
        <w:tc>
          <w:tcPr>
            <w:tcW w:w="100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875" w:type="dxa"/>
            <w:vMerge w:val="continue"/>
            <w:tcBorders>
              <w:bottom w:val="single" w:sz="2" w:space="0" w:color="000000"/>
            </w:tcBorders>
            <w:shd w:fill="auto" w:val="clear"/>
            <w:tcMar>
              <w:bottom w:w="30" w:type="dxa"/>
            </w:tcMar>
            <w:vAlign w:val="center"/>
          </w:tcPr>
          <w:p>
            <w:pPr>
              <w:pStyle w:val="Normal"/>
              <w:rPr/>
            </w:pPr>
            <w:r>
              <w:rPr/>
            </w:r>
          </w:p>
        </w:tc>
      </w:tr>
      <w:tr>
        <w:trPr/>
        <w:tc>
          <w:tcPr>
            <w:tcW w:w="5270" w:type="dxa"/>
            <w:tcBorders/>
            <w:shd w:fill="auto" w:val="clear"/>
            <w:vAlign w:val="center"/>
          </w:tcPr>
          <w:p>
            <w:pPr>
              <w:pStyle w:val="TableContents"/>
              <w:spacing w:before="0" w:after="0"/>
              <w:ind w:left="0" w:right="0" w:firstLine="30"/>
              <w:rPr/>
            </w:pPr>
            <w:r>
              <w:rPr/>
              <w:t> </w:t>
            </w:r>
          </w:p>
        </w:tc>
        <w:tc>
          <w:tcPr>
            <w:tcW w:w="1004" w:type="dxa"/>
            <w:gridSpan w:val="3"/>
            <w:tcBorders/>
            <w:shd w:fill="auto" w:val="cle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ind w:left="0" w:right="0" w:firstLine="30"/>
              <w:rPr/>
            </w:pPr>
            <w:r>
              <w:rPr/>
              <w:t> </w:t>
            </w:r>
          </w:p>
        </w:tc>
        <w:tc>
          <w:tcPr>
            <w:tcW w:w="100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75" w:type="dxa"/>
            <w:tcBorders/>
            <w:shd w:fill="auto" w:val="clear"/>
            <w:vAlign w:val="center"/>
          </w:tcPr>
          <w:p>
            <w:pPr>
              <w:pStyle w:val="TableContents"/>
              <w:spacing w:before="0" w:after="0"/>
              <w:ind w:left="0" w:right="0" w:firstLine="30"/>
              <w:rPr/>
            </w:pPr>
            <w:r>
              <w:rPr/>
              <w:t> </w:t>
            </w:r>
          </w:p>
        </w:tc>
      </w:tr>
      <w:tr>
        <w:trPr/>
        <w:tc>
          <w:tcPr>
            <w:tcW w:w="5270" w:type="dxa"/>
            <w:tcBorders/>
            <w:shd w:fill="auto" w:val="clear"/>
            <w:vAlign w:val="center"/>
          </w:tcPr>
          <w:p>
            <w:pPr>
              <w:pStyle w:val="TableContents"/>
              <w:spacing w:before="0" w:after="0"/>
              <w:ind w:left="0" w:right="0" w:firstLine="30"/>
              <w:jc w:val="left"/>
              <w:rPr/>
            </w:pPr>
            <w:r>
              <w:rPr/>
              <w:t> </w:t>
            </w:r>
          </w:p>
        </w:tc>
        <w:tc>
          <w:tcPr>
            <w:tcW w:w="2117"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875" w:type="dxa"/>
            <w:tcBorders/>
            <w:shd w:fill="auto" w:val="clear"/>
            <w:vAlign w:val="center"/>
          </w:tcPr>
          <w:p>
            <w:pPr>
              <w:pStyle w:val="TableContents"/>
              <w:spacing w:before="0" w:after="0"/>
              <w:ind w:left="0" w:right="0" w:firstLine="30"/>
              <w:jc w:val="left"/>
              <w:rPr/>
            </w:pPr>
            <w:r>
              <w:rPr/>
              <w:t> </w:t>
            </w:r>
          </w:p>
        </w:tc>
      </w:tr>
      <w:tr>
        <w:trPr/>
        <w:tc>
          <w:tcPr>
            <w:tcW w:w="52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flows from operating activities</w:t>
            </w:r>
          </w:p>
        </w:tc>
        <w:tc>
          <w:tcPr>
            <w:tcW w:w="15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18" w:type="dxa"/>
            <w:tcBorders/>
            <w:shd w:fill="CCEEFF" w:val="clear"/>
            <w:vAlign w:val="center"/>
          </w:tcPr>
          <w:p>
            <w:pPr>
              <w:pStyle w:val="TableContents"/>
              <w:spacing w:before="0" w:after="0"/>
              <w:jc w:val="right"/>
              <w:rPr>
                <w:rFonts w:ascii="inherit" w:hAnsi="inherit"/>
                <w:sz w:val="17"/>
              </w:rPr>
            </w:pPr>
            <w:r>
              <w:rPr>
                <w:rFonts w:ascii="inherit" w:hAnsi="inherit"/>
                <w:sz w:val="17"/>
              </w:rPr>
              <w:t>45,541</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18" w:type="dxa"/>
            <w:tcBorders/>
            <w:shd w:fill="CCEEFF" w:val="clear"/>
            <w:vAlign w:val="center"/>
          </w:tcPr>
          <w:p>
            <w:pPr>
              <w:pStyle w:val="TableContents"/>
              <w:spacing w:before="0" w:after="0"/>
              <w:jc w:val="right"/>
              <w:rPr>
                <w:rFonts w:ascii="inherit" w:hAnsi="inherit"/>
                <w:sz w:val="17"/>
              </w:rPr>
            </w:pPr>
            <w:r>
              <w:rPr>
                <w:rFonts w:ascii="inherit" w:hAnsi="inherit"/>
                <w:sz w:val="17"/>
              </w:rPr>
              <w:t>20,692</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120%</w:t>
            </w:r>
          </w:p>
        </w:tc>
      </w:tr>
      <w:tr>
        <w:trPr/>
        <w:tc>
          <w:tcPr>
            <w:tcW w:w="52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flows from investing activities</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(49,474</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33,745</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r>
      <w:tr>
        <w:trPr/>
        <w:tc>
          <w:tcPr>
            <w:tcW w:w="52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flows from financing activities</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(311</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(767</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7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59%</w:t>
            </w:r>
          </w:p>
        </w:tc>
      </w:tr>
      <w:tr>
        <w:trPr/>
        <w:tc>
          <w:tcPr>
            <w:tcW w:w="52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 of exchange rate changes on cash and cash equivalents</w:t>
            </w:r>
          </w:p>
        </w:tc>
        <w:tc>
          <w:tcPr>
            <w:tcW w:w="8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(237</w:t>
            </w:r>
          </w:p>
        </w:tc>
        <w:tc>
          <w:tcPr>
            <w:tcW w:w="13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8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692</w:t>
            </w:r>
          </w:p>
        </w:tc>
        <w:tc>
          <w:tcPr>
            <w:tcW w:w="13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w:t>
            </w:r>
          </w:p>
        </w:tc>
      </w:tr>
      <w:tr>
        <w:trPr/>
        <w:tc>
          <w:tcPr>
            <w:tcW w:w="52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(decrease) increase in cash and cash equivalents</w:t>
            </w:r>
          </w:p>
        </w:tc>
        <w:tc>
          <w:tcPr>
            <w:tcW w:w="1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(4,481</w:t>
            </w:r>
          </w:p>
        </w:tc>
        <w:tc>
          <w:tcPr>
            <w:tcW w:w="1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CCEEFF"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54,362</w:t>
            </w:r>
          </w:p>
        </w:tc>
        <w:tc>
          <w:tcPr>
            <w:tcW w:w="13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5" w:type="dxa"/>
            <w:tcBorders/>
            <w:shd w:fill="CCEEFF" w:val="clear"/>
            <w:vAlign w:val="center"/>
          </w:tcPr>
          <w:p>
            <w:pPr>
              <w:pStyle w:val="TableContents"/>
              <w:spacing w:before="0" w:after="0"/>
              <w:jc w:val="center"/>
              <w:rPr>
                <w:rFonts w:ascii="inherit" w:hAnsi="inherit"/>
                <w:sz w:val="17"/>
              </w:rPr>
            </w:pPr>
            <w:r>
              <w:rPr>
                <w:rFonts w:ascii="inherit" w:hAnsi="inherit"/>
                <w:sz w:val="17"/>
              </w:rPr>
              <w:t>*</w:t>
            </w:r>
          </w:p>
        </w:tc>
      </w:tr>
    </w:tbl>
    <w:tbl>
      <w:tblPr>
        <w:tblW w:w="4465" w:type="dxa"/>
        <w:jc w:val="left"/>
        <w:tblInd w:w="0" w:type="dxa"/>
        <w:tblCellMar>
          <w:top w:w="0" w:type="dxa"/>
          <w:left w:w="0" w:type="dxa"/>
          <w:bottom w:w="0" w:type="dxa"/>
          <w:right w:w="0" w:type="dxa"/>
        </w:tblCellMar>
      </w:tblPr>
      <w:tblGrid>
        <w:gridCol w:w="140"/>
        <w:gridCol w:w="4325"/>
      </w:tblGrid>
      <w:tr>
        <w:trPr/>
        <w:tc>
          <w:tcPr>
            <w:tcW w:w="4465" w:type="dxa"/>
            <w:gridSpan w:val="2"/>
            <w:tcBorders/>
            <w:shd w:fill="auto" w:val="clear"/>
            <w:vAlign w:val="center"/>
          </w:tcPr>
          <w:p>
            <w:pPr>
              <w:pStyle w:val="TableContents"/>
              <w:spacing w:before="0" w:after="283"/>
              <w:rPr>
                <w:sz w:val="4"/>
                <w:szCs w:val="4"/>
              </w:rPr>
            </w:pPr>
            <w:r>
              <w:rPr>
                <w:sz w:val="4"/>
                <w:szCs w:val="4"/>
              </w:rPr>
            </w:r>
          </w:p>
        </w:tc>
      </w:tr>
      <w:tr>
        <w:trPr/>
        <w:tc>
          <w:tcPr>
            <w:tcW w:w="140" w:type="dxa"/>
            <w:tcBorders/>
            <w:shd w:fill="auto" w:val="clear"/>
            <w:vAlign w:val="center"/>
          </w:tcPr>
          <w:p>
            <w:pPr>
              <w:pStyle w:val="TableContents"/>
              <w:spacing w:before="0" w:after="283"/>
              <w:rPr>
                <w:sz w:val="4"/>
                <w:szCs w:val="4"/>
              </w:rPr>
            </w:pPr>
            <w:r>
              <w:rPr>
                <w:sz w:val="4"/>
                <w:szCs w:val="4"/>
              </w:rPr>
            </w:r>
          </w:p>
        </w:tc>
        <w:tc>
          <w:tcPr>
            <w:tcW w:w="43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4325" w:type="dxa"/>
            <w:tcBorders/>
            <w:shd w:fill="auto" w:val="clear"/>
            <w:vAlign w:val="center"/>
          </w:tcPr>
          <w:p>
            <w:pPr>
              <w:pStyle w:val="TableContents"/>
              <w:spacing w:before="0" w:after="0"/>
              <w:ind w:left="0" w:right="0" w:hanging="180"/>
              <w:jc w:val="left"/>
              <w:rPr>
                <w:rFonts w:ascii="inherit" w:hAnsi="inherit"/>
                <w:sz w:val="13"/>
              </w:rPr>
            </w:pPr>
            <w:r>
              <w:rPr>
                <w:rFonts w:ascii="inherit" w:hAnsi="inherit"/>
                <w:sz w:val="13"/>
              </w:rPr>
              <w:t>Represents an increase or decrease that is not meaningful.</w:t>
            </w:r>
          </w:p>
        </w:tc>
      </w:tr>
    </w:tbl>
    <w:p>
      <w:pPr>
        <w:pStyle w:val="TextBody"/>
        <w:spacing w:lineRule="auto" w:line="288" w:before="0" w:after="0"/>
        <w:rPr>
          <w:sz w:val="17"/>
        </w:rPr>
      </w:pPr>
      <w:r>
        <w:rPr>
          <w:rFonts w:ascii="inherit" w:hAnsi="inherit"/>
          <w:i/>
          <w:sz w:val="17"/>
        </w:rPr>
        <w:t>Change in Cash and Cash Equivalents for the Six Months Ended March 31, 2018</w:t>
      </w:r>
      <w:r>
        <w:rPr>
          <w:sz w:val="17"/>
        </w:rPr>
        <w:t xml:space="preserve"> </w:t>
      </w:r>
      <w:r>
        <w:rPr>
          <w:rFonts w:ascii="inherit" w:hAnsi="inherit"/>
          <w:i/>
          <w:sz w:val="17"/>
        </w:rPr>
        <w:t>vs. Six Months Ended March 31, 2017</w:t>
      </w:r>
      <w:r>
        <w:rPr>
          <w:sz w:val="17"/>
        </w:rPr>
        <w:t xml:space="preserve"> </w:t>
      </w:r>
    </w:p>
    <w:p>
      <w:pPr>
        <w:pStyle w:val="TextBody"/>
        <w:spacing w:lineRule="auto" w:line="288" w:before="0" w:after="0"/>
        <w:rPr>
          <w:sz w:val="17"/>
        </w:rPr>
      </w:pPr>
      <w:r>
        <w:rPr>
          <w:rFonts w:ascii="inherit" w:hAnsi="inherit"/>
          <w:sz w:val="17"/>
        </w:rPr>
        <w:t>The increase in cash flows from operating activities year-over-year was due to an $11.8 million</w:t>
      </w:r>
      <w:r>
        <w:rPr>
          <w:sz w:val="17"/>
        </w:rPr>
        <w:t> </w:t>
      </w:r>
      <w:r>
        <w:rPr>
          <w:rFonts w:ascii="inherit" w:hAnsi="inherit"/>
          <w:sz w:val="17"/>
        </w:rPr>
        <w:t>increase in the changes in operating assets and liabilities and a $13.0 million</w:t>
      </w:r>
      <w:r>
        <w:rPr>
          <w:sz w:val="17"/>
        </w:rPr>
        <w:t> </w:t>
      </w:r>
      <w:r>
        <w:rPr>
          <w:rFonts w:ascii="inherit" w:hAnsi="inherit"/>
          <w:sz w:val="17"/>
        </w:rPr>
        <w:t>increase in net income exclusive of non-cash items due to improved operational results and stores acquired in the current six-months. The increase from changes in operating assets and liabilities was primarily driven by $10.1 million in additional accrued incentive compensation paid out during the three months ended December 31, 2016 as compared to the three months ended December 31, 2017.</w:t>
      </w:r>
    </w:p>
    <w:p>
      <w:pPr>
        <w:pStyle w:val="TextBody"/>
        <w:spacing w:lineRule="auto" w:line="288" w:before="0" w:after="0"/>
        <w:rPr>
          <w:sz w:val="17"/>
        </w:rPr>
      </w:pPr>
      <w:r>
        <w:rPr>
          <w:rFonts w:ascii="inherit" w:hAnsi="inherit"/>
          <w:sz w:val="17"/>
        </w:rPr>
        <w:t>The decrease in cash flows from investing activities year-over-year was due to $63.8 million</w:t>
      </w:r>
      <w:r>
        <w:rPr>
          <w:sz w:val="17"/>
        </w:rPr>
        <w:t xml:space="preserve"> </w:t>
      </w:r>
      <w:r>
        <w:rPr>
          <w:rFonts w:ascii="inherit" w:hAnsi="inherit"/>
          <w:sz w:val="17"/>
        </w:rPr>
        <w:t>in cash paid for acquisitions, a $11.2 million</w:t>
      </w:r>
      <w:r>
        <w:rPr>
          <w:sz w:val="17"/>
        </w:rPr>
        <w:t> </w:t>
      </w:r>
      <w:r>
        <w:rPr>
          <w:rFonts w:ascii="inherit" w:hAnsi="inherit"/>
          <w:sz w:val="17"/>
        </w:rPr>
        <w:t>increase in net additions to property and equipment and capitalized labor as we continue our store refresh program, a $5.9 million</w:t>
      </w:r>
      <w:r>
        <w:rPr>
          <w:sz w:val="17"/>
        </w:rPr>
        <w:t xml:space="preserve"> </w:t>
      </w:r>
      <w:r>
        <w:rPr>
          <w:rFonts w:ascii="inherit" w:hAnsi="inherit"/>
          <w:sz w:val="17"/>
        </w:rPr>
        <w:t>decrease in principal collections on notes receivable due to contractual amortization schedules and a $2.3 million</w:t>
      </w:r>
      <w:r>
        <w:rPr>
          <w:sz w:val="17"/>
        </w:rPr>
        <w:t> </w:t>
      </w:r>
      <w:r>
        <w:rPr>
          <w:rFonts w:ascii="inherit" w:hAnsi="inherit"/>
          <w:sz w:val="17"/>
        </w:rPr>
        <w:t>net decrease in proceeds related to loan activities (net loans repaid and recovery of pawn loan principal through sale of forfeited collateral).</w:t>
      </w:r>
    </w:p>
    <w:p>
      <w:pPr>
        <w:pStyle w:val="TextBody"/>
        <w:spacing w:lineRule="auto" w:line="288" w:before="0" w:after="0"/>
        <w:rPr>
          <w:sz w:val="17"/>
        </w:rPr>
      </w:pPr>
      <w:r>
        <w:rPr>
          <w:rFonts w:ascii="inherit" w:hAnsi="inherit"/>
          <w:sz w:val="17"/>
        </w:rPr>
        <w:t>The net effect of these and other smaller items was a $4.5 million</w:t>
      </w:r>
      <w:r>
        <w:rPr>
          <w:sz w:val="17"/>
        </w:rPr>
        <w:t> </w:t>
      </w:r>
      <w:r>
        <w:rPr>
          <w:rFonts w:ascii="inherit" w:hAnsi="inherit"/>
          <w:sz w:val="17"/>
        </w:rPr>
        <w:t>decrease in cash on hand during the six-month period ended March 31, 2018, resulting in a $159.9 million</w:t>
      </w:r>
      <w:r>
        <w:rPr>
          <w:sz w:val="17"/>
        </w:rPr>
        <w:t> </w:t>
      </w:r>
      <w:r>
        <w:rPr>
          <w:rFonts w:ascii="inherit" w:hAnsi="inherit"/>
          <w:sz w:val="17"/>
        </w:rPr>
        <w:t>ending cash balance compared to $120.1 million</w:t>
      </w:r>
      <w:r>
        <w:rPr>
          <w:sz w:val="17"/>
        </w:rPr>
        <w:t xml:space="preserve"> </w:t>
      </w:r>
      <w:r>
        <w:rPr>
          <w:rFonts w:ascii="inherit" w:hAnsi="inherit"/>
          <w:sz w:val="17"/>
        </w:rPr>
        <w:t>as of March 31, 2017. Of the ending cash balance as of March 31, 2018, $18.1 million was not available to fund domestic operations as we intend to permanently reinvest those earnings in our foreign operations.</w:t>
      </w:r>
    </w:p>
    <w:p>
      <w:pPr>
        <w:pStyle w:val="TextBody"/>
        <w:spacing w:lineRule="auto" w:line="288" w:before="0" w:after="0"/>
        <w:rPr>
          <w:rFonts w:ascii="inherit" w:hAnsi="inherit"/>
          <w:b/>
          <w:i/>
          <w:sz w:val="17"/>
        </w:rPr>
      </w:pPr>
      <w:r>
        <w:rPr>
          <w:rFonts w:ascii="inherit" w:hAnsi="inherit"/>
          <w:b/>
          <w:i/>
          <w:sz w:val="17"/>
        </w:rPr>
        <w:t>Sources and Uses of Cash</w:t>
      </w:r>
    </w:p>
    <w:p>
      <w:pPr>
        <w:pStyle w:val="TextBody"/>
        <w:spacing w:lineRule="auto" w:line="288" w:before="0" w:after="0"/>
        <w:rPr>
          <w:rFonts w:ascii="inherit" w:hAnsi="inherit"/>
          <w:sz w:val="17"/>
        </w:rPr>
      </w:pPr>
      <w:r>
        <w:rPr>
          <w:rFonts w:ascii="inherit" w:hAnsi="inherit"/>
          <w:sz w:val="17"/>
        </w:rPr>
        <w:t>We anticipate that cash flow from operations and cash on hand will be adequate to fund our contractual obligations, planned de novo store growth, capital expenditures and working capital requirements during fiscal 2018. Our ability to repay our longer-term debt obligations (including the 2019 Convertible Notes and the 2024 Convertible Notes) may require us to refinance those obligations through the issuance of new debt securities, equity securities or through new credit facilities.</w:t>
      </w:r>
    </w:p>
    <w:p>
      <w:pPr>
        <w:pStyle w:val="TextBody"/>
        <w:spacing w:lineRule="auto" w:line="288" w:before="0" w:after="0"/>
        <w:rPr>
          <w:rFonts w:ascii="inherit" w:hAnsi="inherit"/>
          <w:i/>
          <w:sz w:val="17"/>
        </w:rPr>
      </w:pPr>
      <w:r>
        <w:rPr>
          <w:rFonts w:ascii="inherit" w:hAnsi="inherit"/>
          <w:i/>
          <w:sz w:val="17"/>
        </w:rPr>
        <w:t>Acquisitions</w:t>
      </w:r>
    </w:p>
    <w:p>
      <w:pPr>
        <w:pStyle w:val="TextBody"/>
        <w:spacing w:lineRule="auto" w:line="288" w:before="0" w:after="0"/>
        <w:jc w:val="left"/>
        <w:rPr>
          <w:sz w:val="17"/>
        </w:rPr>
      </w:pPr>
      <w:r>
        <w:rPr>
          <w:rFonts w:ascii="inherit" w:hAnsi="inherit"/>
          <w:sz w:val="17"/>
        </w:rPr>
        <w:t>On October 6, 2017, we completed the acquisition of 100%</w:t>
      </w:r>
      <w:r>
        <w:rPr>
          <w:sz w:val="17"/>
        </w:rPr>
        <w:t> </w:t>
      </w:r>
      <w:r>
        <w:rPr>
          <w:rFonts w:ascii="inherit" w:hAnsi="inherit"/>
          <w:sz w:val="17"/>
        </w:rPr>
        <w:t>of the outstanding stock of Camira Administration Corp. and subsidiaries (“GPMX”), a business that owns and operates 112</w:t>
      </w:r>
      <w:r>
        <w:rPr>
          <w:sz w:val="17"/>
        </w:rPr>
        <w:t> </w:t>
      </w:r>
      <w:r>
        <w:rPr>
          <w:rFonts w:ascii="inherit" w:hAnsi="inherit"/>
          <w:sz w:val="17"/>
        </w:rPr>
        <w:t>stores located in Guatemala, El Salvador, Honduras and Peru. The GPMX acquisition significantly expands our store base into Latin American countries outside of Mexico and provides us with a platform for further growth in the region. Under the terms of the stock purchase agreement ("SPA"), we paid $53.4 million</w:t>
      </w:r>
      <w:r>
        <w:rPr>
          <w:sz w:val="17"/>
        </w:rPr>
        <w:t> </w:t>
      </w:r>
      <w:r>
        <w:rPr>
          <w:rFonts w:ascii="inherit" w:hAnsi="inherit"/>
          <w:sz w:val="17"/>
        </w:rPr>
        <w:t>in cash upon closing and, subsequent to the closing, paid $6.7 million</w:t>
      </w:r>
      <w:r>
        <w:rPr>
          <w:sz w:val="17"/>
        </w:rPr>
        <w:t xml:space="preserve"> </w:t>
      </w:r>
      <w:r>
        <w:rPr>
          <w:rFonts w:ascii="inherit" w:hAnsi="inherit"/>
          <w:sz w:val="17"/>
        </w:rPr>
        <w:t>to satisfy indebtedness to members of the seller’s affiliated group. The SPA specified a further $2.25 million</w:t>
      </w:r>
      <w:r>
        <w:rPr>
          <w:sz w:val="17"/>
        </w:rPr>
        <w:t> </w:t>
      </w:r>
      <w:r>
        <w:rPr>
          <w:rFonts w:ascii="inherit" w:hAnsi="inherit"/>
          <w:sz w:val="17"/>
        </w:rPr>
        <w:t>to be paid contingent upon performance of GPMX’s business during a period up to 24</w:t>
      </w:r>
      <w:r>
        <w:rPr>
          <w:sz w:val="17"/>
        </w:rPr>
        <w:t xml:space="preserve"> </w:t>
      </w:r>
      <w:r>
        <w:rPr>
          <w:rFonts w:ascii="inherit" w:hAnsi="inherit"/>
          <w:sz w:val="17"/>
        </w:rPr>
        <w:t xml:space="preserve">months following the closing date, and the business achieved the specified performance goal during the first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37</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quarter of fiscal 2018. Consequently, we made a final payment of $1.6 million</w:t>
      </w:r>
      <w:r>
        <w:rPr>
          <w:sz w:val="17"/>
        </w:rPr>
        <w:t xml:space="preserve"> </w:t>
      </w:r>
      <w:r>
        <w:rPr>
          <w:rFonts w:ascii="inherit" w:hAnsi="inherit"/>
          <w:sz w:val="17"/>
        </w:rPr>
        <w:t>in January 2018 in satisfaction of the contingent purchase price obligation, after reduction for certain adjustments under the SPA, yielding a total purchase price of $61.7 million.</w:t>
      </w:r>
    </w:p>
    <w:p>
      <w:pPr>
        <w:pStyle w:val="TextBody"/>
        <w:spacing w:lineRule="auto" w:line="288" w:before="0" w:after="0"/>
        <w:jc w:val="left"/>
        <w:rPr>
          <w:sz w:val="17"/>
        </w:rPr>
      </w:pPr>
      <w:r>
        <w:rPr>
          <w:rFonts w:ascii="inherit" w:hAnsi="inherit"/>
          <w:sz w:val="17"/>
        </w:rPr>
        <w:t>On December 4, 2017, we acquired 21</w:t>
      </w:r>
      <w:r>
        <w:rPr>
          <w:sz w:val="17"/>
        </w:rPr>
        <w:t xml:space="preserve"> </w:t>
      </w:r>
      <w:r>
        <w:rPr>
          <w:rFonts w:ascii="inherit" w:hAnsi="inherit"/>
          <w:sz w:val="17"/>
        </w:rPr>
        <w:t>pawn stores located in the Mexican state of Sinaloa and operating under the name "Bazareño," further expanding our geographic footprint within Mexico. The Bazareño stores make up the largest chain of pawn stores in Culiacan, the capital city of Sinaloa, giving EZCORP the number one position in that market with more than double the store count of the nearest competitor and an important strategic presence in the northwest region of Mexico. The majority of the purchase price was paid in cash, subject to finalization of deferred amounts.</w:t>
      </w:r>
    </w:p>
    <w:p>
      <w:pPr>
        <w:pStyle w:val="TextBody"/>
        <w:spacing w:lineRule="auto" w:line="288" w:before="0" w:after="0"/>
        <w:jc w:val="left"/>
        <w:rPr>
          <w:rFonts w:ascii="inherit" w:hAnsi="inherit"/>
          <w:i/>
          <w:color w:val="252525"/>
          <w:sz w:val="17"/>
        </w:rPr>
      </w:pPr>
      <w:r>
        <w:rPr>
          <w:rFonts w:ascii="inherit" w:hAnsi="inherit"/>
          <w:i/>
          <w:color w:val="252525"/>
          <w:sz w:val="17"/>
        </w:rPr>
        <w:t>2.875% Convertible Senior Notes Due 2024 and 2.125% Cash Convertible Senior Notes Due 2019</w:t>
      </w:r>
    </w:p>
    <w:p>
      <w:pPr>
        <w:pStyle w:val="TextBody"/>
        <w:spacing w:lineRule="auto" w:line="288" w:before="0" w:after="0"/>
        <w:rPr>
          <w:sz w:val="17"/>
        </w:rPr>
      </w:pPr>
      <w:r>
        <w:rPr>
          <w:rFonts w:ascii="inherit" w:hAnsi="inherit"/>
          <w:sz w:val="17"/>
        </w:rPr>
        <w:t xml:space="preserve">For a description of the terms of the </w:t>
      </w:r>
      <w:r>
        <w:rPr>
          <w:rFonts w:ascii="inherit" w:hAnsi="inherit"/>
          <w:color w:val="252525"/>
          <w:sz w:val="17"/>
        </w:rPr>
        <w:t>2.875% Co</w:t>
      </w:r>
      <w:r>
        <w:rPr>
          <w:rFonts w:ascii="inherit" w:hAnsi="inherit"/>
          <w:sz w:val="17"/>
        </w:rPr>
        <w:t>nvertible Senior Notes Due 2024 ("2024 Convertible Notes") and 2.125% Cash Convertible Senior Notes Due 2019, see Note 6</w:t>
      </w:r>
      <w:r>
        <w:rPr>
          <w:sz w:val="17"/>
        </w:rPr>
        <w:t xml:space="preserve"> </w:t>
      </w:r>
      <w:r>
        <w:rPr>
          <w:rFonts w:ascii="inherit" w:hAnsi="inherit"/>
          <w:sz w:val="17"/>
        </w:rPr>
        <w:t>of Notes to Interim Condensed Consolidated Financial Statements included in "Part I, Item 1 — Financial Statements" and Note 8 to Consolidated Financial Statements included in "Part II, Item 8 — Financial Statements and Supplementary Data" of our Annual Report on Form 10-K for the year ended September 30, 2017.</w:t>
      </w:r>
    </w:p>
    <w:p>
      <w:pPr>
        <w:pStyle w:val="TextBody"/>
        <w:spacing w:lineRule="auto" w:line="288" w:before="0" w:after="0"/>
        <w:rPr>
          <w:rFonts w:ascii="inherit" w:hAnsi="inherit"/>
          <w:sz w:val="17"/>
        </w:rPr>
      </w:pPr>
      <w:r>
        <w:rPr>
          <w:rFonts w:ascii="inherit" w:hAnsi="inherit"/>
          <w:sz w:val="17"/>
        </w:rPr>
        <w:t>During the second quarter of fiscal 2018, the closing market price of our Class A Non-Voting Common Stock ("Class A Common Stock") met the threshold based on at least 20 of the final 30 trading days of the quarter for the 2024 Convertible Notes to become convertible at the option of the holders during the third quarter of fiscal 2018 (April 1, 2018 to June 30, 2018). If presented for conversion, the notes may be converted into cash, shares of our Class A Common Stock or a combination of cash and shares of our Class A Common Stock, at our discretion. This trading condition for conversion is evaluated on a quarterly basis and may not be met in future periods. We have classified this obligation as current on our condensed consolidated balance sheet as of March 31, 2018. However, we believe it is unlikely that any holder of these notes will in fact convert their notes during the third quarter, based on the economic benefits of holding this instrument until closer to maturity. As such, we do not expect a significant use of cash over the next twelve months to repay any of the 2024 Convertible Notes.</w:t>
      </w:r>
    </w:p>
    <w:p>
      <w:pPr>
        <w:pStyle w:val="TextBody"/>
        <w:spacing w:lineRule="auto" w:line="288" w:before="0" w:after="0"/>
        <w:rPr>
          <w:rFonts w:ascii="inherit" w:hAnsi="inherit"/>
          <w:b/>
          <w:i/>
          <w:sz w:val="17"/>
        </w:rPr>
      </w:pPr>
      <w:r>
        <w:rPr>
          <w:rFonts w:ascii="inherit" w:hAnsi="inherit"/>
          <w:b/>
          <w:i/>
          <w:sz w:val="17"/>
        </w:rPr>
        <w:t>Contractual Obligations</w:t>
      </w:r>
    </w:p>
    <w:p>
      <w:pPr>
        <w:pStyle w:val="TextBody"/>
        <w:spacing w:lineRule="auto" w:line="288" w:before="0" w:after="0"/>
        <w:jc w:val="left"/>
        <w:rPr>
          <w:sz w:val="17"/>
        </w:rPr>
      </w:pPr>
      <w:r>
        <w:rPr>
          <w:rFonts w:ascii="inherit" w:hAnsi="inherit"/>
          <w:sz w:val="17"/>
        </w:rPr>
        <w:t xml:space="preserve">In "Part II, Item 7 — Management's Discussion and Analysis of Financial Condition and Results of Operations" of our Annual Report on Form 10-K for the year ended September 30, 2017, we reported that we had $631.0 million in total contractual obligations as of September 30, 2017. There have been no material changes to this total obligation since September 30, 2017, other than the reclassification of our </w:t>
      </w:r>
      <w:r>
        <w:rPr>
          <w:rFonts w:ascii="inherit" w:hAnsi="inherit"/>
          <w:color w:val="252525"/>
          <w:sz w:val="17"/>
        </w:rPr>
        <w:t xml:space="preserve">2.875% Convertible Senior Notes Due 2024 to current as discussed in </w:t>
      </w:r>
      <w:r>
        <w:rPr>
          <w:rFonts w:ascii="inherit" w:hAnsi="inherit"/>
          <w:sz w:val="17"/>
        </w:rPr>
        <w:t>Note 6</w:t>
      </w:r>
      <w:r>
        <w:rPr>
          <w:sz w:val="17"/>
        </w:rPr>
        <w:t xml:space="preserve"> </w:t>
      </w:r>
      <w:r>
        <w:rPr>
          <w:rFonts w:ascii="inherit" w:hAnsi="inherit"/>
          <w:sz w:val="17"/>
        </w:rPr>
        <w:t>of Notes to Interim Condensed Consolidated Financial Statements included in "Part I, Item 1 — Financial Statements."</w:t>
      </w:r>
    </w:p>
    <w:p>
      <w:pPr>
        <w:pStyle w:val="TextBody"/>
        <w:spacing w:lineRule="auto" w:line="288" w:before="0" w:after="0"/>
        <w:jc w:val="left"/>
        <w:rPr>
          <w:rFonts w:ascii="inherit" w:hAnsi="inherit"/>
          <w:sz w:val="17"/>
        </w:rPr>
      </w:pPr>
      <w:r>
        <w:rPr>
          <w:rFonts w:ascii="inherit" w:hAnsi="inherit"/>
          <w:sz w:val="17"/>
        </w:rPr>
        <w:t>We are responsible for the maintenance, property taxes and insurance at most of our locations. In the fiscal year ended September 30, 2017, these collectively amounted to $21.4 million.</w:t>
      </w:r>
    </w:p>
    <w:p>
      <w:pPr>
        <w:pStyle w:val="TextBody"/>
        <w:spacing w:lineRule="auto" w:line="288" w:before="0" w:after="0"/>
        <w:rPr>
          <w:rFonts w:ascii="inherit" w:hAnsi="inherit"/>
          <w:b/>
          <w:sz w:val="17"/>
        </w:rPr>
      </w:pPr>
      <w:bookmarkStart w:id="34" w:name="s5CBEF37722765D7CB692EFC7CC0AC7F4"/>
      <w:bookmarkEnd w:id="34"/>
      <w:r>
        <w:rPr>
          <w:rFonts w:ascii="inherit" w:hAnsi="inherit"/>
          <w:b/>
          <w:sz w:val="17"/>
        </w:rPr>
        <w:t>Recently Adopted Accounting Policies and Recently Issued Accounting Pronouncements</w:t>
      </w:r>
    </w:p>
    <w:p>
      <w:pPr>
        <w:pStyle w:val="TextBody"/>
        <w:spacing w:lineRule="auto" w:line="288" w:before="0" w:after="0"/>
        <w:rPr>
          <w:sz w:val="17"/>
        </w:rPr>
      </w:pPr>
      <w:r>
        <w:rPr>
          <w:rFonts w:ascii="inherit" w:hAnsi="inherit"/>
          <w:sz w:val="17"/>
        </w:rPr>
        <w:t>We do not expect any material impacts of adopting Financial Accounting Standards Board ("FASB") Accounting Standards Updates ("ASU") included in Note 1</w:t>
      </w:r>
      <w:r>
        <w:rPr>
          <w:sz w:val="17"/>
        </w:rPr>
        <w:t xml:space="preserve"> </w:t>
      </w:r>
      <w:r>
        <w:rPr>
          <w:rFonts w:ascii="inherit" w:hAnsi="inherit"/>
          <w:sz w:val="17"/>
        </w:rPr>
        <w:t>of Notes to Interim Condensed Consolidated Financial Statements included in "Part I, Item 1 — Financial Statements" on our results of operations, however expect ASU 2016-02 regarding lease accounting to have a material impact on our consolidation financial position upon adoption. Please refer to Note 1, Summary of Significant Accounting Policies, of Notes to Consolidated Financial Statements included in "Part II, Item 8 — Financial Statements and Supplementary Data" of our Annual Report on Form 10-K for the year ended September 30, 2017 for discussion of our critical accounting policies and estimates including discussions of variability where applicable. Additional information around our timeline of adoption including the currently known impacts of FASB ASU 2016-13, 2016-02 and 2014-09 is included in Note 1</w:t>
      </w:r>
      <w:r>
        <w:rPr>
          <w:sz w:val="17"/>
        </w:rPr>
        <w:t xml:space="preserve"> </w:t>
      </w:r>
      <w:r>
        <w:rPr>
          <w:rFonts w:ascii="inherit" w:hAnsi="inherit"/>
          <w:sz w:val="17"/>
        </w:rPr>
        <w:t>of Notes to Interim Condensed Consolidated Financial Statements included in "Part I, Item 1 — Financial Statements."</w:t>
      </w:r>
    </w:p>
    <w:p>
      <w:pPr>
        <w:pStyle w:val="TextBody"/>
        <w:spacing w:lineRule="auto" w:line="288" w:before="0" w:after="0"/>
        <w:rPr>
          <w:rFonts w:ascii="inherit" w:hAnsi="inherit"/>
          <w:b/>
          <w:sz w:val="17"/>
        </w:rPr>
      </w:pPr>
      <w:bookmarkStart w:id="35" w:name="sD8E052120714537D93B0B035B259B1E9"/>
      <w:bookmarkEnd w:id="35"/>
      <w:r>
        <w:rPr>
          <w:rFonts w:ascii="inherit" w:hAnsi="inherit"/>
          <w:b/>
          <w:sz w:val="17"/>
        </w:rPr>
        <w:t>Cautionary Statement Regarding Risks and Uncertainties that May Affect Future Results</w:t>
      </w:r>
    </w:p>
    <w:p>
      <w:pPr>
        <w:pStyle w:val="TextBody"/>
        <w:spacing w:lineRule="auto" w:line="288" w:before="0" w:after="0"/>
        <w:rPr>
          <w:rFonts w:ascii="inherit" w:hAnsi="inherit"/>
          <w:sz w:val="17"/>
        </w:rPr>
      </w:pPr>
      <w:r>
        <w:rPr>
          <w:rFonts w:ascii="inherit" w:hAnsi="inherit"/>
          <w:sz w:val="17"/>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38</w:t>
      </w:r>
      <w:r>
        <w:br w:type="page"/>
      </w:r>
    </w:p>
    <w:p>
      <w:pPr>
        <w:pStyle w:val="TextBody"/>
        <w:spacing w:lineRule="auto" w:line="288" w:before="0" w:after="0"/>
        <w:rPr/>
      </w:pPr>
      <w:hyperlink w:anchor="sA33FD6028AA25395924ED4406F4293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our Annual Report on Form 10-K for the year ended September 30, 2017, supplemented by those described in "Part II, Item 1A — Risk Factors" of this Quarterly Report.</w:t>
      </w:r>
    </w:p>
    <w:p>
      <w:pPr>
        <w:pStyle w:val="TextBody"/>
        <w:spacing w:lineRule="auto" w:line="288" w:before="0" w:after="0"/>
        <w:rPr>
          <w:rFonts w:ascii="inherit" w:hAnsi="inherit"/>
          <w:sz w:val="17"/>
        </w:rPr>
      </w:pPr>
      <w:r>
        <w:rPr>
          <w:rFonts w:ascii="inherit" w:hAnsi="inherit"/>
          <w:sz w:val="17"/>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pStyle w:val="TextBody"/>
        <w:spacing w:lineRule="auto" w:line="288" w:before="0" w:after="0"/>
        <w:rPr>
          <w:rFonts w:ascii="inherit" w:hAnsi="inherit"/>
          <w:b/>
          <w:sz w:val="17"/>
        </w:rPr>
      </w:pPr>
      <w:bookmarkStart w:id="36" w:name="sD36231BBEF7550948668DB90A502B97A"/>
      <w:bookmarkEnd w:id="36"/>
      <w:r>
        <w:rPr>
          <w:rFonts w:ascii="inherit" w:hAnsi="inherit"/>
          <w:b/>
          <w:sz w:val="17"/>
        </w:rPr>
        <w:t>ITEM 3. QUANTITATIVE AND QUALITATIVE DISCLOSURES ABOUT MARKET RISK</w:t>
      </w:r>
    </w:p>
    <w:p>
      <w:pPr>
        <w:pStyle w:val="TextBody"/>
        <w:spacing w:lineRule="auto" w:line="288" w:before="0" w:after="0"/>
        <w:rPr>
          <w:rFonts w:ascii="inherit" w:hAnsi="inherit"/>
          <w:sz w:val="17"/>
        </w:rPr>
      </w:pPr>
      <w:r>
        <w:rPr>
          <w:rFonts w:ascii="inherit" w:hAnsi="inherit"/>
          <w:sz w:val="17"/>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2017. There have been no material changes to our exposure to market risks since September 30, 2017.</w:t>
      </w:r>
    </w:p>
    <w:p>
      <w:pPr>
        <w:pStyle w:val="TextBody"/>
        <w:spacing w:lineRule="auto" w:line="288" w:before="0" w:after="0"/>
        <w:rPr>
          <w:rFonts w:ascii="inherit" w:hAnsi="inherit"/>
          <w:b/>
          <w:sz w:val="17"/>
        </w:rPr>
      </w:pPr>
      <w:bookmarkStart w:id="37" w:name="s502B6FD536875DF8B6A6902DD0F746EB"/>
      <w:bookmarkEnd w:id="37"/>
      <w:r>
        <w:rPr>
          <w:rFonts w:ascii="inherit" w:hAnsi="inherit"/>
          <w:b/>
          <w:sz w:val="17"/>
        </w:rPr>
        <w:t>ITEM 4. CONTROLS AND PROCEDURES</w:t>
      </w:r>
    </w:p>
    <w:p>
      <w:pPr>
        <w:pStyle w:val="TextBody"/>
        <w:spacing w:lineRule="auto" w:line="288" w:before="0" w:after="0"/>
        <w:rPr>
          <w:rFonts w:ascii="inherit" w:hAnsi="inherit"/>
          <w:sz w:val="17"/>
        </w:rPr>
      </w:pPr>
      <w:r>
        <w:rPr>
          <w:rFonts w:ascii="inherit" w:hAnsi="inherit"/>
          <w:sz w:val="17"/>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pStyle w:val="TextBody"/>
        <w:spacing w:lineRule="auto" w:line="288" w:before="0" w:after="0"/>
        <w:rPr>
          <w:rFonts w:ascii="inherit" w:hAnsi="inherit"/>
          <w:i/>
          <w:sz w:val="17"/>
        </w:rPr>
      </w:pPr>
      <w:r>
        <w:rPr>
          <w:rFonts w:ascii="inherit" w:hAnsi="inherit"/>
          <w:i/>
          <w:sz w:val="17"/>
        </w:rPr>
        <w:t>Evaluation of Disclosure Controls and Procedures</w:t>
      </w:r>
    </w:p>
    <w:p>
      <w:pPr>
        <w:pStyle w:val="TextBody"/>
        <w:spacing w:lineRule="auto" w:line="288" w:before="0" w:after="0"/>
        <w:rPr>
          <w:rFonts w:ascii="inherit" w:hAnsi="inherit"/>
          <w:sz w:val="17"/>
        </w:rPr>
      </w:pPr>
      <w:r>
        <w:rPr>
          <w:rFonts w:ascii="inherit" w:hAnsi="inherit"/>
          <w:sz w:val="17"/>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March 31, 2018. Based on that evaluation, our Chief Executive Officer and Chief Financial Officer concluded that our disclosure controls and procedures were effective as of March 31, 2018.</w:t>
      </w:r>
    </w:p>
    <w:p>
      <w:pPr>
        <w:pStyle w:val="TextBody"/>
        <w:spacing w:lineRule="auto" w:line="288" w:before="0" w:after="0"/>
        <w:rPr>
          <w:rFonts w:ascii="inherit" w:hAnsi="inherit"/>
          <w:i/>
          <w:sz w:val="17"/>
        </w:rPr>
      </w:pPr>
      <w:r>
        <w:rPr>
          <w:rFonts w:ascii="inherit" w:hAnsi="inherit"/>
          <w:i/>
          <w:sz w:val="17"/>
        </w:rPr>
        <w:t>Changes in Internal Control over Financial Reporting</w:t>
      </w:r>
    </w:p>
    <w:p>
      <w:pPr>
        <w:pStyle w:val="TextBody"/>
        <w:spacing w:lineRule="auto" w:line="288" w:before="0" w:after="0"/>
        <w:jc w:val="left"/>
        <w:rPr>
          <w:sz w:val="17"/>
        </w:rPr>
      </w:pPr>
      <w:r>
        <w:rPr>
          <w:rFonts w:ascii="inherit" w:hAnsi="inherit"/>
          <w:sz w:val="17"/>
        </w:rPr>
        <w:t>There were no changes in our internal control over financial reporting during the quarter ended March 31, 2018</w:t>
      </w:r>
      <w:r>
        <w:rPr>
          <w:sz w:val="17"/>
        </w:rPr>
        <w:t> </w:t>
      </w:r>
      <w:r>
        <w:rPr>
          <w:rFonts w:ascii="inherit" w:hAnsi="inherit"/>
          <w:sz w:val="17"/>
        </w:rPr>
        <w:t>that have materially affected or are reasonably likely to materially affect our internal control over financial reporting.</w:t>
      </w:r>
    </w:p>
    <w:p>
      <w:pPr>
        <w:pStyle w:val="TextBody"/>
        <w:spacing w:lineRule="auto" w:line="288" w:before="0" w:after="0"/>
        <w:rPr>
          <w:rFonts w:ascii="inherit" w:hAnsi="inherit"/>
          <w:i/>
          <w:sz w:val="17"/>
        </w:rPr>
      </w:pPr>
      <w:r>
        <w:rPr>
          <w:rFonts w:ascii="inherit" w:hAnsi="inherit"/>
          <w:i/>
          <w:sz w:val="17"/>
        </w:rPr>
        <w:t>Inherent Limitations on Internal Controls</w:t>
      </w:r>
    </w:p>
    <w:p>
      <w:pPr>
        <w:pStyle w:val="TextBody"/>
        <w:spacing w:lineRule="auto" w:line="288" w:before="0" w:after="0"/>
        <w:jc w:val="left"/>
        <w:rPr>
          <w:rFonts w:ascii="inherit" w:hAnsi="inherit"/>
          <w:sz w:val="17"/>
        </w:rPr>
      </w:pPr>
      <w:r>
        <w:rPr>
          <w:rFonts w:ascii="inherit" w:hAnsi="inherit"/>
          <w:sz w:val="17"/>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Judgments in decision-making can be faulty, and control and process breakdowns can occur because of simple errors or mistakes.</w:t>
            </w:r>
          </w:p>
        </w:tc>
      </w:tr>
    </w:tbl>
    <w:tbl>
      <w:tblPr>
        <w:tblW w:w="9685" w:type="dxa"/>
        <w:jc w:val="left"/>
        <w:tblInd w:w="0" w:type="dxa"/>
        <w:tblCellMar>
          <w:top w:w="0" w:type="dxa"/>
          <w:left w:w="0" w:type="dxa"/>
          <w:bottom w:w="0" w:type="dxa"/>
          <w:right w:w="0" w:type="dxa"/>
        </w:tblCellMar>
      </w:tblPr>
      <w:tblGrid>
        <w:gridCol w:w="155"/>
        <w:gridCol w:w="9530"/>
      </w:tblGrid>
      <w:tr>
        <w:trPr/>
        <w:tc>
          <w:tcPr>
            <w:tcW w:w="155" w:type="dxa"/>
            <w:tcBorders/>
            <w:shd w:fill="auto" w:val="clear"/>
            <w:vAlign w:val="center"/>
          </w:tcPr>
          <w:p>
            <w:pPr>
              <w:pStyle w:val="TableContents"/>
              <w:spacing w:before="0" w:after="283"/>
              <w:rPr>
                <w:sz w:val="4"/>
                <w:szCs w:val="4"/>
              </w:rPr>
            </w:pPr>
            <w:r>
              <w:rPr>
                <w:sz w:val="4"/>
                <w:szCs w:val="4"/>
              </w:rPr>
            </w:r>
          </w:p>
        </w:tc>
        <w:tc>
          <w:tcPr>
            <w:tcW w:w="953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9530" w:type="dxa"/>
            <w:tcBorders/>
            <w:shd w:fill="auto" w:val="clear"/>
            <w:vAlign w:val="center"/>
          </w:tcPr>
          <w:p>
            <w:pPr>
              <w:pStyle w:val="TableContents"/>
              <w:spacing w:lineRule="auto" w:line="288" w:before="0" w:after="0"/>
              <w:rPr>
                <w:rFonts w:ascii="inherit" w:hAnsi="inherit"/>
                <w:sz w:val="17"/>
              </w:rPr>
            </w:pPr>
            <w:r>
              <w:rPr>
                <w:rFonts w:ascii="inherit" w:hAnsi="inherit"/>
                <w:sz w:val="17"/>
              </w:rPr>
              <w:t>Controls can be circumvented by individuals, acting alone or in collusion with others, or by management override.</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design of any system of controls is based in part on certain assumptions about the likelihood of future events, and there can be no assurance that any design will succeed in achieving its stated goals under all potential future conditions.</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Over time, controls may become inadequate because of changes in conditions or deterioration in the degree of compliance with associated policies or procedures.</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design of a control system must reflect the fact that resources are constrained, and the benefits of controls must be considered relative to their costs.</w:t>
            </w:r>
          </w:p>
        </w:tc>
      </w:tr>
    </w:tbl>
    <w:p>
      <w:pPr>
        <w:pStyle w:val="TextBody"/>
        <w:spacing w:lineRule="auto" w:line="288" w:before="0" w:after="0"/>
        <w:jc w:val="left"/>
        <w:rPr>
          <w:rFonts w:ascii="inherit" w:hAnsi="inherit"/>
          <w:sz w:val="17"/>
        </w:rPr>
      </w:pPr>
      <w:r>
        <w:rPr>
          <w:rFonts w:ascii="inherit" w:hAnsi="inherit"/>
          <w:sz w:val="17"/>
        </w:rPr>
        <w:t>Because of the inherent limitations in all control systems, no evaluation of controls can provide absolute assurance that all control issues and instances of fraud, if any, have been detected.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39</w:t>
      </w:r>
      <w:r>
        <w:br w:type="page"/>
      </w:r>
    </w:p>
    <w:p>
      <w:pPr>
        <w:pStyle w:val="TextBody"/>
        <w:spacing w:lineRule="auto" w:line="288" w:before="0" w:after="0"/>
        <w:rPr/>
      </w:pPr>
      <w:hyperlink w:anchor="sA33FD6028AA25395924ED4406F429385">
        <w:bookmarkStart w:id="38" w:name="sD869217F2B1E5294A71D86E3682F85BD"/>
        <w:bookmarkEnd w:id="38"/>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PART II — OTHER INFORMATION</w:t>
      </w:r>
    </w:p>
    <w:p>
      <w:pPr>
        <w:pStyle w:val="TextBody"/>
        <w:spacing w:lineRule="auto" w:line="288" w:before="0" w:after="0"/>
        <w:rPr>
          <w:rFonts w:ascii="inherit" w:hAnsi="inherit"/>
          <w:b/>
          <w:sz w:val="17"/>
        </w:rPr>
      </w:pPr>
      <w:bookmarkStart w:id="39" w:name="s2A510CB7B260524F8E4D2E6B6D40175B"/>
      <w:bookmarkEnd w:id="39"/>
      <w:r>
        <w:rPr>
          <w:rFonts w:ascii="inherit" w:hAnsi="inherit"/>
          <w:b/>
          <w:sz w:val="17"/>
        </w:rPr>
        <w:t>ITEM 1. LEGAL PROCEEDINGS</w:t>
      </w:r>
    </w:p>
    <w:p>
      <w:pPr>
        <w:pStyle w:val="TextBody"/>
        <w:spacing w:lineRule="auto" w:line="288" w:before="0" w:after="0"/>
        <w:rPr>
          <w:sz w:val="17"/>
        </w:rPr>
      </w:pPr>
      <w:r>
        <w:rPr>
          <w:rFonts w:ascii="inherit" w:hAnsi="inherit"/>
          <w:sz w:val="17"/>
        </w:rPr>
        <w:t>See Note 8</w:t>
      </w:r>
      <w:r>
        <w:rPr>
          <w:sz w:val="17"/>
        </w:rPr>
        <w:t> </w:t>
      </w:r>
      <w:r>
        <w:rPr>
          <w:rFonts w:ascii="inherit" w:hAnsi="inherit"/>
          <w:sz w:val="17"/>
        </w:rPr>
        <w:t xml:space="preserve">of Notes to Interim Condensed Consolidated Financial Statements included in "Part I, Item 1 — Financial Statements." </w:t>
      </w:r>
    </w:p>
    <w:p>
      <w:pPr>
        <w:pStyle w:val="TextBody"/>
        <w:spacing w:lineRule="auto" w:line="288" w:before="0" w:after="0"/>
        <w:rPr>
          <w:rFonts w:ascii="inherit" w:hAnsi="inherit"/>
          <w:b/>
          <w:sz w:val="17"/>
        </w:rPr>
      </w:pPr>
      <w:bookmarkStart w:id="40" w:name="s9ABEBCDB207859BA83188ECE0FB3ED68"/>
      <w:bookmarkEnd w:id="40"/>
      <w:r>
        <w:rPr>
          <w:rFonts w:ascii="inherit" w:hAnsi="inherit"/>
          <w:b/>
          <w:sz w:val="17"/>
        </w:rPr>
        <w:t>ITEM 1A. RISK FACTORS</w:t>
      </w:r>
    </w:p>
    <w:p>
      <w:pPr>
        <w:pStyle w:val="TextBody"/>
        <w:spacing w:lineRule="auto" w:line="288" w:before="0" w:after="0"/>
        <w:rPr>
          <w:rFonts w:ascii="inherit" w:hAnsi="inherit"/>
          <w:sz w:val="17"/>
        </w:rPr>
      </w:pPr>
      <w:r>
        <w:rPr>
          <w:rFonts w:ascii="inherit" w:hAnsi="inherit"/>
          <w:sz w:val="17"/>
        </w:rPr>
        <w:t>Important risk factors that could affect our operations and financial performance, or that could cause results or events to differ from current expectations, are described in "Part I, Item 1A — Risk Factors" of our Annual Report on Form 10-K for the year ended September 30, 2017, as supplemented by the information set forth below. These factors are further supplemented by those discussed in “Part I, Item 3 — Quantitative and Qualitative Disclosures about Market Risk” and "Part II, Item 1 — Legal Proceedings" of this Quarterly Report.</w:t>
      </w:r>
    </w:p>
    <w:p>
      <w:pPr>
        <w:pStyle w:val="TextBody"/>
        <w:spacing w:lineRule="auto" w:line="288" w:before="0" w:after="0"/>
        <w:rPr>
          <w:sz w:val="17"/>
        </w:rPr>
      </w:pPr>
      <w:r>
        <w:rPr>
          <w:rFonts w:ascii="inherit" w:hAnsi="inherit"/>
          <w:b/>
          <w:i/>
          <w:sz w:val="17"/>
        </w:rPr>
        <w:t>Our 2024 Convertible Notes may be converted during the third quarter of fiscal 2018 due to the satisfaction of the stock trading price condition as of the end of the second quarter.</w:t>
      </w:r>
      <w:r>
        <w:rPr>
          <w:sz w:val="17"/>
        </w:rPr>
        <w:t> </w:t>
      </w:r>
    </w:p>
    <w:p>
      <w:pPr>
        <w:pStyle w:val="TextBody"/>
        <w:spacing w:lineRule="auto" w:line="288" w:before="0" w:after="0"/>
        <w:rPr>
          <w:rFonts w:ascii="inherit" w:hAnsi="inherit"/>
          <w:sz w:val="17"/>
        </w:rPr>
      </w:pPr>
      <w:r>
        <w:rPr>
          <w:rFonts w:ascii="inherit" w:hAnsi="inherit"/>
          <w:sz w:val="17"/>
        </w:rPr>
        <w:t>Holders of our 2024 Convertible Notes are entitled to convert their notes at any time during the third quarter of fiscal 2018 (commencing April 1 and ending June 30) because the stock trading price condition (which requires our Class A Non-Voting Common Stock ("Class A Common Stock") to trade at or above $13.00 per share for a specified number of days) was satisfied during the second quarter. We believe it to be unlikely that any holder will convert their notes because (1) conversion will eliminate the 2.875% coupon interest and the optionality feature and (2) the notes themselves currently trade in excess of the aggregate trading price of the as-converted shares. Nevertheless, the satisfaction of the conversion conditions has required us to reclassify the 2024 Convertible Notes from a non-current liability to a current liability as of March 31, 2018.</w:t>
      </w:r>
    </w:p>
    <w:p>
      <w:pPr>
        <w:pStyle w:val="TextBody"/>
        <w:spacing w:lineRule="auto" w:line="288" w:before="0" w:after="0"/>
        <w:rPr>
          <w:rFonts w:ascii="inherit" w:hAnsi="inherit"/>
          <w:sz w:val="17"/>
        </w:rPr>
      </w:pPr>
      <w:r>
        <w:rPr>
          <w:rFonts w:ascii="inherit" w:hAnsi="inherit"/>
          <w:sz w:val="17"/>
        </w:rPr>
        <w:t>In the unlikely event that one or more holders do elect to convert their notes, we may choose to settle the obligation through the payment of cash, the delivery of Class A Common Stock or a combination of cash and shares, although it continues to be our intention to settle the principal portion of the notes in cash and the remainder in Class A Common Stock. </w:t>
      </w:r>
    </w:p>
    <w:p>
      <w:pPr>
        <w:pStyle w:val="TextBody"/>
        <w:spacing w:lineRule="auto" w:line="288" w:before="0" w:after="0"/>
        <w:rPr>
          <w:rFonts w:ascii="inherit" w:hAnsi="inherit"/>
          <w:sz w:val="17"/>
        </w:rPr>
      </w:pPr>
      <w:r>
        <w:rPr>
          <w:rFonts w:ascii="inherit" w:hAnsi="inherit"/>
          <w:sz w:val="17"/>
        </w:rPr>
        <w:t>The stock trading price condition is measured on a quarter-by-quarter basis. While the 2024 Convertible Notes are eligible to be converted during the third quarter, that convertibility will end on June 30, 2018, and whether the notes will be convertible after that will depend on whether the stock trading price condition is satisfied during the third quarter or any subsequent quarter. If the notes are not convertible in any subsequent quarter, we will be required to reclassify them back to a non-current liability. Thus, to the extent that our Class A Common Stock trades at or around $13.00 per share (which is 130% of the conversion price), we may experience volatility in our current liabilities from quarter to quarter.</w:t>
      </w:r>
    </w:p>
    <w:p>
      <w:pPr>
        <w:pStyle w:val="TextBody"/>
        <w:spacing w:lineRule="auto" w:line="288" w:before="0" w:after="0"/>
        <w:jc w:val="left"/>
        <w:rPr>
          <w:rFonts w:ascii="inherit" w:hAnsi="inherit"/>
          <w:b/>
          <w:sz w:val="17"/>
        </w:rPr>
      </w:pPr>
      <w:bookmarkStart w:id="41" w:name="sc621556d3f0b4e8488c35f904db2b676"/>
      <w:bookmarkEnd w:id="41"/>
      <w:r>
        <w:rPr>
          <w:rFonts w:ascii="inherit" w:hAnsi="inherit"/>
          <w:b/>
          <w:sz w:val="17"/>
        </w:rPr>
        <w:t>ITEM 5. OTHER INFORMATION</w:t>
      </w:r>
    </w:p>
    <w:p>
      <w:pPr>
        <w:pStyle w:val="TextBody"/>
        <w:spacing w:lineRule="auto" w:line="288" w:before="0" w:after="0"/>
        <w:jc w:val="left"/>
        <w:rPr>
          <w:rFonts w:ascii="inherit" w:hAnsi="inherit"/>
          <w:sz w:val="17"/>
        </w:rPr>
      </w:pPr>
      <w:r>
        <w:rPr>
          <w:rFonts w:ascii="inherit" w:hAnsi="inherit"/>
          <w:sz w:val="17"/>
        </w:rPr>
        <w:t>The Company has extended an offer of employment to Nicholas Cohen, the son of Phillip E. Cohen, the beneficial owner of all of our Class B Voting Common Stock. It is expected that Nicholas Cohen will join the Company as Director of Financial Planning and Analysis effective May 21, 2018. Under the terms of his employment, Nicholas Cohen will receive an annual base salary of $125,000 and a target short-term incentive bonus of 20% of base salary ($25,000), and will be eligible for healthcare and other benefits typically provided to similarly positioned employees. Nicholas Cohen received a Bachelor of Arts degree in Economics from Vassar College in 2007 and an MBA (specializing in Accounting &amp;Finance) from New York University’s Stern School of Business in 2016. He has finance and operational experience at a variety of companies since 2005.</w:t>
      </w:r>
    </w:p>
    <w:p>
      <w:pPr>
        <w:pStyle w:val="TextBody"/>
        <w:spacing w:lineRule="auto" w:line="288" w:before="0" w:after="0"/>
        <w:jc w:val="left"/>
        <w:rPr>
          <w:rFonts w:ascii="inherit" w:hAnsi="inherit"/>
          <w:sz w:val="17"/>
        </w:rPr>
      </w:pPr>
      <w:r>
        <w:rPr>
          <w:rFonts w:ascii="inherit" w:hAnsi="inherit"/>
          <w:sz w:val="17"/>
        </w:rPr>
        <w:t>The Company considers the employment relationship with Nicholas Cohen to be a related party transaction that is subject to the Company’s Policy for Review and Evaluation of Related Party Transactions. Accordingly, prior to the Company’s extending the offer of employment, the Audit Committee reviewed and approved the extension of the offer and the terms of employment.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40</w:t>
      </w:r>
      <w:r>
        <w:br w:type="page"/>
      </w:r>
    </w:p>
    <w:p>
      <w:pPr>
        <w:pStyle w:val="TextBody"/>
        <w:spacing w:lineRule="auto" w:line="288" w:before="0" w:after="0"/>
        <w:rPr/>
      </w:pPr>
      <w:hyperlink w:anchor="sA33FD6028AA25395924ED4406F429385">
        <w:bookmarkStart w:id="42" w:name="s00E1545D8F4A5E3A89F1AA877CFD30F4"/>
        <w:bookmarkEnd w:id="42"/>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6. EXHIBITS</w:t>
      </w:r>
    </w:p>
    <w:p>
      <w:pPr>
        <w:pStyle w:val="TextBody"/>
        <w:spacing w:lineRule="auto" w:line="288" w:before="0" w:after="0"/>
        <w:rPr>
          <w:rFonts w:ascii="inherit" w:hAnsi="inherit"/>
          <w:sz w:val="17"/>
        </w:rPr>
      </w:pPr>
      <w:r>
        <w:rPr>
          <w:rFonts w:ascii="inherit" w:hAnsi="inherit"/>
          <w:sz w:val="17"/>
        </w:rPr>
        <w:t>The following exhibits are filed with, or incorporated by reference into, this report.</w:t>
      </w:r>
    </w:p>
    <w:tbl>
      <w:tblPr>
        <w:tblW w:w="10205" w:type="dxa"/>
        <w:jc w:val="left"/>
        <w:tblInd w:w="0" w:type="dxa"/>
        <w:tblCellMar>
          <w:top w:w="0" w:type="dxa"/>
          <w:left w:w="0" w:type="dxa"/>
          <w:bottom w:w="0" w:type="dxa"/>
          <w:right w:w="0" w:type="dxa"/>
        </w:tblCellMar>
      </w:tblPr>
      <w:tblGrid>
        <w:gridCol w:w="953"/>
        <w:gridCol w:w="150"/>
        <w:gridCol w:w="9102"/>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95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1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53"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Exhibit No.</w:t>
            </w:r>
          </w:p>
        </w:tc>
        <w:tc>
          <w:tcPr>
            <w:tcW w:w="150" w:type="dxa"/>
            <w:tcBorders/>
            <w:shd w:fill="auto" w:val="clear"/>
            <w:vAlign w:val="center"/>
          </w:tcPr>
          <w:p>
            <w:pPr>
              <w:pStyle w:val="TableContents"/>
              <w:spacing w:before="0" w:after="0"/>
              <w:ind w:left="0" w:right="0" w:firstLine="30"/>
              <w:jc w:val="left"/>
              <w:rPr/>
            </w:pPr>
            <w:r>
              <w:rPr/>
              <w:t>  </w:t>
            </w:r>
          </w:p>
        </w:tc>
        <w:tc>
          <w:tcPr>
            <w:tcW w:w="910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953"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9102" w:type="dxa"/>
            <w:tcBorders/>
            <w:shd w:fill="auto" w:val="clear"/>
            <w:vAlign w:val="center"/>
          </w:tcPr>
          <w:p>
            <w:pPr>
              <w:pStyle w:val="TableContents"/>
              <w:spacing w:before="0" w:after="0"/>
              <w:ind w:left="0" w:right="0" w:firstLine="30"/>
              <w:rPr/>
            </w:pPr>
            <w:r>
              <w:rPr/>
              <w:t> </w:t>
            </w:r>
          </w:p>
        </w:tc>
      </w:tr>
      <w:tr>
        <w:trPr/>
        <w:tc>
          <w:tcPr>
            <w:tcW w:w="953" w:type="dxa"/>
            <w:tcBorders/>
            <w:shd w:fill="CCEEFF" w:val="clear"/>
            <w:vAlign w:val="center"/>
          </w:tcPr>
          <w:p>
            <w:pPr>
              <w:pStyle w:val="TableContents"/>
              <w:spacing w:before="0" w:after="0"/>
              <w:ind w:left="0" w:right="0" w:firstLine="30"/>
              <w:jc w:val="center"/>
              <w:rPr/>
            </w:pPr>
            <w:hyperlink w:anchor="a2018-q210qex311_3312018.htm">
              <w:r>
                <w:rPr>
                  <w:rStyle w:val="InternetLink"/>
                  <w:rFonts w:ascii="inherit" w:hAnsi="inherit"/>
                  <w:color w:val="0000FF"/>
                  <w:sz w:val="17"/>
                  <w:u w:val="single"/>
                </w:rPr>
                <w:t>31.1†</w:t>
              </w:r>
            </w:hyperlink>
          </w:p>
        </w:tc>
        <w:tc>
          <w:tcPr>
            <w:tcW w:w="150" w:type="dxa"/>
            <w:tcBorders/>
            <w:shd w:fill="CCEEFF" w:val="clear"/>
            <w:vAlign w:val="center"/>
          </w:tcPr>
          <w:p>
            <w:pPr>
              <w:pStyle w:val="TableContents"/>
              <w:spacing w:before="0" w:after="0"/>
              <w:ind w:left="0" w:right="0" w:firstLine="30"/>
              <w:jc w:val="left"/>
              <w:rPr/>
            </w:pPr>
            <w:r>
              <w:rPr/>
              <w:t>  </w:t>
            </w:r>
          </w:p>
        </w:tc>
        <w:tc>
          <w:tcPr>
            <w:tcW w:w="9102" w:type="dxa"/>
            <w:tcBorders/>
            <w:shd w:fill="CCEEFF" w:val="clear"/>
            <w:vAlign w:val="center"/>
          </w:tcPr>
          <w:p>
            <w:pPr>
              <w:pStyle w:val="TableContents"/>
              <w:spacing w:before="0" w:after="0"/>
              <w:ind w:left="0" w:right="0" w:firstLine="30"/>
              <w:jc w:val="left"/>
              <w:rPr/>
            </w:pPr>
            <w:hyperlink w:anchor="a2018-q210qex311_3312018.htm">
              <w:r>
                <w:rPr>
                  <w:rStyle w:val="InternetLink"/>
                  <w:rFonts w:ascii="inherit" w:hAnsi="inherit"/>
                  <w:color w:val="0000FF"/>
                  <w:sz w:val="17"/>
                  <w:u w:val="single"/>
                </w:rPr>
                <w:t>Certification of Stuart I. Grimshaw, Chief Executive Officer, pursuant to Rule 13a-14(a) under the Securities Exchange Act of 1934, as adopted pursuant to Section 302 of the Sarbanes-Oxley Act of 2002</w:t>
              </w:r>
            </w:hyperlink>
          </w:p>
        </w:tc>
      </w:tr>
      <w:tr>
        <w:trPr/>
        <w:tc>
          <w:tcPr>
            <w:tcW w:w="953" w:type="dxa"/>
            <w:tcBorders/>
            <w:shd w:fill="auto" w:val="clear"/>
            <w:vAlign w:val="center"/>
          </w:tcPr>
          <w:p>
            <w:pPr>
              <w:pStyle w:val="TableContents"/>
              <w:spacing w:before="0" w:after="0"/>
              <w:ind w:left="0" w:right="0" w:firstLine="30"/>
              <w:jc w:val="center"/>
              <w:rPr/>
            </w:pPr>
            <w:hyperlink w:anchor="a2018-q210qex312_3312018.htm">
              <w:r>
                <w:rPr>
                  <w:rStyle w:val="InternetLink"/>
                  <w:rFonts w:ascii="inherit" w:hAnsi="inherit"/>
                  <w:color w:val="0000FF"/>
                  <w:sz w:val="17"/>
                  <w:u w:val="single"/>
                </w:rPr>
                <w:t>31.2†</w:t>
              </w:r>
            </w:hyperlink>
          </w:p>
        </w:tc>
        <w:tc>
          <w:tcPr>
            <w:tcW w:w="150" w:type="dxa"/>
            <w:tcBorders/>
            <w:shd w:fill="auto" w:val="clear"/>
            <w:vAlign w:val="center"/>
          </w:tcPr>
          <w:p>
            <w:pPr>
              <w:pStyle w:val="TableContents"/>
              <w:spacing w:before="0" w:after="0"/>
              <w:ind w:left="0" w:right="0" w:firstLine="30"/>
              <w:rPr/>
            </w:pPr>
            <w:r>
              <w:rPr/>
              <w:t> </w:t>
            </w:r>
          </w:p>
        </w:tc>
        <w:tc>
          <w:tcPr>
            <w:tcW w:w="9102" w:type="dxa"/>
            <w:tcBorders/>
            <w:shd w:fill="auto" w:val="clear"/>
            <w:vAlign w:val="center"/>
          </w:tcPr>
          <w:p>
            <w:pPr>
              <w:pStyle w:val="TableContents"/>
              <w:spacing w:before="0" w:after="0"/>
              <w:ind w:left="0" w:right="0" w:firstLine="30"/>
              <w:rPr/>
            </w:pPr>
            <w:hyperlink w:anchor="a2018-q210qex312_3312018.htm">
              <w:r>
                <w:rPr>
                  <w:rStyle w:val="InternetLink"/>
                  <w:rFonts w:ascii="inherit" w:hAnsi="inherit"/>
                  <w:color w:val="0000FF"/>
                  <w:sz w:val="17"/>
                  <w:u w:val="single"/>
                </w:rPr>
                <w:t>Certification of Daniel M. Chism, Chief Financial Officer, pursuant to Rule 13a-14(a) under the Securities Exchange Act of 1934, as adopted pursuant to Section 302 of the Sarbanes-Oxley Act of 2002</w:t>
              </w:r>
            </w:hyperlink>
          </w:p>
        </w:tc>
      </w:tr>
      <w:tr>
        <w:trPr/>
        <w:tc>
          <w:tcPr>
            <w:tcW w:w="953" w:type="dxa"/>
            <w:tcBorders/>
            <w:shd w:fill="CCEEFF" w:val="clear"/>
            <w:vAlign w:val="center"/>
          </w:tcPr>
          <w:p>
            <w:pPr>
              <w:pStyle w:val="TableContents"/>
              <w:spacing w:before="0" w:after="0"/>
              <w:ind w:left="0" w:right="0" w:firstLine="30"/>
              <w:jc w:val="center"/>
              <w:rPr/>
            </w:pPr>
            <w:hyperlink w:anchor="a2018-q210qex321_3312018.htm">
              <w:r>
                <w:rPr>
                  <w:rStyle w:val="InternetLink"/>
                  <w:rFonts w:ascii="inherit" w:hAnsi="inherit"/>
                  <w:color w:val="0000FF"/>
                  <w:sz w:val="17"/>
                  <w:u w:val="single"/>
                </w:rPr>
                <w:t>32.1††</w:t>
              </w:r>
            </w:hyperlink>
          </w:p>
        </w:tc>
        <w:tc>
          <w:tcPr>
            <w:tcW w:w="150" w:type="dxa"/>
            <w:tcBorders/>
            <w:shd w:fill="CCEEFF" w:val="clear"/>
            <w:vAlign w:val="center"/>
          </w:tcPr>
          <w:p>
            <w:pPr>
              <w:pStyle w:val="TableContents"/>
              <w:spacing w:before="0" w:after="0"/>
              <w:ind w:left="0" w:right="0" w:firstLine="30"/>
              <w:jc w:val="left"/>
              <w:rPr/>
            </w:pPr>
            <w:r>
              <w:rPr/>
              <w:t>  </w:t>
            </w:r>
          </w:p>
        </w:tc>
        <w:tc>
          <w:tcPr>
            <w:tcW w:w="9102" w:type="dxa"/>
            <w:tcBorders/>
            <w:shd w:fill="CCEEFF" w:val="clear"/>
            <w:vAlign w:val="center"/>
          </w:tcPr>
          <w:p>
            <w:pPr>
              <w:pStyle w:val="TableContents"/>
              <w:spacing w:before="0" w:after="0"/>
              <w:ind w:left="0" w:right="0" w:firstLine="30"/>
              <w:rPr/>
            </w:pPr>
            <w:hyperlink w:anchor="a2018-q210qex321_3312018.htm">
              <w:r>
                <w:rPr>
                  <w:rStyle w:val="InternetLink"/>
                  <w:rFonts w:ascii="inherit" w:hAnsi="inherit"/>
                  <w:color w:val="0000FF"/>
                  <w:sz w:val="17"/>
                  <w:u w:val="single"/>
                </w:rPr>
                <w:t>Certifications of Stuart I. Grimshaw, Chief Executive Officer, and Daniel M. Chism, Chief Financial Officer, pursuant to 18 U.S.C. Section 1350, as adopted pursuant to Section 906 of the Sarbanes-Oxley Act of 2002</w:t>
              </w:r>
            </w:hyperlink>
          </w:p>
        </w:tc>
      </w:tr>
      <w:tr>
        <w:trPr/>
        <w:tc>
          <w:tcPr>
            <w:tcW w:w="9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101.INS†††</w:t>
            </w:r>
          </w:p>
        </w:tc>
        <w:tc>
          <w:tcPr>
            <w:tcW w:w="150" w:type="dxa"/>
            <w:tcBorders/>
            <w:shd w:fill="auto" w:val="clear"/>
            <w:vAlign w:val="center"/>
          </w:tcPr>
          <w:p>
            <w:pPr>
              <w:pStyle w:val="TableContents"/>
              <w:spacing w:before="0" w:after="0"/>
              <w:ind w:left="0" w:right="0" w:firstLine="30"/>
              <w:jc w:val="left"/>
              <w:rPr/>
            </w:pPr>
            <w:r>
              <w:rPr/>
              <w:t>  </w:t>
            </w:r>
          </w:p>
        </w:tc>
        <w:tc>
          <w:tcPr>
            <w:tcW w:w="9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9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101.SCH†††</w:t>
            </w:r>
          </w:p>
        </w:tc>
        <w:tc>
          <w:tcPr>
            <w:tcW w:w="150" w:type="dxa"/>
            <w:tcBorders/>
            <w:shd w:fill="CCEEFF" w:val="clear"/>
            <w:vAlign w:val="center"/>
          </w:tcPr>
          <w:p>
            <w:pPr>
              <w:pStyle w:val="TableContents"/>
              <w:spacing w:before="0" w:after="0"/>
              <w:ind w:left="0" w:right="0" w:firstLine="30"/>
              <w:jc w:val="left"/>
              <w:rPr/>
            </w:pPr>
            <w:r>
              <w:rPr/>
              <w:t>  </w:t>
            </w:r>
          </w:p>
        </w:tc>
        <w:tc>
          <w:tcPr>
            <w:tcW w:w="9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9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101.CAL†††</w:t>
            </w:r>
          </w:p>
        </w:tc>
        <w:tc>
          <w:tcPr>
            <w:tcW w:w="150" w:type="dxa"/>
            <w:tcBorders/>
            <w:shd w:fill="auto" w:val="clear"/>
            <w:vAlign w:val="center"/>
          </w:tcPr>
          <w:p>
            <w:pPr>
              <w:pStyle w:val="TableContents"/>
              <w:spacing w:before="0" w:after="0"/>
              <w:ind w:left="0" w:right="0" w:firstLine="30"/>
              <w:jc w:val="left"/>
              <w:rPr/>
            </w:pPr>
            <w:r>
              <w:rPr/>
              <w:t>  </w:t>
            </w:r>
          </w:p>
        </w:tc>
        <w:tc>
          <w:tcPr>
            <w:tcW w:w="9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9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101.LAB†††</w:t>
            </w:r>
          </w:p>
        </w:tc>
        <w:tc>
          <w:tcPr>
            <w:tcW w:w="150" w:type="dxa"/>
            <w:tcBorders/>
            <w:shd w:fill="CCEEFF" w:val="clear"/>
            <w:vAlign w:val="center"/>
          </w:tcPr>
          <w:p>
            <w:pPr>
              <w:pStyle w:val="TableContents"/>
              <w:spacing w:before="0" w:after="0"/>
              <w:ind w:left="0" w:right="0" w:firstLine="30"/>
              <w:jc w:val="left"/>
              <w:rPr/>
            </w:pPr>
            <w:r>
              <w:rPr/>
              <w:t>  </w:t>
            </w:r>
          </w:p>
        </w:tc>
        <w:tc>
          <w:tcPr>
            <w:tcW w:w="9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Label Linkbase Document</w:t>
            </w:r>
          </w:p>
        </w:tc>
      </w:tr>
      <w:tr>
        <w:trPr/>
        <w:tc>
          <w:tcPr>
            <w:tcW w:w="9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101.DEF†††</w:t>
            </w:r>
          </w:p>
        </w:tc>
        <w:tc>
          <w:tcPr>
            <w:tcW w:w="150" w:type="dxa"/>
            <w:tcBorders/>
            <w:shd w:fill="auto" w:val="clear"/>
            <w:vAlign w:val="center"/>
          </w:tcPr>
          <w:p>
            <w:pPr>
              <w:pStyle w:val="TableContents"/>
              <w:spacing w:before="0" w:after="0"/>
              <w:ind w:left="0" w:right="0" w:firstLine="30"/>
              <w:jc w:val="left"/>
              <w:rPr/>
            </w:pPr>
            <w:r>
              <w:rPr/>
              <w:t>  </w:t>
            </w:r>
          </w:p>
        </w:tc>
        <w:tc>
          <w:tcPr>
            <w:tcW w:w="9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9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101.PRE†††</w:t>
            </w:r>
          </w:p>
        </w:tc>
        <w:tc>
          <w:tcPr>
            <w:tcW w:w="150" w:type="dxa"/>
            <w:tcBorders/>
            <w:shd w:fill="CCEEFF" w:val="clear"/>
            <w:vAlign w:val="center"/>
          </w:tcPr>
          <w:p>
            <w:pPr>
              <w:pStyle w:val="TableContents"/>
              <w:spacing w:before="0" w:after="0"/>
              <w:ind w:left="0" w:right="0" w:firstLine="30"/>
              <w:jc w:val="left"/>
              <w:rPr/>
            </w:pPr>
            <w:r>
              <w:rPr/>
              <w:t>  </w:t>
            </w:r>
          </w:p>
        </w:tc>
        <w:tc>
          <w:tcPr>
            <w:tcW w:w="9102" w:type="dxa"/>
            <w:tcBorders/>
            <w:shd w:fill="CCEEFF"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tbl>
      <w:tblPr>
        <w:tblW w:w="10205" w:type="dxa"/>
        <w:jc w:val="left"/>
        <w:tblInd w:w="0" w:type="dxa"/>
        <w:tblCellMar>
          <w:top w:w="0" w:type="dxa"/>
          <w:left w:w="0" w:type="dxa"/>
          <w:bottom w:w="0" w:type="dxa"/>
          <w:right w:w="0" w:type="dxa"/>
        </w:tblCellMar>
      </w:tblPr>
      <w:tblGrid>
        <w:gridCol w:w="216"/>
        <w:gridCol w:w="9989"/>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216" w:type="dxa"/>
            <w:tcBorders/>
            <w:shd w:fill="auto" w:val="clear"/>
            <w:vAlign w:val="center"/>
          </w:tcPr>
          <w:p>
            <w:pPr>
              <w:pStyle w:val="TableContents"/>
              <w:spacing w:before="0" w:after="283"/>
              <w:rPr>
                <w:sz w:val="4"/>
                <w:szCs w:val="4"/>
              </w:rPr>
            </w:pPr>
            <w:r>
              <w:rPr>
                <w:sz w:val="4"/>
                <w:szCs w:val="4"/>
              </w:rPr>
            </w:r>
          </w:p>
        </w:tc>
        <w:tc>
          <w:tcPr>
            <w:tcW w:w="9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6" w:type="dxa"/>
            <w:tcBorders/>
            <w:shd w:fill="auto" w:val="clear"/>
            <w:vAlign w:val="center"/>
          </w:tcPr>
          <w:p>
            <w:pPr>
              <w:pStyle w:val="TableContents"/>
              <w:spacing w:before="0" w:after="0"/>
              <w:ind w:left="0" w:right="0" w:firstLine="30"/>
              <w:jc w:val="left"/>
              <w:rPr/>
            </w:pPr>
            <w:r>
              <w:rPr/>
              <w:t>†</w:t>
            </w:r>
          </w:p>
        </w:tc>
        <w:tc>
          <w:tcPr>
            <w:tcW w:w="99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Filed herewith. </w:t>
            </w:r>
          </w:p>
        </w:tc>
      </w:tr>
      <w:tr>
        <w:trPr/>
        <w:tc>
          <w:tcPr>
            <w:tcW w:w="216" w:type="dxa"/>
            <w:tcBorders/>
            <w:shd w:fill="auto" w:val="clear"/>
            <w:vAlign w:val="center"/>
          </w:tcPr>
          <w:p>
            <w:pPr>
              <w:pStyle w:val="TableContents"/>
              <w:spacing w:before="0" w:after="0"/>
              <w:ind w:left="0" w:right="0" w:firstLine="30"/>
              <w:jc w:val="left"/>
              <w:rPr/>
            </w:pPr>
            <w:r>
              <w:rPr/>
              <w:t>††</w:t>
            </w:r>
          </w:p>
        </w:tc>
        <w:tc>
          <w:tcPr>
            <w:tcW w:w="99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Furnished herewith. </w:t>
            </w:r>
          </w:p>
        </w:tc>
      </w:tr>
      <w:tr>
        <w:trPr/>
        <w:tc>
          <w:tcPr>
            <w:tcW w:w="216" w:type="dxa"/>
            <w:tcBorders/>
            <w:shd w:fill="auto" w:val="clear"/>
            <w:vAlign w:val="center"/>
          </w:tcPr>
          <w:p>
            <w:pPr>
              <w:pStyle w:val="TableContents"/>
              <w:spacing w:before="0" w:after="0"/>
              <w:ind w:left="0" w:right="0" w:firstLine="30"/>
              <w:jc w:val="left"/>
              <w:rPr/>
            </w:pPr>
            <w:r>
              <w:rPr/>
              <w:t>†††</w:t>
            </w:r>
          </w:p>
        </w:tc>
        <w:tc>
          <w:tcPr>
            <w:tcW w:w="9989" w:type="dxa"/>
            <w:tcBorders/>
            <w:shd w:fill="auto" w:val="clear"/>
            <w:vAlign w:val="center"/>
          </w:tcPr>
          <w:p>
            <w:pPr>
              <w:pStyle w:val="TableContents"/>
              <w:spacing w:before="0" w:after="0"/>
              <w:jc w:val="left"/>
              <w:rPr>
                <w:rFonts w:ascii="inherit" w:hAnsi="inherit"/>
                <w:sz w:val="17"/>
              </w:rPr>
            </w:pPr>
            <w:r>
              <w:rPr>
                <w:rFonts w:ascii="inherit" w:hAnsi="inherit"/>
                <w:sz w:val="17"/>
              </w:rPr>
              <w:t>Filed herewith as Exhibit 101 to this report are the following formatted in XBRL (Extensible Business Reporting Language): (i) Condensed Consolidated Balance Sheets as of March 31, 2018, March 31, 2017 and September 30, 2017; (ii) Condensed Consolidated Statements of Operations for the three and six months ended March 31, 2018 and March 31, 2017; (iii) Condensed Consolidated Statements of Comprehensive Income for the three and six months ended March 31, 2018 and March 31, 2017; (iv) Condensed Consolidated Statements of Stockholders' Equity for the six months ended March 31, 2018 and March 31, 2017; (v) Condensed Consolidated Statements of Cash Flows for the six months ended March 31, 2018 and March 31, 2017; and (vi) Notes to Interim Condensed Consolidated Financial Statements.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41</w:t>
      </w:r>
      <w:r>
        <w:br w:type="page"/>
      </w:r>
    </w:p>
    <w:p>
      <w:pPr>
        <w:pStyle w:val="TextBody"/>
        <w:spacing w:lineRule="auto" w:line="288" w:before="0" w:after="0"/>
        <w:rPr/>
      </w:pPr>
      <w:hyperlink w:anchor="sA33FD6028AA25395924ED4406F429385">
        <w:bookmarkStart w:id="43" w:name="sD79079F847B257CA9C7A01B6345F75BA"/>
        <w:bookmarkEnd w:id="43"/>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thereunto duly authorized.</w:t>
      </w:r>
    </w:p>
    <w:tbl>
      <w:tblPr>
        <w:tblW w:w="6540" w:type="dxa"/>
        <w:jc w:val="left"/>
        <w:tblInd w:w="0" w:type="dxa"/>
        <w:tblCellMar>
          <w:top w:w="0" w:type="dxa"/>
          <w:left w:w="0" w:type="dxa"/>
          <w:bottom w:w="0" w:type="dxa"/>
          <w:right w:w="0" w:type="dxa"/>
        </w:tblCellMar>
      </w:tblPr>
      <w:tblGrid>
        <w:gridCol w:w="515"/>
        <w:gridCol w:w="1055"/>
        <w:gridCol w:w="30"/>
        <w:gridCol w:w="4940"/>
      </w:tblGrid>
      <w:tr>
        <w:trPr/>
        <w:tc>
          <w:tcPr>
            <w:tcW w:w="6540"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49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94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David McGuire</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940" w:type="dxa"/>
            <w:tcBorders/>
            <w:shd w:fill="auto" w:val="clear"/>
            <w:vAlign w:val="center"/>
          </w:tcPr>
          <w:p>
            <w:pPr>
              <w:pStyle w:val="TableContents"/>
              <w:spacing w:before="0" w:after="0"/>
              <w:rPr>
                <w:rFonts w:ascii="inherit" w:hAnsi="inherit"/>
                <w:sz w:val="17"/>
              </w:rPr>
            </w:pPr>
            <w:r>
              <w:rPr>
                <w:rFonts w:ascii="inherit" w:hAnsi="inherit"/>
                <w:sz w:val="17"/>
              </w:rPr>
              <w:t>David McGuire, </w:t>
              <w:br/>
              <w:t>Deputy Chief Financial Officer and Chief Accounting Officer</w:t>
            </w:r>
          </w:p>
          <w:p>
            <w:pPr>
              <w:pStyle w:val="TableContents"/>
              <w:spacing w:before="0" w:after="0"/>
              <w:rPr>
                <w:rFonts w:ascii="inherit" w:hAnsi="inherit"/>
                <w:sz w:val="17"/>
              </w:rPr>
            </w:pPr>
            <w:r>
              <w:rPr>
                <w:rFonts w:ascii="inherit" w:hAnsi="inherit"/>
                <w:sz w:val="17"/>
              </w:rPr>
              <w:t>(principal accounting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42</w:t>
      </w:r>
      <w:r>
        <w:br w:type="page"/>
      </w:r>
    </w:p>
    <w:p>
      <w:pPr>
        <w:pStyle w:val="TextBody"/>
        <w:spacing w:lineRule="auto" w:line="288" w:before="0" w:after="0"/>
        <w:rPr>
          <w:rFonts w:ascii="inherit" w:hAnsi="inherit"/>
          <w:sz w:val="17"/>
        </w:rPr>
      </w:pPr>
      <w:r>
        <w:rPr>
          <w:rFonts w:ascii="inherit" w:hAnsi="inherit"/>
          <w:sz w:val="17"/>
        </w:rPr>
      </w:r>
      <w:bookmarkStart w:id="44" w:name="s12671FA5857C5963B161605AC3B88F6A"/>
      <w:bookmarkStart w:id="45" w:name="a2018-q210qex311_3312018.htm"/>
      <w:bookmarkStart w:id="46" w:name="ksa2018q210qex311_3312018"/>
      <w:bookmarkStart w:id="47" w:name="s12671FA5857C5963B161605AC3B88F6A"/>
      <w:bookmarkStart w:id="48" w:name="a2018-q210qex311_3312018.htm"/>
      <w:bookmarkStart w:id="49" w:name="ksa2018q210qex311_3312018"/>
      <w:bookmarkEnd w:id="47"/>
      <w:bookmarkEnd w:id="48"/>
      <w:bookmarkEnd w:id="49"/>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31.1</w:t>
      </w:r>
    </w:p>
    <w:p>
      <w:pPr>
        <w:pStyle w:val="TextBody"/>
        <w:spacing w:lineRule="auto" w:line="288" w:before="0" w:after="0"/>
        <w:jc w:val="center"/>
        <w:rPr>
          <w:rFonts w:ascii="inherit" w:hAnsi="inherit"/>
          <w:b/>
          <w:sz w:val="17"/>
        </w:rPr>
      </w:pPr>
      <w:r>
        <w:rPr>
          <w:rFonts w:ascii="inherit" w:hAnsi="inherit"/>
          <w:b/>
          <w:sz w:val="17"/>
        </w:rPr>
        <w:t xml:space="preserve">Certification of Stuart I. Grimshaw, Chief Executive Officer, </w:t>
      </w:r>
    </w:p>
    <w:p>
      <w:pPr>
        <w:pStyle w:val="TextBody"/>
        <w:spacing w:lineRule="auto" w:line="288" w:before="0" w:after="0"/>
        <w:jc w:val="center"/>
        <w:rPr>
          <w:rFonts w:ascii="inherit" w:hAnsi="inherit"/>
          <w:b/>
          <w:sz w:val="17"/>
        </w:rPr>
      </w:pPr>
      <w:r>
        <w:rPr>
          <w:rFonts w:ascii="inherit" w:hAnsi="inherit"/>
          <w:b/>
          <w:sz w:val="17"/>
        </w:rPr>
        <w:t xml:space="preserve">pursuant to Rule 13a-14(a) under the Securities Exchange Act of 1934, as adopted pursuant to </w:t>
      </w:r>
    </w:p>
    <w:p>
      <w:pPr>
        <w:pStyle w:val="TextBody"/>
        <w:spacing w:lineRule="auto" w:line="288" w:before="0" w:after="0"/>
        <w:jc w:val="center"/>
        <w:rPr>
          <w:rFonts w:ascii="inherit" w:hAnsi="inherit"/>
          <w:b/>
          <w:sz w:val="17"/>
        </w:rPr>
      </w:pPr>
      <w:r>
        <w:rPr>
          <w:rFonts w:ascii="inherit" w:hAnsi="inherit"/>
          <w:b/>
          <w:sz w:val="17"/>
        </w:rPr>
        <w:t xml:space="preserve">Section 302 of the Sarbanes-Oxley Act of 2002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 Stuart I. Grimshaw, certify that:</w:t>
      </w:r>
    </w:p>
    <w:tbl>
      <w:tblPr>
        <w:tblW w:w="6670" w:type="dxa"/>
        <w:jc w:val="left"/>
        <w:tblInd w:w="0" w:type="dxa"/>
        <w:tblCellMar>
          <w:top w:w="0" w:type="dxa"/>
          <w:left w:w="0" w:type="dxa"/>
          <w:bottom w:w="0" w:type="dxa"/>
          <w:right w:w="0" w:type="dxa"/>
        </w:tblCellMar>
      </w:tblPr>
      <w:tblGrid>
        <w:gridCol w:w="905"/>
        <w:gridCol w:w="5765"/>
      </w:tblGrid>
      <w:tr>
        <w:trPr/>
        <w:tc>
          <w:tcPr>
            <w:tcW w:w="905" w:type="dxa"/>
            <w:tcBorders/>
            <w:shd w:fill="auto" w:val="clear"/>
            <w:vAlign w:val="center"/>
          </w:tcPr>
          <w:p>
            <w:pPr>
              <w:pStyle w:val="TableContents"/>
              <w:spacing w:before="0" w:after="283"/>
              <w:rPr>
                <w:sz w:val="4"/>
                <w:szCs w:val="4"/>
              </w:rPr>
            </w:pPr>
            <w:r>
              <w:rPr>
                <w:sz w:val="4"/>
                <w:szCs w:val="4"/>
              </w:rPr>
            </w:r>
          </w:p>
        </w:tc>
        <w:tc>
          <w:tcPr>
            <w:tcW w:w="576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57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Quarterly Report on Form 10-Q of EZCORP, Inc.;</w:t>
            </w:r>
          </w:p>
        </w:tc>
      </w:tr>
    </w:tbl>
    <w:tbl>
      <w:tblPr>
        <w:tblW w:w="10205" w:type="dxa"/>
        <w:jc w:val="left"/>
        <w:tblInd w:w="0" w:type="dxa"/>
        <w:tblCellMar>
          <w:top w:w="0" w:type="dxa"/>
          <w:left w:w="0" w:type="dxa"/>
          <w:bottom w:w="0" w:type="dxa"/>
          <w:right w:w="0" w:type="dxa"/>
        </w:tblCellMar>
      </w:tblPr>
      <w:tblGrid>
        <w:gridCol w:w="875"/>
        <w:gridCol w:w="9330"/>
      </w:tblGrid>
      <w:tr>
        <w:trPr/>
        <w:tc>
          <w:tcPr>
            <w:tcW w:w="875" w:type="dxa"/>
            <w:tcBorders/>
            <w:shd w:fill="auto" w:val="clear"/>
            <w:vAlign w:val="center"/>
          </w:tcPr>
          <w:p>
            <w:pPr>
              <w:pStyle w:val="TableContents"/>
              <w:spacing w:before="0" w:after="283"/>
              <w:rPr>
                <w:sz w:val="4"/>
                <w:szCs w:val="4"/>
              </w:rPr>
            </w:pPr>
            <w:r>
              <w:rPr>
                <w:sz w:val="4"/>
                <w:szCs w:val="4"/>
              </w:rPr>
            </w:r>
          </w:p>
        </w:tc>
        <w:tc>
          <w:tcPr>
            <w:tcW w:w="9330"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3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877"/>
        <w:gridCol w:w="9328"/>
      </w:tblGrid>
      <w:tr>
        <w:trPr/>
        <w:tc>
          <w:tcPr>
            <w:tcW w:w="877" w:type="dxa"/>
            <w:tcBorders/>
            <w:shd w:fill="auto" w:val="clear"/>
            <w:vAlign w:val="center"/>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32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874"/>
        <w:gridCol w:w="9331"/>
      </w:tblGrid>
      <w:tr>
        <w:trPr/>
        <w:tc>
          <w:tcPr>
            <w:tcW w:w="874" w:type="dxa"/>
            <w:tcBorders/>
            <w:shd w:fill="auto" w:val="clear"/>
            <w:vAlign w:val="center"/>
          </w:tcPr>
          <w:p>
            <w:pPr>
              <w:pStyle w:val="TableContents"/>
              <w:spacing w:before="0" w:after="283"/>
              <w:rPr>
                <w:sz w:val="4"/>
                <w:szCs w:val="4"/>
              </w:rPr>
            </w:pPr>
            <w:r>
              <w:rPr>
                <w:sz w:val="4"/>
                <w:szCs w:val="4"/>
              </w:rPr>
            </w:r>
          </w:p>
        </w:tc>
        <w:tc>
          <w:tcPr>
            <w:tcW w:w="9331" w:type="dxa"/>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93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645"/>
        <w:gridCol w:w="8560"/>
      </w:tblGrid>
      <w:tr>
        <w:trPr/>
        <w:tc>
          <w:tcPr>
            <w:tcW w:w="1645" w:type="dxa"/>
            <w:tcBorders/>
            <w:shd w:fill="auto" w:val="clear"/>
            <w:vAlign w:val="center"/>
          </w:tcPr>
          <w:p>
            <w:pPr>
              <w:pStyle w:val="TableContents"/>
              <w:spacing w:before="0" w:after="283"/>
              <w:rPr>
                <w:sz w:val="4"/>
                <w:szCs w:val="4"/>
              </w:rPr>
            </w:pPr>
            <w:r>
              <w:rPr>
                <w:sz w:val="4"/>
                <w:szCs w:val="4"/>
              </w:rPr>
            </w:r>
          </w:p>
        </w:tc>
        <w:tc>
          <w:tcPr>
            <w:tcW w:w="8560" w:type="dxa"/>
            <w:tcBorders/>
            <w:shd w:fill="auto" w:val="clear"/>
            <w:vAlign w:val="center"/>
          </w:tcPr>
          <w:p>
            <w:pPr>
              <w:pStyle w:val="TableContents"/>
              <w:spacing w:before="0" w:after="283"/>
              <w:rPr>
                <w:sz w:val="4"/>
                <w:szCs w:val="4"/>
              </w:rPr>
            </w:pPr>
            <w:r>
              <w:rPr>
                <w:sz w:val="4"/>
                <w:szCs w:val="4"/>
              </w:rPr>
            </w:r>
          </w:p>
        </w:tc>
      </w:tr>
      <w:tr>
        <w:trPr/>
        <w:tc>
          <w:tcPr>
            <w:tcW w:w="164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(d)</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876"/>
        <w:gridCol w:w="9329"/>
      </w:tblGrid>
      <w:tr>
        <w:trPr/>
        <w:tc>
          <w:tcPr>
            <w:tcW w:w="876" w:type="dxa"/>
            <w:tcBorders/>
            <w:shd w:fill="auto" w:val="clear"/>
            <w:vAlign w:val="center"/>
          </w:tcPr>
          <w:p>
            <w:pPr>
              <w:pStyle w:val="TableContents"/>
              <w:spacing w:before="0" w:after="283"/>
              <w:rPr>
                <w:sz w:val="4"/>
                <w:szCs w:val="4"/>
              </w:rPr>
            </w:pPr>
            <w:r>
              <w:rPr>
                <w:sz w:val="4"/>
                <w:szCs w:val="4"/>
              </w:rPr>
            </w:r>
          </w:p>
        </w:tc>
        <w:tc>
          <w:tcPr>
            <w:tcW w:w="9329" w:type="dxa"/>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5.</w:t>
            </w:r>
          </w:p>
        </w:tc>
        <w:tc>
          <w:tcPr>
            <w:tcW w:w="932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661"/>
        <w:gridCol w:w="8544"/>
      </w:tblGrid>
      <w:tr>
        <w:trPr/>
        <w:tc>
          <w:tcPr>
            <w:tcW w:w="1661" w:type="dxa"/>
            <w:tcBorders/>
            <w:shd w:fill="auto" w:val="clear"/>
            <w:vAlign w:val="center"/>
          </w:tcPr>
          <w:p>
            <w:pPr>
              <w:pStyle w:val="TableContents"/>
              <w:spacing w:before="0" w:after="283"/>
              <w:rPr>
                <w:sz w:val="4"/>
                <w:szCs w:val="4"/>
              </w:rPr>
            </w:pPr>
            <w:r>
              <w:rPr>
                <w:sz w:val="4"/>
                <w:szCs w:val="4"/>
              </w:rPr>
            </w:r>
          </w:p>
        </w:tc>
        <w:tc>
          <w:tcPr>
            <w:tcW w:w="8544" w:type="dxa"/>
            <w:tcBorders/>
            <w:shd w:fill="auto" w:val="clear"/>
            <w:vAlign w:val="center"/>
          </w:tcPr>
          <w:p>
            <w:pPr>
              <w:pStyle w:val="TableContents"/>
              <w:spacing w:before="0" w:after="283"/>
              <w:rPr>
                <w:sz w:val="4"/>
                <w:szCs w:val="4"/>
              </w:rPr>
            </w:pPr>
            <w:r>
              <w:rPr>
                <w:sz w:val="4"/>
                <w:szCs w:val="4"/>
              </w:rPr>
            </w:r>
          </w:p>
        </w:tc>
      </w:tr>
      <w:tr>
        <w:trPr/>
        <w:tc>
          <w:tcPr>
            <w:tcW w:w="1661"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4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674"/>
        <w:gridCol w:w="8531"/>
      </w:tblGrid>
      <w:tr>
        <w:trPr/>
        <w:tc>
          <w:tcPr>
            <w:tcW w:w="1674" w:type="dxa"/>
            <w:tcBorders/>
            <w:shd w:fill="auto" w:val="clear"/>
            <w:vAlign w:val="center"/>
          </w:tcPr>
          <w:p>
            <w:pPr>
              <w:pStyle w:val="TableContents"/>
              <w:spacing w:before="0" w:after="283"/>
              <w:rPr>
                <w:sz w:val="4"/>
                <w:szCs w:val="4"/>
              </w:rPr>
            </w:pPr>
            <w:r>
              <w:rPr>
                <w:sz w:val="4"/>
                <w:szCs w:val="4"/>
              </w:rPr>
            </w:r>
          </w:p>
        </w:tc>
        <w:tc>
          <w:tcPr>
            <w:tcW w:w="8531" w:type="dxa"/>
            <w:tcBorders/>
            <w:shd w:fill="auto" w:val="clear"/>
            <w:vAlign w:val="center"/>
          </w:tcPr>
          <w:p>
            <w:pPr>
              <w:pStyle w:val="TableContents"/>
              <w:spacing w:before="0" w:after="283"/>
              <w:rPr>
                <w:sz w:val="4"/>
                <w:szCs w:val="4"/>
              </w:rPr>
            </w:pPr>
            <w:r>
              <w:rPr>
                <w:sz w:val="4"/>
                <w:szCs w:val="4"/>
              </w:rPr>
            </w:r>
          </w:p>
        </w:tc>
      </w:tr>
      <w:tr>
        <w:trPr/>
        <w:tc>
          <w:tcPr>
            <w:tcW w:w="1674"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ind w:left="0" w:right="0" w:firstLine="2160"/>
        <w:jc w:val="left"/>
        <w:rPr>
          <w:rFonts w:ascii="inherit" w:hAnsi="inherit"/>
          <w:sz w:val="17"/>
        </w:rPr>
      </w:pPr>
      <w:r>
        <w:rPr>
          <w:rFonts w:ascii="inherit" w:hAnsi="inherit"/>
          <w:sz w:val="17"/>
        </w:rPr>
      </w:r>
    </w:p>
    <w:p>
      <w:pPr>
        <w:pStyle w:val="TextBody"/>
        <w:spacing w:lineRule="auto" w:line="288" w:before="0" w:after="0"/>
        <w:jc w:val="left"/>
        <w:rPr/>
      </w:pPr>
      <w:r>
        <w:rPr/>
        <w:t> </w:t>
      </w:r>
      <w:r>
        <w:rPr>
          <w:rFonts w:ascii="inherit" w:hAnsi="inherit"/>
          <w:sz w:val="17"/>
        </w:rPr>
        <w:t>Date: May 2, 2018</w:t>
      </w:r>
      <w:r>
        <w:rPr>
          <w:sz w:val="22"/>
        </w:rPr>
        <w:t xml:space="preserve"> </w:t>
      </w:r>
    </w:p>
    <w:tbl>
      <w:tblPr>
        <w:tblW w:w="2058" w:type="dxa"/>
        <w:jc w:val="left"/>
        <w:tblInd w:w="0" w:type="dxa"/>
        <w:tblCellMar>
          <w:top w:w="0" w:type="dxa"/>
          <w:left w:w="0" w:type="dxa"/>
          <w:bottom w:w="0" w:type="dxa"/>
          <w:right w:w="0" w:type="dxa"/>
        </w:tblCellMar>
      </w:tblPr>
      <w:tblGrid>
        <w:gridCol w:w="105"/>
        <w:gridCol w:w="492"/>
        <w:gridCol w:w="492"/>
        <w:gridCol w:w="969"/>
      </w:tblGrid>
      <w:tr>
        <w:trPr/>
        <w:tc>
          <w:tcPr>
            <w:tcW w:w="2058" w:type="dxa"/>
            <w:gridSpan w:val="4"/>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9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Stuart I. Grimshaw</w:t>
            </w:r>
          </w:p>
        </w:tc>
      </w:tr>
      <w:tr>
        <w:trPr/>
        <w:tc>
          <w:tcPr>
            <w:tcW w:w="105" w:type="dxa"/>
            <w:tcBorders/>
            <w:shd w:fill="auto" w:val="clear"/>
            <w:vAlign w:val="center"/>
          </w:tcPr>
          <w:p>
            <w:pPr>
              <w:pStyle w:val="TableContents"/>
              <w:spacing w:before="0" w:after="0"/>
              <w:ind w:left="0" w:right="0" w:firstLine="30"/>
              <w:jc w:val="left"/>
              <w:rPr/>
            </w:pPr>
            <w:r>
              <w:rPr/>
              <w:t> </w:t>
            </w:r>
          </w:p>
        </w:tc>
        <w:tc>
          <w:tcPr>
            <w:tcW w:w="1953"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Stuart I. Grimshaw</w:t>
            </w:r>
          </w:p>
        </w:tc>
      </w:tr>
      <w:tr>
        <w:trPr/>
        <w:tc>
          <w:tcPr>
            <w:tcW w:w="105" w:type="dxa"/>
            <w:tcBorders/>
            <w:shd w:fill="auto" w:val="clear"/>
            <w:vAlign w:val="center"/>
          </w:tcPr>
          <w:p>
            <w:pPr>
              <w:pStyle w:val="TableContents"/>
              <w:spacing w:before="0" w:after="0"/>
              <w:ind w:left="0" w:right="0" w:firstLine="30"/>
              <w:jc w:val="left"/>
              <w:rPr/>
            </w:pPr>
            <w:r>
              <w:rPr/>
              <w:t> </w:t>
            </w:r>
          </w:p>
        </w:tc>
        <w:tc>
          <w:tcPr>
            <w:tcW w:w="1953" w:type="dxa"/>
            <w:gridSpan w:val="3"/>
            <w:tcBorders/>
            <w:shd w:fill="auto" w:val="clear"/>
            <w:vAlign w:val="center"/>
          </w:tcPr>
          <w:p>
            <w:pPr>
              <w:pStyle w:val="TableContents"/>
              <w:spacing w:before="0" w:after="0"/>
              <w:jc w:val="left"/>
              <w:rPr>
                <w:rFonts w:ascii="inherit" w:hAnsi="inherit"/>
                <w:sz w:val="17"/>
              </w:rPr>
            </w:pPr>
            <w:r>
              <w:rPr>
                <w:rFonts w:ascii="inherit" w:hAnsi="inherit"/>
                <w:sz w:val="17"/>
              </w:rPr>
              <w:t>Chief Executive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50" w:name="s2215EE2965B45FB29308C67CCDB5966C"/>
      <w:bookmarkStart w:id="51" w:name="a2018-q210qex312_3312018.htm"/>
      <w:bookmarkStart w:id="52" w:name="ksa2018q210qex312_3312018"/>
      <w:bookmarkStart w:id="53" w:name="s2215EE2965B45FB29308C67CCDB5966C"/>
      <w:bookmarkStart w:id="54" w:name="a2018-q210qex312_3312018.htm"/>
      <w:bookmarkStart w:id="55" w:name="ksa2018q210qex312_3312018"/>
      <w:bookmarkEnd w:id="53"/>
      <w:bookmarkEnd w:id="54"/>
      <w:bookmarkEnd w:id="55"/>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31.2</w:t>
      </w:r>
    </w:p>
    <w:p>
      <w:pPr>
        <w:pStyle w:val="TextBody"/>
        <w:spacing w:lineRule="auto" w:line="288" w:before="0" w:after="0"/>
        <w:jc w:val="center"/>
        <w:rPr>
          <w:rFonts w:ascii="inherit" w:hAnsi="inherit"/>
          <w:b/>
          <w:sz w:val="17"/>
        </w:rPr>
      </w:pPr>
      <w:r>
        <w:rPr>
          <w:rFonts w:ascii="inherit" w:hAnsi="inherit"/>
          <w:b/>
          <w:sz w:val="17"/>
        </w:rPr>
        <w:t xml:space="preserve">Certification of Daniel M. Chism, Chief Financial Officer, </w:t>
      </w:r>
    </w:p>
    <w:p>
      <w:pPr>
        <w:pStyle w:val="TextBody"/>
        <w:spacing w:lineRule="auto" w:line="288" w:before="0" w:after="0"/>
        <w:jc w:val="center"/>
        <w:rPr>
          <w:rFonts w:ascii="inherit" w:hAnsi="inherit"/>
          <w:b/>
          <w:sz w:val="17"/>
        </w:rPr>
      </w:pPr>
      <w:r>
        <w:rPr>
          <w:rFonts w:ascii="inherit" w:hAnsi="inherit"/>
          <w:b/>
          <w:sz w:val="17"/>
        </w:rPr>
        <w:t xml:space="preserve">pursuant to Rule 13a-14(a) under the Securities Exchange Act of 1934, as adopted pursuant to </w:t>
      </w:r>
    </w:p>
    <w:p>
      <w:pPr>
        <w:pStyle w:val="TextBody"/>
        <w:spacing w:lineRule="auto" w:line="288" w:before="0" w:after="0"/>
        <w:jc w:val="center"/>
        <w:rPr>
          <w:rFonts w:ascii="inherit" w:hAnsi="inherit"/>
          <w:b/>
          <w:sz w:val="17"/>
        </w:rPr>
      </w:pPr>
      <w:r>
        <w:rPr>
          <w:rFonts w:ascii="inherit" w:hAnsi="inherit"/>
          <w:b/>
          <w:sz w:val="17"/>
        </w:rPr>
        <w:t>Section 302 of the Sarbanes-Oxley Act of 2002</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 Daniel M. Chism, certify that:</w:t>
      </w:r>
    </w:p>
    <w:tbl>
      <w:tblPr>
        <w:tblW w:w="6670" w:type="dxa"/>
        <w:jc w:val="left"/>
        <w:tblInd w:w="0" w:type="dxa"/>
        <w:tblCellMar>
          <w:top w:w="0" w:type="dxa"/>
          <w:left w:w="0" w:type="dxa"/>
          <w:bottom w:w="0" w:type="dxa"/>
          <w:right w:w="0" w:type="dxa"/>
        </w:tblCellMar>
      </w:tblPr>
      <w:tblGrid>
        <w:gridCol w:w="905"/>
        <w:gridCol w:w="5765"/>
      </w:tblGrid>
      <w:tr>
        <w:trPr/>
        <w:tc>
          <w:tcPr>
            <w:tcW w:w="905" w:type="dxa"/>
            <w:tcBorders/>
            <w:shd w:fill="auto" w:val="clear"/>
            <w:vAlign w:val="center"/>
          </w:tcPr>
          <w:p>
            <w:pPr>
              <w:pStyle w:val="TableContents"/>
              <w:spacing w:before="0" w:after="283"/>
              <w:rPr>
                <w:sz w:val="4"/>
                <w:szCs w:val="4"/>
              </w:rPr>
            </w:pPr>
            <w:r>
              <w:rPr>
                <w:sz w:val="4"/>
                <w:szCs w:val="4"/>
              </w:rPr>
            </w:r>
          </w:p>
        </w:tc>
        <w:tc>
          <w:tcPr>
            <w:tcW w:w="576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57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Quarterly Report on Form 10-Q of EZCORP, Inc.;</w:t>
            </w:r>
          </w:p>
        </w:tc>
      </w:tr>
    </w:tbl>
    <w:tbl>
      <w:tblPr>
        <w:tblW w:w="10205" w:type="dxa"/>
        <w:jc w:val="left"/>
        <w:tblInd w:w="0" w:type="dxa"/>
        <w:tblCellMar>
          <w:top w:w="0" w:type="dxa"/>
          <w:left w:w="0" w:type="dxa"/>
          <w:bottom w:w="0" w:type="dxa"/>
          <w:right w:w="0" w:type="dxa"/>
        </w:tblCellMar>
      </w:tblPr>
      <w:tblGrid>
        <w:gridCol w:w="875"/>
        <w:gridCol w:w="9330"/>
      </w:tblGrid>
      <w:tr>
        <w:trPr/>
        <w:tc>
          <w:tcPr>
            <w:tcW w:w="875" w:type="dxa"/>
            <w:tcBorders/>
            <w:shd w:fill="auto" w:val="clear"/>
            <w:vAlign w:val="center"/>
          </w:tcPr>
          <w:p>
            <w:pPr>
              <w:pStyle w:val="TableContents"/>
              <w:spacing w:before="0" w:after="283"/>
              <w:rPr>
                <w:sz w:val="4"/>
                <w:szCs w:val="4"/>
              </w:rPr>
            </w:pPr>
            <w:r>
              <w:rPr>
                <w:sz w:val="4"/>
                <w:szCs w:val="4"/>
              </w:rPr>
            </w:r>
          </w:p>
        </w:tc>
        <w:tc>
          <w:tcPr>
            <w:tcW w:w="9330"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3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877"/>
        <w:gridCol w:w="9328"/>
      </w:tblGrid>
      <w:tr>
        <w:trPr/>
        <w:tc>
          <w:tcPr>
            <w:tcW w:w="877" w:type="dxa"/>
            <w:tcBorders/>
            <w:shd w:fill="auto" w:val="clear"/>
            <w:vAlign w:val="center"/>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32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874"/>
        <w:gridCol w:w="9331"/>
      </w:tblGrid>
      <w:tr>
        <w:trPr/>
        <w:tc>
          <w:tcPr>
            <w:tcW w:w="874" w:type="dxa"/>
            <w:tcBorders/>
            <w:shd w:fill="auto" w:val="clear"/>
            <w:vAlign w:val="center"/>
          </w:tcPr>
          <w:p>
            <w:pPr>
              <w:pStyle w:val="TableContents"/>
              <w:spacing w:before="0" w:after="283"/>
              <w:rPr>
                <w:sz w:val="4"/>
                <w:szCs w:val="4"/>
              </w:rPr>
            </w:pPr>
            <w:r>
              <w:rPr>
                <w:sz w:val="4"/>
                <w:szCs w:val="4"/>
              </w:rPr>
            </w:r>
          </w:p>
        </w:tc>
        <w:tc>
          <w:tcPr>
            <w:tcW w:w="9331" w:type="dxa"/>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93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645"/>
        <w:gridCol w:w="8560"/>
      </w:tblGrid>
      <w:tr>
        <w:trPr/>
        <w:tc>
          <w:tcPr>
            <w:tcW w:w="1645" w:type="dxa"/>
            <w:tcBorders/>
            <w:shd w:fill="auto" w:val="clear"/>
            <w:vAlign w:val="center"/>
          </w:tcPr>
          <w:p>
            <w:pPr>
              <w:pStyle w:val="TableContents"/>
              <w:spacing w:before="0" w:after="283"/>
              <w:rPr>
                <w:sz w:val="4"/>
                <w:szCs w:val="4"/>
              </w:rPr>
            </w:pPr>
            <w:r>
              <w:rPr>
                <w:sz w:val="4"/>
                <w:szCs w:val="4"/>
              </w:rPr>
            </w:r>
          </w:p>
        </w:tc>
        <w:tc>
          <w:tcPr>
            <w:tcW w:w="8560" w:type="dxa"/>
            <w:tcBorders/>
            <w:shd w:fill="auto" w:val="clear"/>
            <w:vAlign w:val="center"/>
          </w:tcPr>
          <w:p>
            <w:pPr>
              <w:pStyle w:val="TableContents"/>
              <w:spacing w:before="0" w:after="283"/>
              <w:rPr>
                <w:sz w:val="4"/>
                <w:szCs w:val="4"/>
              </w:rPr>
            </w:pPr>
            <w:r>
              <w:rPr>
                <w:sz w:val="4"/>
                <w:szCs w:val="4"/>
              </w:rPr>
            </w:r>
          </w:p>
        </w:tc>
      </w:tr>
      <w:tr>
        <w:trPr/>
        <w:tc>
          <w:tcPr>
            <w:tcW w:w="164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(d)</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876"/>
        <w:gridCol w:w="9329"/>
      </w:tblGrid>
      <w:tr>
        <w:trPr/>
        <w:tc>
          <w:tcPr>
            <w:tcW w:w="876" w:type="dxa"/>
            <w:tcBorders/>
            <w:shd w:fill="auto" w:val="clear"/>
            <w:vAlign w:val="center"/>
          </w:tcPr>
          <w:p>
            <w:pPr>
              <w:pStyle w:val="TableContents"/>
              <w:spacing w:before="0" w:after="283"/>
              <w:rPr>
                <w:sz w:val="4"/>
                <w:szCs w:val="4"/>
              </w:rPr>
            </w:pPr>
            <w:r>
              <w:rPr>
                <w:sz w:val="4"/>
                <w:szCs w:val="4"/>
              </w:rPr>
            </w:r>
          </w:p>
        </w:tc>
        <w:tc>
          <w:tcPr>
            <w:tcW w:w="9329" w:type="dxa"/>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5.</w:t>
            </w:r>
          </w:p>
        </w:tc>
        <w:tc>
          <w:tcPr>
            <w:tcW w:w="932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661"/>
        <w:gridCol w:w="8544"/>
      </w:tblGrid>
      <w:tr>
        <w:trPr/>
        <w:tc>
          <w:tcPr>
            <w:tcW w:w="1661" w:type="dxa"/>
            <w:tcBorders/>
            <w:shd w:fill="auto" w:val="clear"/>
            <w:vAlign w:val="center"/>
          </w:tcPr>
          <w:p>
            <w:pPr>
              <w:pStyle w:val="TableContents"/>
              <w:spacing w:before="0" w:after="283"/>
              <w:rPr>
                <w:sz w:val="4"/>
                <w:szCs w:val="4"/>
              </w:rPr>
            </w:pPr>
            <w:r>
              <w:rPr>
                <w:sz w:val="4"/>
                <w:szCs w:val="4"/>
              </w:rPr>
            </w:r>
          </w:p>
        </w:tc>
        <w:tc>
          <w:tcPr>
            <w:tcW w:w="8544" w:type="dxa"/>
            <w:tcBorders/>
            <w:shd w:fill="auto" w:val="clear"/>
            <w:vAlign w:val="center"/>
          </w:tcPr>
          <w:p>
            <w:pPr>
              <w:pStyle w:val="TableContents"/>
              <w:spacing w:before="0" w:after="283"/>
              <w:rPr>
                <w:sz w:val="4"/>
                <w:szCs w:val="4"/>
              </w:rPr>
            </w:pPr>
            <w:r>
              <w:rPr>
                <w:sz w:val="4"/>
                <w:szCs w:val="4"/>
              </w:rPr>
            </w:r>
          </w:p>
        </w:tc>
      </w:tr>
      <w:tr>
        <w:trPr/>
        <w:tc>
          <w:tcPr>
            <w:tcW w:w="1661"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4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674"/>
        <w:gridCol w:w="8531"/>
      </w:tblGrid>
      <w:tr>
        <w:trPr/>
        <w:tc>
          <w:tcPr>
            <w:tcW w:w="1674" w:type="dxa"/>
            <w:tcBorders/>
            <w:shd w:fill="auto" w:val="clear"/>
            <w:vAlign w:val="center"/>
          </w:tcPr>
          <w:p>
            <w:pPr>
              <w:pStyle w:val="TableContents"/>
              <w:spacing w:before="0" w:after="283"/>
              <w:rPr>
                <w:sz w:val="4"/>
                <w:szCs w:val="4"/>
              </w:rPr>
            </w:pPr>
            <w:r>
              <w:rPr>
                <w:sz w:val="4"/>
                <w:szCs w:val="4"/>
              </w:rPr>
            </w:r>
          </w:p>
        </w:tc>
        <w:tc>
          <w:tcPr>
            <w:tcW w:w="8531" w:type="dxa"/>
            <w:tcBorders/>
            <w:shd w:fill="auto" w:val="clear"/>
            <w:vAlign w:val="center"/>
          </w:tcPr>
          <w:p>
            <w:pPr>
              <w:pStyle w:val="TableContents"/>
              <w:spacing w:before="0" w:after="283"/>
              <w:rPr>
                <w:sz w:val="4"/>
                <w:szCs w:val="4"/>
              </w:rPr>
            </w:pPr>
            <w:r>
              <w:rPr>
                <w:sz w:val="4"/>
                <w:szCs w:val="4"/>
              </w:rPr>
            </w:r>
          </w:p>
        </w:tc>
      </w:tr>
      <w:tr>
        <w:trPr/>
        <w:tc>
          <w:tcPr>
            <w:tcW w:w="1674"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pPr>
      <w:r>
        <w:rPr/>
        <w:t> </w:t>
      </w:r>
      <w:r>
        <w:rPr>
          <w:rFonts w:ascii="inherit" w:hAnsi="inherit"/>
          <w:sz w:val="17"/>
        </w:rPr>
        <w:t>Date: May 2, 2018</w:t>
      </w:r>
      <w:r>
        <w:rPr>
          <w:sz w:val="22"/>
        </w:rPr>
        <w:t xml:space="preserve"> </w:t>
      </w:r>
    </w:p>
    <w:tbl>
      <w:tblPr>
        <w:tblW w:w="1969" w:type="dxa"/>
        <w:jc w:val="center"/>
        <w:tblInd w:w="0" w:type="dxa"/>
        <w:tblCellMar>
          <w:top w:w="0" w:type="dxa"/>
          <w:left w:w="0" w:type="dxa"/>
          <w:bottom w:w="0" w:type="dxa"/>
          <w:right w:w="0" w:type="dxa"/>
        </w:tblCellMar>
      </w:tblPr>
      <w:tblGrid>
        <w:gridCol w:w="105"/>
        <w:gridCol w:w="471"/>
        <w:gridCol w:w="471"/>
        <w:gridCol w:w="922"/>
      </w:tblGrid>
      <w:tr>
        <w:trPr/>
        <w:tc>
          <w:tcPr>
            <w:tcW w:w="1969" w:type="dxa"/>
            <w:gridSpan w:val="4"/>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8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Daniel M. Chism</w:t>
            </w:r>
          </w:p>
        </w:tc>
      </w:tr>
      <w:tr>
        <w:trPr/>
        <w:tc>
          <w:tcPr>
            <w:tcW w:w="105" w:type="dxa"/>
            <w:tcBorders/>
            <w:shd w:fill="auto" w:val="clear"/>
            <w:vAlign w:val="center"/>
          </w:tcPr>
          <w:p>
            <w:pPr>
              <w:pStyle w:val="TableContents"/>
              <w:spacing w:before="0" w:after="0"/>
              <w:ind w:left="0" w:right="0" w:firstLine="30"/>
              <w:jc w:val="left"/>
              <w:rPr/>
            </w:pPr>
            <w:r>
              <w:rPr/>
              <w:t> </w:t>
            </w:r>
          </w:p>
        </w:tc>
        <w:tc>
          <w:tcPr>
            <w:tcW w:w="1864"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Daniel M. Chism</w:t>
            </w:r>
          </w:p>
        </w:tc>
      </w:tr>
      <w:tr>
        <w:trPr/>
        <w:tc>
          <w:tcPr>
            <w:tcW w:w="105" w:type="dxa"/>
            <w:tcBorders/>
            <w:shd w:fill="auto" w:val="clear"/>
            <w:vAlign w:val="center"/>
          </w:tcPr>
          <w:p>
            <w:pPr>
              <w:pStyle w:val="TableContents"/>
              <w:spacing w:before="0" w:after="0"/>
              <w:ind w:left="0" w:right="0" w:firstLine="30"/>
              <w:jc w:val="left"/>
              <w:rPr/>
            </w:pPr>
            <w:r>
              <w:rPr/>
              <w:t> </w:t>
            </w:r>
          </w:p>
        </w:tc>
        <w:tc>
          <w:tcPr>
            <w:tcW w:w="1864" w:type="dxa"/>
            <w:gridSpan w:val="3"/>
            <w:tcBorders/>
            <w:shd w:fill="auto" w:val="clear"/>
            <w:vAlign w:val="center"/>
          </w:tcPr>
          <w:p>
            <w:pPr>
              <w:pStyle w:val="TableContents"/>
              <w:spacing w:before="0" w:after="0"/>
              <w:jc w:val="left"/>
              <w:rPr>
                <w:rFonts w:ascii="inherit" w:hAnsi="inherit"/>
                <w:sz w:val="17"/>
              </w:rPr>
            </w:pPr>
            <w:r>
              <w:rPr>
                <w:rFonts w:ascii="inherit" w:hAnsi="inherit"/>
                <w:sz w:val="17"/>
              </w:rPr>
              <w:t>Chief Financial Officer</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56" w:name="s714CC1C1B6185E028DE29E09C09857F6"/>
      <w:bookmarkStart w:id="57" w:name="a2018-q210qex321_3312018.htm"/>
      <w:bookmarkStart w:id="58" w:name="ksa2018q210qex321_3312018"/>
      <w:bookmarkStart w:id="59" w:name="s714CC1C1B6185E028DE29E09C09857F6"/>
      <w:bookmarkStart w:id="60" w:name="a2018-q210qex321_3312018.htm"/>
      <w:bookmarkStart w:id="61" w:name="ksa2018q210qex321_3312018"/>
      <w:bookmarkEnd w:id="59"/>
      <w:bookmarkEnd w:id="60"/>
      <w:bookmarkEnd w:id="61"/>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 xml:space="preserve">Exhibit 32.1 </w:t>
      </w:r>
    </w:p>
    <w:p>
      <w:pPr>
        <w:pStyle w:val="TextBody"/>
        <w:spacing w:lineRule="auto" w:line="288" w:before="0" w:after="0"/>
        <w:jc w:val="center"/>
        <w:rPr>
          <w:rFonts w:ascii="inherit" w:hAnsi="inherit"/>
          <w:b/>
          <w:sz w:val="17"/>
        </w:rPr>
      </w:pPr>
      <w:r>
        <w:rPr>
          <w:rFonts w:ascii="inherit" w:hAnsi="inherit"/>
          <w:b/>
          <w:sz w:val="17"/>
        </w:rPr>
        <w:t>Certifications of Stuart I. Grimshaw, Chief Executive Officer, and Daniel M. Chism, Chief Financial Officer, pursuant to 18 U.S.C. Section 1350, as adopted pursuant to Section 906 of the Sarbanes-Oxley Act of 2002</w:t>
      </w:r>
    </w:p>
    <w:p>
      <w:pPr>
        <w:pStyle w:val="TextBody"/>
        <w:spacing w:lineRule="auto" w:line="288" w:before="0" w:after="0"/>
        <w:jc w:val="left"/>
        <w:rPr>
          <w:rFonts w:ascii="inherit" w:hAnsi="inherit"/>
          <w:sz w:val="17"/>
        </w:rPr>
      </w:pPr>
      <w:r>
        <w:rPr>
          <w:rFonts w:ascii="inherit" w:hAnsi="inherit"/>
          <w:sz w:val="17"/>
        </w:rPr>
        <w:t xml:space="preserve">The undersigned officers of EZCORP, Inc. hereby certify that (a) EZCORP's Quarterly Report on Form 10-Q for the quarter ended March 31, 2018,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 </w:t>
      </w:r>
    </w:p>
    <w:p>
      <w:pPr>
        <w:pStyle w:val="TextBody"/>
        <w:spacing w:lineRule="auto" w:line="288" w:before="0" w:after="0"/>
        <w:jc w:val="left"/>
        <w:rPr/>
      </w:pPr>
      <w:r>
        <w:rPr/>
        <w:t> </w:t>
      </w:r>
    </w:p>
    <w:p>
      <w:pPr>
        <w:pStyle w:val="TextBody"/>
        <w:spacing w:lineRule="auto" w:line="288" w:before="0" w:after="0"/>
        <w:jc w:val="center"/>
        <w:rPr>
          <w:rFonts w:ascii="inherit" w:hAnsi="inherit"/>
          <w:sz w:val="17"/>
        </w:rPr>
      </w:pPr>
      <w:r>
        <w:rPr>
          <w:rFonts w:ascii="inherit" w:hAnsi="inherit"/>
          <w:sz w:val="17"/>
        </w:rPr>
      </w:r>
    </w:p>
    <w:tbl>
      <w:tblPr>
        <w:tblW w:w="3555" w:type="dxa"/>
        <w:jc w:val="center"/>
        <w:tblInd w:w="0" w:type="dxa"/>
        <w:tblCellMar>
          <w:top w:w="0" w:type="dxa"/>
          <w:left w:w="0" w:type="dxa"/>
          <w:bottom w:w="0" w:type="dxa"/>
          <w:right w:w="0" w:type="dxa"/>
        </w:tblCellMar>
      </w:tblPr>
      <w:tblGrid>
        <w:gridCol w:w="515"/>
        <w:gridCol w:w="1055"/>
        <w:gridCol w:w="1985"/>
      </w:tblGrid>
      <w:tr>
        <w:trPr/>
        <w:tc>
          <w:tcPr>
            <w:tcW w:w="3555" w:type="dxa"/>
            <w:gridSpan w:val="3"/>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2018</w:t>
            </w:r>
          </w:p>
        </w:tc>
        <w:tc>
          <w:tcPr>
            <w:tcW w:w="198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Stuart I. Grimshaw</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Stuart I. Grimshaw</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Chief Executive Officer</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198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2018</w:t>
            </w:r>
          </w:p>
        </w:tc>
        <w:tc>
          <w:tcPr>
            <w:tcW w:w="198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Daniel M. Chism</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Daniel M. Chism</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1985" w:type="dxa"/>
            <w:tcBorders/>
            <w:shd w:fill="auto" w:val="clear"/>
            <w:vAlign w:val="center"/>
          </w:tcPr>
          <w:p>
            <w:pPr>
              <w:pStyle w:val="TableContents"/>
              <w:spacing w:before="0" w:after="0"/>
              <w:jc w:val="left"/>
              <w:rPr>
                <w:rFonts w:ascii="inherit" w:hAnsi="inherit"/>
                <w:sz w:val="17"/>
              </w:rPr>
            </w:pPr>
            <w:r>
              <w:rPr>
                <w:rFonts w:ascii="inherit" w:hAnsi="inherit"/>
                <w:sz w:val="17"/>
              </w:rPr>
              <w:t>Chief Financial Officer</w:t>
            </w:r>
          </w:p>
        </w:tc>
      </w:tr>
    </w:tbl>
    <w:p>
      <w:pPr>
        <w:pStyle w:val="TextBody"/>
        <w:spacing w:before="0" w:after="0"/>
        <w:rPr/>
      </w:pPr>
      <w:r>
        <w:rPr/>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47</Pages>
  <Words>20950</Words>
  <CharactersWithSpaces>133056</CharactersWithSpaces>
  <Paragraphs>6503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