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November 13, 2025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EZCORP,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2500 Bee Cave Road, Bldg One, Suite 200, Rollingwood, Texas 78746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(512) 314-3400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13, 2025, EZCORP, Inc. (“EZCORP”) issued a press release announcing its results of operations and financial condition for the full year and quarter ended September 30, 2025. A copy of that press release is attached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presentation materials that management will review during the Company’s earnings conference call (to be held on November 14, 2025) will be posted in the Investor Relations section of the company’s website at www.ezcorp.com.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50"/>
        <w:gridCol w:w="2838"/>
        <w:gridCol w:w="403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q4pressreleaseex991.htm">
              <w:r>
                <w:rPr>
                  <w:rStyle w:val="InternetLink"/>
                  <w:rFonts w:ascii="Times New Roman;serif" w:hAnsi="Times New Roman;serif"/>
                  <w:b w:val="false"/>
                  <w:color w:val="000080"/>
                  <w:sz w:val="20"/>
                  <w:u w:val="single"/>
                </w:rPr>
                <w:t>Press Release, dated</w:t>
              </w:r>
            </w:hyperlink>
            <w:hyperlink w:anchor="a2025-q4pressreleaseex991.htm">
              <w:r>
                <w:rPr>
                  <w:rStyle w:val="InternetLink"/>
                  <w:rFonts w:ascii="Times New Roman;serif" w:hAnsi="Times New Roman;serif"/>
                  <w:b w:val="false"/>
                  <w:color w:val="000080"/>
                  <w:sz w:val="20"/>
                  <w:u w:val="single"/>
                </w:rPr>
                <w:t xml:space="preserve"> November 13</w:t>
              </w:r>
            </w:hyperlink>
            <w:hyperlink w:anchor="a2025-q4pressreleaseex991.htm">
              <w:r>
                <w:rPr>
                  <w:rStyle w:val="InternetLink"/>
                  <w:rFonts w:ascii="Times New Roman;serif" w:hAnsi="Times New Roman;serif"/>
                  <w:b w:val="false"/>
                  <w:color w:val="000080"/>
                  <w:sz w:val="20"/>
                  <w:u w:val="single"/>
                </w:rPr>
                <w:t xml:space="preserve">, 2025, announcing EZCORP, Inc.’s results of operations and financial condition for the period ended </w:t>
              </w:r>
            </w:hyperlink>
            <w:hyperlink w:anchor="a2025-q4pressreleaseex991.htm">
              <w:r>
                <w:rPr>
                  <w:rStyle w:val="InternetLink"/>
                  <w:rFonts w:ascii="Times New Roman;serif" w:hAnsi="Times New Roman;serif"/>
                  <w:b w:val="false"/>
                  <w:color w:val="000080"/>
                  <w:sz w:val="20"/>
                  <w:u w:val="single"/>
                </w:rPr>
                <w:t>September</w:t>
              </w:r>
            </w:hyperlink>
            <w:hyperlink w:anchor="a2025-q4pressreleaseex991.htm">
              <w:r>
                <w:rPr>
                  <w:rStyle w:val="InternetLink"/>
                  <w:rFonts w:ascii="Times New Roman;serif" w:hAnsi="Times New Roman;serif"/>
                  <w:b w:val="false"/>
                  <w:color w:val="000080"/>
                  <w:sz w:val="20"/>
                  <w:u w:val="single"/>
                </w:rPr>
                <w:t xml:space="preserve"> 30, 2025.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18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Fourth Quarter and Full Year Fiscal 2025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Q4 and Full Year Revenue &amp; PLO</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Strong Growth in Diluted EPS &amp; Adjusted EBITDA</w:t>
      </w:r>
    </w:p>
    <w:p>
      <w:pPr>
        <w:pStyle w:val="TextBody"/>
        <w:bidi w:val="0"/>
        <w:spacing w:lineRule="auto" w:line="288" w:before="240" w:after="283"/>
        <w:jc w:val="left"/>
        <w:rPr/>
      </w:pPr>
      <w:r>
        <w:rPr>
          <w:rFonts w:ascii="Arial Narrow;sans-serif" w:hAnsi="Arial Narrow;sans-serif"/>
          <w:b/>
          <w:color w:val="000000"/>
          <w:sz w:val="20"/>
        </w:rPr>
        <w:t xml:space="preserve">Austin, Texas (November 13, 2025) — </w:t>
      </w:r>
      <w:r>
        <w:rPr>
          <w:rFonts w:ascii="Arial Narrow;sans-serif" w:hAnsi="Arial Narrow;sans-serif"/>
          <w:b w:val="false"/>
          <w:color w:val="000000"/>
          <w:sz w:val="20"/>
        </w:rPr>
        <w:t>EZCORP, Inc. (NASDAQ: EZPW), a leading provider of pawn transactions in the United States and Latin America, today announced results for its fourth quarter and full year ended September 30, 2025.</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FOURTH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increased 76% to $26.7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45% to $26.8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(EPS) increased 62% to $0.34. On an adjusted basis</w:t>
      </w:r>
      <w:r>
        <w:rPr>
          <w:rFonts w:ascii="Arial Narrow;sans-serif" w:hAnsi="Arial Narrow;sans-serif"/>
          <w:b w:val="false"/>
          <w:color w:val="000000"/>
          <w:sz w:val="13"/>
        </w:rPr>
        <w:t>1</w:t>
      </w:r>
      <w:r>
        <w:rPr>
          <w:rFonts w:ascii="Arial Narrow;sans-serif" w:hAnsi="Arial Narrow;sans-serif"/>
          <w:b w:val="false"/>
          <w:color w:val="000000"/>
          <w:sz w:val="20"/>
        </w:rPr>
        <w:t>, diluted earnings per share increased 36% to $0.34.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increased 33% to $47.9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14% to $336.8 million, while gross profit increased 13% to $198.6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increased 12% to $307.5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Grew our footprint by 24 stores, including 17 de novo stores, 8 acquired stores and the consolidation of 1 store.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FULL YEAR 2025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was $109.6 million, an increase of $26.5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30%.</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29% to $1.42. On an adjusted basis</w:t>
      </w:r>
      <w:r>
        <w:rPr>
          <w:rFonts w:ascii="Arial Narrow;sans-serif" w:hAnsi="Arial Narrow;sans-serif"/>
          <w:b w:val="false"/>
          <w:color w:val="000000"/>
          <w:sz w:val="13"/>
        </w:rPr>
        <w:t>1</w:t>
      </w:r>
      <w:r>
        <w:rPr>
          <w:rFonts w:ascii="Arial Narrow;sans-serif" w:hAnsi="Arial Narrow;sans-serif"/>
          <w:b w:val="false"/>
          <w:color w:val="000000"/>
          <w:sz w:val="20"/>
        </w:rPr>
        <w:t>, diluted earnings per share increased 27% to $1.43.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increased by 26% to $191.2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10% to $1,274.3 million, while gross profit increased 9% to $746.1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Grew our footprint by 81 stores including 52 acquired stores, 40 de novo stores and the consolidation of 11 stores.</w:t>
      </w:r>
    </w:p>
    <w:p>
      <w:pPr>
        <w:pStyle w:val="TextBody"/>
        <w:bidi w:val="0"/>
        <w:spacing w:before="180" w:after="283"/>
        <w:ind w:left="0" w:right="0" w:hanging="360"/>
        <w:jc w:val="left"/>
        <w:rPr/>
      </w:pPr>
      <w:r>
        <w:rPr/>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CEO COMMENTARY AND OUTLOOK</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Lachie Given, Chief Executive Officer, stated, “Fiscal 2025 was another exceptional year for EZCORP, with record full-year revenue and all-time high PLO. This superior performance reflects resilient demand for immediate cash solutions and high-quality, cost-effective secondhand goods. We converted that demand into strong bottom-line growth, demonstrating the operating leverage of our platform at scale and the expertise of our team, with adjusted EBITDA up 26% to $191.2 million and adjusted diluted EPS up 27% to $1.43.</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 Narrow;sans-serif" w:hAnsi="Arial Narrow;sans-serif"/>
          <w:b w:val="false"/>
          <w:color w:val="000000"/>
          <w:sz w:val="20"/>
        </w:rPr>
        <w:t>Over the year, we successfully executed our growth strategy with disciplined acquisitions in the U.S. and Mexico and continued de novo expansion across Latin America. In fiscal 2025, we opened 40 de novo stores and acquired 52 locations, more than doubling the combined total of acquisitions in fiscal 2024 and fiscal 2023. We now operate 1,360 stores throughout five countries, guided by a proven operating formula that is driving record PLO and exceptional results across all geographies.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 Narrow;sans-serif" w:hAnsi="Arial Narrow;sans-serif"/>
          <w:b w:val="false"/>
          <w:color w:val="000000"/>
          <w:sz w:val="20"/>
        </w:rPr>
        <w:t>With a flexible and liquid balance sheet, we are deploying capital purposefully, focused on high-return store growth and M&amp;A, while remaining opportunistic with share repurchases as reflected by our newly authorized program. As we scale, we are driving strong earnings momentum in our business, and we will continue to strengthen the core, simplify and drive cost efficiency, and innovate to deliver sustainable growth and long-term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6720" w:type="dxa"/>
        <w:jc w:val="left"/>
        <w:tblInd w:w="0" w:type="dxa"/>
        <w:tblLayout w:type="fixed"/>
        <w:tblCellMar>
          <w:top w:w="28" w:type="dxa"/>
          <w:left w:w="28" w:type="dxa"/>
          <w:bottom w:w="28" w:type="dxa"/>
          <w:right w:w="28" w:type="dxa"/>
        </w:tblCellMar>
      </w:tblPr>
      <w:tblGrid>
        <w:gridCol w:w="922"/>
        <w:gridCol w:w="811"/>
        <w:gridCol w:w="817"/>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September 30</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89" w:type="dxa"/>
        <w:jc w:val="left"/>
        <w:tblInd w:w="0" w:type="dxa"/>
        <w:tblLayout w:type="fixed"/>
        <w:tblCellMar>
          <w:top w:w="28" w:type="dxa"/>
          <w:left w:w="28" w:type="dxa"/>
          <w:bottom w:w="28" w:type="dxa"/>
          <w:right w:w="28" w:type="dxa"/>
        </w:tblCellMar>
      </w:tblPr>
      <w:tblGrid>
        <w:gridCol w:w="955"/>
        <w:gridCol w:w="839"/>
        <w:gridCol w:w="845"/>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Twelve Months Ended September 30</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PLO increased 12% to $307.5 million, up $33.4 million. On a same-store</w:t>
      </w:r>
      <w:r>
        <w:rPr>
          <w:rFonts w:ascii="Arial Narrow;sans-serif" w:hAnsi="Arial Narrow;sans-serif"/>
          <w:b w:val="false"/>
          <w:color w:val="000000"/>
          <w:sz w:val="13"/>
        </w:rPr>
        <w:t>2</w:t>
      </w:r>
      <w:r>
        <w:rPr>
          <w:color w:val="000000"/>
        </w:rPr>
        <w:t xml:space="preserve"> </w:t>
      </w:r>
      <w:r>
        <w:rPr>
          <w:rFonts w:ascii="Arial Narrow;sans-serif" w:hAnsi="Arial Narrow;sans-serif"/>
          <w:b w:val="false"/>
          <w:color w:val="000000"/>
          <w:sz w:val="20"/>
        </w:rPr>
        <w:t>basis, PLO increased 10% due to higher average loan size, continued strong pawn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Fourth quarter total revenues increased 14% and gross profit increased 13%, reflecting improved pawn service charge (PSC) revenues due to higher average PLO. Full year total revenues increased 10% and gross profit increased 9%.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9% in the fourth quarter and for the full year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merchandise sales gross margin remained consistent at 35%. Aged general merchandise at 2.6% of total general merchandise inventory, up 83 basis points (bps). Full year merchandise sales gross profit margin remains within our targeted range at 35%.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jewelry scrap sales increased 91%, and jewelry scrap sales gross margin increased by 1,010 bps to 29%. Full year jewelry scrap sales increased 62%, and jewelry scrap sales gross margin increased by 1,160 bps to 27% due to increase in gold price and jewelry purchases.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29%, as a result of an increase in PLO, layaways and purchases and a decrease in inventory turnover to 2.3x, from 2.6x for the quarter and was 2.4x compared to 2.8x for the year.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store expenses increased 8% (6% on a same-store basis), primarily due to labor costs and new stores. Full year store and same-store expenses increased 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 and administrative expenses increased 13% in the fourth quarter and 11% for the full year, primarily due to labor costs (including higher incentive compensation).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Fourth quarter income before taxes increased to $36.3 million, up 38% from $26.3 million, and adjusted EBITDA increased 33% to $47.9 million. Full year income before taxes increased by 27% to $146.8 million from $115.6 million and adjusted EBITDA increased 26% to $191.2 million.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62% to $0.34 for the fourth quarter. On an adjusted basis, diluted earnings per share increased 36% to $0.34. Full year diluted earnings per share increased 29% to $1.42. On an adjusted basis, diluted earnings per share for the year increased 27% to $1.43.</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Cash and cash equivalents increased to $469.5 million from $170.5 million as of September 30, 2025. The increase was due primarily to $300.0 million (less issuance costs) from the issuance of the Senior Notes due 2032 and cash from operating activities partially offset by increased earning assets and acquisitions.</w:t>
      </w:r>
    </w:p>
    <w:p>
      <w:pPr>
        <w:pStyle w:val="TextBody"/>
        <w:bidi w:val="0"/>
        <w:spacing w:before="180" w:after="283"/>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ended the year at $233.8 million, an increase of 9% on a total and same-store basis due to an increase in average loan size, strong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total revenues increased 13% and gross profit increased 11%, driven by increased PSC, merchandise sales and jewelry scrap sales. Full year total revenues increased 9% and gross profit increased 10%.</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7% in the fourth quarter and 9% for the full year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merchandise sales increased 6%, and 5% on a same-store basis. Sales gross margin increased by 40 bps to 37%. Full year merchandise sales increased 3% and merchandise sales gross profit margin stayed steady at 37%.</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jewelry scrap sales increased 96%, and jewelry scrap sales gross margin increased by 910 bps to 30%. Full year jewelry scrap sales increased 58%, and jewelry scrap sales gross margin increased by 1,120 bps to 27% due to increase in gold price and jewelry purchases.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34% due to increase in PLO, layaways and purchases and a decrease in inventory turnover to 2.1x, from 2.5x and was 2.2x compared to 2.6x</w:t>
      </w:r>
      <w:r>
        <w:rPr>
          <w:color w:val="000000"/>
        </w:rPr>
        <w:t xml:space="preserve"> </w:t>
      </w:r>
      <w:r>
        <w:rPr>
          <w:rFonts w:ascii="Arial Narrow;sans-serif" w:hAnsi="Arial Narrow;sans-serif"/>
          <w:b w:val="false"/>
          <w:color w:val="000000"/>
          <w:sz w:val="20"/>
        </w:rPr>
        <w:t xml:space="preserve">for the full year. Aged general merchandise decreased by 36 bps to 2.2%, or $1.2 million of total general merchandise inventory.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store expenses increased 3% on a total and same-store basis. Full year store expenses increased 4% on a total and same-store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28% to $52.5 million in the fourth quarter and increased 21% to $200.2 million for the full year.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3 to 545, due to the acquisition of 4 stores and the consolidation of one store during the full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improved to $73.7 million, an increase of 23% (17% on constant currency basis). On a same-store basis, PLO increased 14% (9% increase on a constant currency basis) due to strong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total revenues increased 19% (17% on constant currency basis), and gross profit increased 19% (18% on a constant currency basis), primarily due to increased merchandise sales, PSC and jewelry scrap sales. Full year total revenues were up 11% (20% on a constant currency basis), while gross profit increased by 8% (17% on a constant currency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in the fourth quarter to $33.8 million, an increase of 16% (15% on a constant currency basis) as a result of higher average PLO. For the full year PSC increased 8% (16% on a constant currency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Fourth quarter merchandise sales increased 17% (16% on constant currency basis) and 11% on a same-store basis (10% increase on a constant currency basis). Merchandise sales gross margin stayed steady at 32%. For the full year, merchandise sales increased 10% (20% on a constant currency basis) and merchandise gross margin decreased 170 bps to 31%.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jewelry scrap sales increased 69%, and jewelry scrap sales gross margin increased by 1,590 bps to 27%. Full year jewelry scrap sales increased 96%, and jewelry scrap sales gross margin increased by 1,500 bps to 26% due to increase in gold price, jewelry purchases and the focus on the jewelry category.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18% (12% on a constant currency basis) due to an increase in PLO. Inventory turnover was up to 2.9x from 2.8x. On a same-store basis, net inventory increased by 10% (4% on a constant currency basis). Full year inventory turnover was 3.0x, down from 3.3x. Aged general merchandise increased to 3.1% from 0.7% of total general merchandise inventory.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store expenses increased 20% (19% on a constant currency basis) and increased 13% on a same-store basis (11% increase on a constant currency basis) due to increased labor, in line with store activity and minimum wage increases. Full year store expenses increased 5% (14% on a constant currency basis) and 3% (12% on a constant currency basis) on a same-store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Fourth quarter segment contribution increased 17% to $12.0 million (18% on a constant currency basis to $12.1 million). Full year segment contribution was up 20% to $46.6 million (28% on a constant currency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78 to 815, due to the addition of 40 de novo stores, the acquisition of 48 stores and the consolidation of 10 stores during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10-K for the year ended September 30, 2025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56" w:before="0" w:after="0"/>
        <w:jc w:val="left"/>
        <w:rPr/>
      </w:pPr>
      <w:r>
        <w:rPr>
          <w:rFonts w:ascii="Arial Narrow;sans-serif" w:hAnsi="Arial Narrow;sans-serif"/>
          <w:b w:val="false"/>
          <w:color w:val="000000"/>
          <w:sz w:val="20"/>
        </w:rPr>
        <w:t xml:space="preserve">EZCORP will host a conference call on Friday, November 14, 2025, at 8:00 am Central Time to discuss </w:t>
      </w:r>
      <w:r>
        <w:rPr>
          <w:rFonts w:ascii="Arial Narrow;sans-serif" w:hAnsi="Arial Narrow;sans-serif"/>
          <w:b w:val="false"/>
          <w:color w:val="000000"/>
          <w:sz w:val="18"/>
        </w:rPr>
        <w:t>Fourth</w:t>
      </w:r>
      <w:r>
        <w:rPr>
          <w:color w:val="000000"/>
        </w:rPr>
        <w:t> </w:t>
      </w:r>
      <w:r>
        <w:rPr>
          <w:rFonts w:ascii="Arial Narrow;sans-serif" w:hAnsi="Arial Narrow;sans-serif"/>
          <w:b w:val="false"/>
          <w:color w:val="000000"/>
          <w:sz w:val="20"/>
        </w:rPr>
        <w:t>Quarter Fiscal 2025 results. Analysts and institutional investors may participate on the conference call by registering online at https://register-conf.media-server.com/register/BIb58af00cd0fa430788f04db0073e8400. Once registered you will receive the dial-in details with a unique PIN to join the call. The conference call will be webcast simultaneously to the public through this link: https://edge.media-server.com/mmc/p/hqptihjy.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is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2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38250"/>
                <wp:effectExtent l="0" t="0" r="0" b="0"/>
                <wp:wrapNone/>
                <wp:docPr id="7" name="Frame6"/>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288" w:before="180" w:after="283"/>
                              <w:jc w:val="left"/>
                              <w:rPr/>
                            </w:pPr>
                            <w:r>
                              <w:rPr>
                                <w:rFonts w:ascii="Times New Roman;serif" w:hAnsi="Times New Roman;serif"/>
                                <w:b w:val="false"/>
                                <w:i/>
                                <w:color w:val="000000"/>
                                <w:sz w:val="16"/>
                              </w:rPr>
                              <w:t>Note: The underlying numbers are in thousands and, as a result, may not agree to the percentages calculated from numbers in millions and tables may not foot.</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 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left"/>
                        <w:rPr/>
                      </w:pPr>
                      <w:r>
                        <w:rPr>
                          <w:rFonts w:ascii="Times New Roman;serif" w:hAnsi="Times New Roman;serif"/>
                          <w:b w:val="false"/>
                          <w:i/>
                          <w:color w:val="000000"/>
                          <w:sz w:val="16"/>
                        </w:rPr>
                        <w:t>Note: The underlying numbers are in thousands and, as a result, may not agree to the percentages calculated from numbers in millions and tables may not foot.</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 Store” basis, which is a financial measure, includes stores open the entirety of the comparable periods.</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716"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336,813 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198,570 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175,381 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746,065 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161,585 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149,374 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596,896 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569,743 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36,985 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36,264 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26,704 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82"/>
        <w:gridCol w:w="2230"/>
        <w:gridCol w:w="2239"/>
        <w:gridCol w:w="210"/>
        <w:gridCol w:w="893"/>
        <w:gridCol w:w="126"/>
        <w:gridCol w:w="109"/>
        <w:gridCol w:w="109"/>
        <w:gridCol w:w="109"/>
        <w:gridCol w:w="109"/>
        <w:gridCol w:w="109"/>
        <w:gridCol w:w="209"/>
        <w:gridCol w:w="888"/>
        <w:gridCol w:w="183"/>
      </w:tblGrid>
      <w:tr>
        <w:trPr/>
        <w:tc>
          <w:tcPr>
            <w:tcW w:w="268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4"/>
            <w:tcBorders/>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11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1,125,956 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1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 net</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11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200,572 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11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925,724 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12)</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57,921,451 issued and outstanding as of September 30, 2025; and issued and outstanding of 51,582,698 as of September 30, 2024</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 as of September 30, 2025 and 2024</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11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1"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210"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2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8"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7" w:type="dxa"/>
        <w:jc w:val="left"/>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from investment in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148,985 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113,600 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(1,006,505)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(Issuance of) proceeds from note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(117,862)</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(111,853)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274,420 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and cash equivalents and restricted cash</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304,906 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(49,161)</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7"/>
        <w:gridCol w:w="686"/>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59,277 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176,565 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176,565 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33,841 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125,966 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125,966 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238,946 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97,867 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336,813 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336,813 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40,377 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114,071 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114,071 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24,171 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144,523 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54,048 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198,571 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198,571 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129,007 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23,411 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23,411 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12,021 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2,881 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67,409 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67,409 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(31,145)</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36,264 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57"/>
        <w:gridCol w:w="686"/>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50,466 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161,506 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161,506 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115,103 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212,021 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82,530 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34,565 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14,447 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14,447 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129,902 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45,479 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175,381 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175,381 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33,303 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20,688 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goodwill, intangible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10,233 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52,593 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52,593 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(26,341)</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26,252 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1"/>
        <w:gridCol w:w="670"/>
        <w:gridCol w:w="636"/>
        <w:gridCol w:w="181"/>
        <w:gridCol w:w="646"/>
        <w:gridCol w:w="109"/>
        <w:gridCol w:w="109"/>
        <w:gridCol w:w="109"/>
        <w:gridCol w:w="109"/>
        <w:gridCol w:w="229"/>
        <w:gridCol w:w="819"/>
        <w:gridCol w:w="138"/>
        <w:gridCol w:w="109"/>
        <w:gridCol w:w="109"/>
        <w:gridCol w:w="109"/>
        <w:gridCol w:w="258"/>
        <w:gridCol w:w="709"/>
        <w:gridCol w:w="156"/>
        <w:gridCol w:w="109"/>
        <w:gridCol w:w="109"/>
        <w:gridCol w:w="109"/>
        <w:gridCol w:w="202"/>
        <w:gridCol w:w="722"/>
        <w:gridCol w:w="121"/>
        <w:gridCol w:w="109"/>
        <w:gridCol w:w="109"/>
        <w:gridCol w:w="109"/>
        <w:gridCol w:w="200"/>
        <w:gridCol w:w="739"/>
        <w:gridCol w:w="120"/>
        <w:gridCol w:w="109"/>
        <w:gridCol w:w="109"/>
        <w:gridCol w:w="109"/>
        <w:gridCol w:w="196"/>
        <w:gridCol w:w="701"/>
        <w:gridCol w:w="177"/>
      </w:tblGrid>
      <w:tr>
        <w:trPr/>
        <w:tc>
          <w:tcPr>
            <w:tcW w:w="84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2025</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225,747 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700,999 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98,884 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122,749 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474,228 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474,228 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912,492 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361,788 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1,274,280 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156,570 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455,677 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9,792 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72,538 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550,639 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195,426 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746,065 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746,065 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141,730 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481,108 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19,362 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(14,721)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200,165 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46,613 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9,582 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256,360 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256,360 </w:t>
            </w:r>
          </w:p>
        </w:tc>
        <w:tc>
          <w:tcPr>
            <w:tcW w:w="1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(109,587)</w:t>
            </w:r>
          </w:p>
        </w:tc>
        <w:tc>
          <w:tcPr>
            <w:tcW w:w="12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146,773 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9"/>
        <w:gridCol w:w="678"/>
        <w:gridCol w:w="645"/>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8"/>
      </w:tblGrid>
      <w:tr>
        <w:trPr/>
        <w:tc>
          <w:tcPr>
            <w:tcW w:w="84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204,485 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114,183 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836,083 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325,484 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138,509 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501,263 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180,975 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135,239 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goodwill, intangible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19,012 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(1,612)</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165,290 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38,841 </w:t>
            </w:r>
          </w:p>
        </w:tc>
        <w:tc>
          <w:tcPr>
            <w:tcW w:w="13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op w:val="single" w:sz="4" w:space="0" w:color="494949"/>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(95,973)</w:t>
            </w:r>
          </w:p>
        </w:tc>
        <w:tc>
          <w:tcPr>
            <w:tcW w:w="12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7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772" w:type="dxa"/>
        <w:jc w:val="center"/>
        <w:tblInd w:w="0" w:type="dxa"/>
        <w:tblLayout w:type="fixed"/>
        <w:tblCellMar>
          <w:top w:w="28" w:type="dxa"/>
          <w:left w:w="28" w:type="dxa"/>
          <w:bottom w:w="28" w:type="dxa"/>
          <w:right w:w="28" w:type="dxa"/>
        </w:tblCellMar>
      </w:tblPr>
      <w:tblGrid>
        <w:gridCol w:w="715"/>
        <w:gridCol w:w="629"/>
        <w:gridCol w:w="635"/>
        <w:gridCol w:w="280"/>
        <w:gridCol w:w="280"/>
        <w:gridCol w:w="280"/>
        <w:gridCol w:w="195"/>
        <w:gridCol w:w="195"/>
        <w:gridCol w:w="195"/>
        <w:gridCol w:w="499"/>
        <w:gridCol w:w="499"/>
        <w:gridCol w:w="501"/>
        <w:gridCol w:w="195"/>
        <w:gridCol w:w="195"/>
        <w:gridCol w:w="195"/>
        <w:gridCol w:w="340"/>
        <w:gridCol w:w="340"/>
        <w:gridCol w:w="341"/>
        <w:gridCol w:w="109"/>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341" w:type="dxa"/>
        <w:jc w:val="left"/>
        <w:tblInd w:w="0" w:type="dxa"/>
        <w:tblLayout w:type="fixed"/>
        <w:tblCellMar>
          <w:top w:w="28" w:type="dxa"/>
          <w:left w:w="28" w:type="dxa"/>
          <w:bottom w:w="28" w:type="dxa"/>
          <w:right w:w="28" w:type="dxa"/>
        </w:tblCellMar>
      </w:tblPr>
      <w:tblGrid>
        <w:gridCol w:w="645"/>
        <w:gridCol w:w="567"/>
        <w:gridCol w:w="572"/>
        <w:gridCol w:w="280"/>
        <w:gridCol w:w="280"/>
        <w:gridCol w:w="280"/>
        <w:gridCol w:w="192"/>
        <w:gridCol w:w="192"/>
        <w:gridCol w:w="192"/>
        <w:gridCol w:w="499"/>
        <w:gridCol w:w="499"/>
        <w:gridCol w:w="501"/>
        <w:gridCol w:w="192"/>
        <w:gridCol w:w="192"/>
        <w:gridCol w:w="192"/>
        <w:gridCol w:w="312"/>
        <w:gridCol w:w="312"/>
        <w:gridCol w:w="442"/>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2024</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19"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232"/>
        <w:gridCol w:w="232"/>
        <w:gridCol w:w="232"/>
        <w:gridCol w:w="500"/>
        <w:gridCol w:w="500"/>
        <w:gridCol w:w="500"/>
        <w:gridCol w:w="232"/>
        <w:gridCol w:w="232"/>
        <w:gridCol w:w="232"/>
        <w:gridCol w:w="232"/>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4"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5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73"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198"/>
        <w:gridCol w:w="198"/>
        <w:gridCol w:w="198"/>
        <w:gridCol w:w="499"/>
        <w:gridCol w:w="499"/>
        <w:gridCol w:w="501"/>
        <w:gridCol w:w="198"/>
        <w:gridCol w:w="198"/>
        <w:gridCol w:w="198"/>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2024</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2025 and 2024 were as follows:</w:t>
      </w:r>
    </w:p>
    <w:tbl>
      <w:tblPr>
        <w:tblW w:w="7358"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21"/>
        <w:gridCol w:w="121"/>
        <w:gridCol w:w="121"/>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52"/>
        <w:gridCol w:w="178"/>
        <w:gridCol w:w="178"/>
        <w:gridCol w:w="178"/>
        <w:gridCol w:w="178"/>
        <w:gridCol w:w="178"/>
        <w:gridCol w:w="252"/>
        <w:gridCol w:w="178"/>
        <w:gridCol w:w="252"/>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6000" w:type="dxa"/>
        <w:jc w:val="left"/>
        <w:tblInd w:w="0" w:type="dxa"/>
        <w:tblLayout w:type="fixed"/>
        <w:tblCellMar>
          <w:top w:w="28" w:type="dxa"/>
          <w:left w:w="28" w:type="dxa"/>
          <w:bottom w:w="28" w:type="dxa"/>
          <w:right w:w="28" w:type="dxa"/>
        </w:tblCellMar>
      </w:tblPr>
      <w:tblGrid>
        <w:gridCol w:w="717"/>
        <w:gridCol w:w="630"/>
        <w:gridCol w:w="633"/>
        <w:gridCol w:w="181"/>
        <w:gridCol w:w="421"/>
        <w:gridCol w:w="109"/>
        <w:gridCol w:w="109"/>
        <w:gridCol w:w="109"/>
        <w:gridCol w:w="109"/>
        <w:gridCol w:w="181"/>
        <w:gridCol w:w="421"/>
        <w:gridCol w:w="109"/>
        <w:gridCol w:w="109"/>
        <w:gridCol w:w="109"/>
        <w:gridCol w:w="109"/>
        <w:gridCol w:w="181"/>
        <w:gridCol w:w="496"/>
        <w:gridCol w:w="109"/>
        <w:gridCol w:w="109"/>
        <w:gridCol w:w="109"/>
        <w:gridCol w:w="109"/>
        <w:gridCol w:w="181"/>
        <w:gridCol w:w="49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Twelve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187.6 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151.7 </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1"/>
        <w:gridCol w:w="203"/>
        <w:gridCol w:w="203"/>
        <w:gridCol w:w="203"/>
        <w:gridCol w:w="203"/>
        <w:gridCol w:w="203"/>
        <w:gridCol w:w="203"/>
        <w:gridCol w:w="203"/>
        <w:gridCol w:w="203"/>
        <w:gridCol w:w="240"/>
        <w:gridCol w:w="659"/>
        <w:gridCol w:w="144"/>
        <w:gridCol w:w="109"/>
        <w:gridCol w:w="109"/>
        <w:gridCol w:w="109"/>
        <w:gridCol w:w="208"/>
        <w:gridCol w:w="572"/>
        <w:gridCol w:w="125"/>
        <w:gridCol w:w="109"/>
        <w:gridCol w:w="109"/>
        <w:gridCol w:w="109"/>
        <w:gridCol w:w="302"/>
        <w:gridCol w:w="704"/>
        <w:gridCol w:w="182"/>
        <w:gridCol w:w="109"/>
        <w:gridCol w:w="109"/>
        <w:gridCol w:w="109"/>
        <w:gridCol w:w="192"/>
        <w:gridCol w:w="449"/>
        <w:gridCol w:w="115"/>
        <w:gridCol w:w="109"/>
        <w:gridCol w:w="109"/>
        <w:gridCol w:w="109"/>
        <w:gridCol w:w="211"/>
        <w:gridCol w:w="493"/>
        <w:gridCol w:w="127"/>
        <w:gridCol w:w="109"/>
        <w:gridCol w:w="109"/>
        <w:gridCol w:w="109"/>
        <w:gridCol w:w="225"/>
        <w:gridCol w:w="524"/>
        <w:gridCol w:w="135"/>
        <w:gridCol w:w="109"/>
        <w:gridCol w:w="109"/>
        <w:gridCol w:w="109"/>
        <w:gridCol w:w="183"/>
        <w:gridCol w:w="426"/>
        <w:gridCol w:w="172"/>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Q4 Reported</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 impairment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discrete adjustments</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2025 Q4 Adjusted </w:t>
            </w:r>
          </w:p>
        </w:tc>
        <w:tc>
          <w:tcPr>
            <w:tcW w:w="24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335.9 </w:t>
            </w:r>
          </w:p>
        </w:tc>
        <w:tc>
          <w:tcPr>
            <w:tcW w:w="14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198.0 </w:t>
            </w:r>
          </w:p>
        </w:tc>
        <w:tc>
          <w:tcPr>
            <w:tcW w:w="1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18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26.8 </w:t>
            </w:r>
          </w:p>
        </w:tc>
        <w:tc>
          <w:tcPr>
            <w:tcW w:w="12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3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47.9 </w:t>
            </w:r>
          </w:p>
        </w:tc>
        <w:tc>
          <w:tcPr>
            <w:tcW w:w="1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108" w:type="dxa"/>
            <w:gridSpan w:val="6"/>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210"/>
        <w:gridCol w:w="718"/>
        <w:gridCol w:w="127"/>
        <w:gridCol w:w="109"/>
        <w:gridCol w:w="109"/>
        <w:gridCol w:w="109"/>
        <w:gridCol w:w="205"/>
        <w:gridCol w:w="562"/>
        <w:gridCol w:w="123"/>
        <w:gridCol w:w="109"/>
        <w:gridCol w:w="109"/>
        <w:gridCol w:w="109"/>
        <w:gridCol w:w="266"/>
        <w:gridCol w:w="729"/>
        <w:gridCol w:w="160"/>
        <w:gridCol w:w="109"/>
        <w:gridCol w:w="109"/>
        <w:gridCol w:w="109"/>
        <w:gridCol w:w="191"/>
        <w:gridCol w:w="445"/>
        <w:gridCol w:w="115"/>
        <w:gridCol w:w="109"/>
        <w:gridCol w:w="109"/>
        <w:gridCol w:w="109"/>
        <w:gridCol w:w="194"/>
        <w:gridCol w:w="534"/>
        <w:gridCol w:w="116"/>
        <w:gridCol w:w="109"/>
        <w:gridCol w:w="109"/>
        <w:gridCol w:w="109"/>
        <w:gridCol w:w="219"/>
        <w:gridCol w:w="511"/>
        <w:gridCol w:w="132"/>
        <w:gridCol w:w="109"/>
        <w:gridCol w:w="109"/>
        <w:gridCol w:w="109"/>
        <w:gridCol w:w="181"/>
        <w:gridCol w:w="496"/>
        <w:gridCol w:w="164"/>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Full Year reported</w:t>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 impairment</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discrete adjustments</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and other impact</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2025 Full Year Adjusted </w:t>
            </w:r>
          </w:p>
        </w:tc>
        <w:tc>
          <w:tcPr>
            <w:tcW w:w="21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1,304.3 </w:t>
            </w:r>
          </w:p>
        </w:tc>
        <w:tc>
          <w:tcPr>
            <w:tcW w:w="12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761.7 </w:t>
            </w:r>
          </w:p>
        </w:tc>
        <w:tc>
          <w:tcPr>
            <w:tcW w:w="12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149.7 </w:t>
            </w:r>
          </w:p>
        </w:tc>
        <w:tc>
          <w:tcPr>
            <w:tcW w:w="16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3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110.7 </w:t>
            </w:r>
          </w:p>
        </w:tc>
        <w:tc>
          <w:tcPr>
            <w:tcW w:w="11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3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191.2 </w:t>
            </w:r>
          </w:p>
        </w:tc>
        <w:tc>
          <w:tcPr>
            <w:tcW w:w="16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231"/>
        <w:gridCol w:w="203"/>
        <w:gridCol w:w="203"/>
        <w:gridCol w:w="203"/>
        <w:gridCol w:w="203"/>
        <w:gridCol w:w="203"/>
        <w:gridCol w:w="203"/>
        <w:gridCol w:w="203"/>
        <w:gridCol w:w="203"/>
        <w:gridCol w:w="240"/>
        <w:gridCol w:w="659"/>
        <w:gridCol w:w="144"/>
        <w:gridCol w:w="109"/>
        <w:gridCol w:w="109"/>
        <w:gridCol w:w="109"/>
        <w:gridCol w:w="208"/>
        <w:gridCol w:w="572"/>
        <w:gridCol w:w="125"/>
        <w:gridCol w:w="109"/>
        <w:gridCol w:w="109"/>
        <w:gridCol w:w="109"/>
        <w:gridCol w:w="302"/>
        <w:gridCol w:w="704"/>
        <w:gridCol w:w="182"/>
        <w:gridCol w:w="109"/>
        <w:gridCol w:w="109"/>
        <w:gridCol w:w="109"/>
        <w:gridCol w:w="192"/>
        <w:gridCol w:w="449"/>
        <w:gridCol w:w="115"/>
        <w:gridCol w:w="109"/>
        <w:gridCol w:w="109"/>
        <w:gridCol w:w="109"/>
        <w:gridCol w:w="211"/>
        <w:gridCol w:w="493"/>
        <w:gridCol w:w="127"/>
        <w:gridCol w:w="109"/>
        <w:gridCol w:w="109"/>
        <w:gridCol w:w="109"/>
        <w:gridCol w:w="225"/>
        <w:gridCol w:w="524"/>
        <w:gridCol w:w="135"/>
        <w:gridCol w:w="109"/>
        <w:gridCol w:w="109"/>
        <w:gridCol w:w="109"/>
        <w:gridCol w:w="183"/>
        <w:gridCol w:w="426"/>
        <w:gridCol w:w="172"/>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Q4 Reported</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adjustment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discrete adjustments</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2024 Q4 Adjusted </w:t>
            </w:r>
          </w:p>
        </w:tc>
        <w:tc>
          <w:tcPr>
            <w:tcW w:w="24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4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26.8 </w:t>
            </w:r>
          </w:p>
        </w:tc>
        <w:tc>
          <w:tcPr>
            <w:tcW w:w="18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18.5 </w:t>
            </w:r>
          </w:p>
        </w:tc>
        <w:tc>
          <w:tcPr>
            <w:tcW w:w="12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3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36.0 </w:t>
            </w:r>
          </w:p>
        </w:tc>
        <w:tc>
          <w:tcPr>
            <w:tcW w:w="1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4"/>
        <w:gridCol w:w="197"/>
        <w:gridCol w:w="197"/>
        <w:gridCol w:w="197"/>
        <w:gridCol w:w="197"/>
        <w:gridCol w:w="197"/>
        <w:gridCol w:w="197"/>
        <w:gridCol w:w="197"/>
        <w:gridCol w:w="197"/>
        <w:gridCol w:w="213"/>
        <w:gridCol w:w="726"/>
        <w:gridCol w:w="128"/>
        <w:gridCol w:w="109"/>
        <w:gridCol w:w="109"/>
        <w:gridCol w:w="109"/>
        <w:gridCol w:w="207"/>
        <w:gridCol w:w="568"/>
        <w:gridCol w:w="124"/>
        <w:gridCol w:w="109"/>
        <w:gridCol w:w="109"/>
        <w:gridCol w:w="109"/>
        <w:gridCol w:w="272"/>
        <w:gridCol w:w="747"/>
        <w:gridCol w:w="164"/>
        <w:gridCol w:w="109"/>
        <w:gridCol w:w="109"/>
        <w:gridCol w:w="109"/>
        <w:gridCol w:w="192"/>
        <w:gridCol w:w="447"/>
        <w:gridCol w:w="115"/>
        <w:gridCol w:w="109"/>
        <w:gridCol w:w="109"/>
        <w:gridCol w:w="109"/>
        <w:gridCol w:w="209"/>
        <w:gridCol w:w="488"/>
        <w:gridCol w:w="126"/>
        <w:gridCol w:w="109"/>
        <w:gridCol w:w="109"/>
        <w:gridCol w:w="109"/>
        <w:gridCol w:w="222"/>
        <w:gridCol w:w="518"/>
        <w:gridCol w:w="133"/>
        <w:gridCol w:w="109"/>
        <w:gridCol w:w="109"/>
        <w:gridCol w:w="109"/>
        <w:gridCol w:w="181"/>
        <w:gridCol w:w="496"/>
        <w:gridCol w:w="167"/>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Full Year reported</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adjustment</w:t>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discrete adjustments</w:t>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171" w:type="dxa"/>
            <w:gridSpan w:val="6"/>
            <w:tcBorders/>
          </w:tcPr>
          <w:p>
            <w:pPr>
              <w:pStyle w:val="TableContents"/>
              <w:bidi w:val="0"/>
              <w:spacing w:before="0" w:after="283"/>
              <w:jc w:val="left"/>
              <w:rPr>
                <w:sz w:val="4"/>
                <w:szCs w:val="4"/>
              </w:rPr>
            </w:pPr>
            <w:r>
              <w:rPr>
                <w:sz w:val="4"/>
                <w:szCs w:val="4"/>
              </w:rPr>
            </w:r>
          </w:p>
        </w:tc>
      </w:tr>
      <w:tr>
        <w:trPr/>
        <w:tc>
          <w:tcPr>
            <w:tcW w:w="180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2024 Full Year Adjusted </w:t>
            </w:r>
          </w:p>
        </w:tc>
        <w:tc>
          <w:tcPr>
            <w:tcW w:w="21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2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115.5 </w:t>
            </w:r>
          </w:p>
        </w:tc>
        <w:tc>
          <w:tcPr>
            <w:tcW w:w="16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85.3 </w:t>
            </w:r>
          </w:p>
        </w:tc>
        <w:tc>
          <w:tcPr>
            <w:tcW w:w="1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3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151.6 </w:t>
            </w:r>
          </w:p>
        </w:tc>
        <w:tc>
          <w:tcPr>
            <w:tcW w:w="16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25"/>
        <w:gridCol w:w="1074"/>
        <w:gridCol w:w="1092"/>
        <w:gridCol w:w="299"/>
        <w:gridCol w:w="819"/>
        <w:gridCol w:w="179"/>
        <w:gridCol w:w="109"/>
        <w:gridCol w:w="109"/>
        <w:gridCol w:w="109"/>
        <w:gridCol w:w="373"/>
        <w:gridCol w:w="373"/>
        <w:gridCol w:w="831"/>
        <w:gridCol w:w="109"/>
        <w:gridCol w:w="109"/>
        <w:gridCol w:w="109"/>
        <w:gridCol w:w="264"/>
        <w:gridCol w:w="903"/>
        <w:gridCol w:w="159"/>
        <w:gridCol w:w="109"/>
        <w:gridCol w:w="109"/>
        <w:gridCol w:w="109"/>
        <w:gridCol w:w="350"/>
        <w:gridCol w:w="350"/>
        <w:gridCol w:w="933"/>
      </w:tblGrid>
      <w:tr>
        <w:trPr/>
        <w:tc>
          <w:tcPr>
            <w:tcW w:w="122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2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1,274.3 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1,304.3 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746.1 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761.7 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245.2 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245.4 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2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49.8 </w:t>
            </w:r>
          </w:p>
        </w:tc>
        <w:tc>
          <w:tcPr>
            <w:tcW w:w="15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9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6044</Words>
  <Characters>33471</Characters>
  <CharactersWithSpaces>38868</CharactersWithSpaces>
  <Paragraphs>2014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