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3"/>
          </w:tcPr>
          <w:p>
            <w:pPr>
              <w:ind w:left="660"/>
              <w:spacing w:after="0"/>
              <w:rPr>
                <w:sz w:val="20"/>
                <w:szCs w:val="20"/>
                <w:color w:val="auto"/>
              </w:rPr>
            </w:pPr>
            <w:r>
              <w:rPr>
                <w:rFonts w:ascii="Arial" w:cs="Arial" w:eastAsia="Arial" w:hAnsi="Arial"/>
                <w:sz w:val="24"/>
                <w:szCs w:val="24"/>
                <w:b w:val="1"/>
                <w:bCs w:val="1"/>
                <w:color w:val="auto"/>
              </w:rPr>
              <w:t>FORM 5</w:t>
            </w:r>
          </w:p>
        </w:tc>
        <w:tc>
          <w:tcPr>
            <w:tcW w:w="7660" w:type="dxa"/>
            <w:vAlign w:val="bottom"/>
            <w:gridSpan w:val="11"/>
          </w:tcPr>
          <w:p>
            <w:pPr>
              <w:jc w:val="center"/>
              <w:ind w:right="9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2"/>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80" w:type="dxa"/>
            <w:vAlign w:val="bottom"/>
            <w:gridSpan w:val="3"/>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400" w:type="dxa"/>
            <w:vAlign w:val="bottom"/>
          </w:tcPr>
          <w:p>
            <w:pPr>
              <w:spacing w:after="0" w:line="20" w:lineRule="exact"/>
              <w:rPr>
                <w:sz w:val="1"/>
                <w:szCs w:val="1"/>
                <w:color w:val="auto"/>
              </w:rPr>
            </w:pPr>
          </w:p>
        </w:tc>
        <w:tc>
          <w:tcPr>
            <w:tcW w:w="5660" w:type="dxa"/>
            <w:vAlign w:val="bottom"/>
            <w:gridSpan w:val="7"/>
            <w:vMerge w:val="restart"/>
          </w:tcPr>
          <w:p>
            <w:pPr>
              <w:jc w:val="center"/>
              <w:ind w:left="52"/>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5660" w:type="dxa"/>
            <w:vAlign w:val="bottom"/>
            <w:gridSpan w:val="7"/>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400" w:type="dxa"/>
            <w:vAlign w:val="bottom"/>
          </w:tcPr>
          <w:p>
            <w:pPr>
              <w:spacing w:after="0"/>
              <w:rPr>
                <w:sz w:val="5"/>
                <w:szCs w:val="5"/>
                <w:color w:val="auto"/>
              </w:rPr>
            </w:pPr>
          </w:p>
        </w:tc>
        <w:tc>
          <w:tcPr>
            <w:tcW w:w="5660" w:type="dxa"/>
            <w:vAlign w:val="bottom"/>
            <w:gridSpan w:val="7"/>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8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560" w:type="dxa"/>
            <w:vAlign w:val="bottom"/>
            <w:gridSpan w:val="5"/>
            <w:vMerge w:val="restart"/>
          </w:tcPr>
          <w:p>
            <w:pPr>
              <w:jc w:val="center"/>
              <w:ind w:left="14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8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60" w:type="dxa"/>
            <w:vAlign w:val="bottom"/>
            <w:gridSpan w:val="5"/>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560" w:type="dxa"/>
            <w:vAlign w:val="bottom"/>
            <w:gridSpan w:val="5"/>
            <w:vMerge w:val="continue"/>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6"/>
              </w:rPr>
              <w:t>or Section 30(h) of the Investment Company Act of 1940</w:t>
            </w: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spacing w:after="0" w:line="250" w:lineRule="exact"/>
              <w:rPr>
                <w:rFonts w:ascii="Arial" w:cs="Arial" w:eastAsia="Arial" w:hAnsi="Arial"/>
                <w:sz w:val="22"/>
                <w:szCs w:val="22"/>
                <w:color w:val="0000EE"/>
                <w:w w:val="86"/>
              </w:rPr>
            </w:pPr>
            <w:hyperlink r:id="rId8">
              <w:r>
                <w:rPr>
                  <w:rFonts w:ascii="Arial" w:cs="Arial" w:eastAsia="Arial" w:hAnsi="Arial"/>
                  <w:sz w:val="22"/>
                  <w:szCs w:val="22"/>
                  <w:color w:val="0000EE"/>
                  <w:w w:val="86"/>
                </w:rPr>
                <w:t>Fosse Eric</w:t>
              </w:r>
            </w:hyperlink>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EZCORP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EZPW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8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0000EE"/>
            </w:tcBorders>
          </w:tcPr>
          <w:p>
            <w:pPr>
              <w:spacing w:after="0"/>
              <w:rPr>
                <w:sz w:val="2"/>
                <w:szCs w:val="2"/>
                <w:color w:val="auto"/>
              </w:rPr>
            </w:pPr>
          </w:p>
        </w:tc>
        <w:tc>
          <w:tcPr>
            <w:tcW w:w="2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Director</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Borders>
              <w:bottom w:val="single" w:sz="8" w:color="0000EE"/>
            </w:tcBorders>
            <w:vMerge w:val="continue"/>
          </w:tcPr>
          <w:p>
            <w:pPr>
              <w:spacing w:after="0"/>
              <w:rPr>
                <w:sz w:val="5"/>
                <w:szCs w:val="5"/>
                <w:color w:val="auto"/>
              </w:rPr>
            </w:pPr>
          </w:p>
        </w:tc>
        <w:tc>
          <w:tcPr>
            <w:tcW w:w="280" w:type="dxa"/>
            <w:vAlign w:val="bottom"/>
            <w:vMerge w:val="restart"/>
          </w:tcPr>
          <w:p>
            <w:pPr>
              <w:spacing w:after="0"/>
              <w:rPr>
                <w:sz w:val="5"/>
                <w:szCs w:val="5"/>
                <w:color w:val="auto"/>
              </w:rPr>
            </w:pPr>
          </w:p>
        </w:tc>
        <w:tc>
          <w:tcPr>
            <w:tcW w:w="1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0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Officer (give title</w:t>
            </w:r>
          </w:p>
        </w:tc>
        <w:tc>
          <w:tcPr>
            <w:tcW w:w="920" w:type="dxa"/>
            <w:vAlign w:val="bottom"/>
          </w:tcPr>
          <w:p>
            <w:pPr>
              <w:ind w:left="80"/>
              <w:spacing w:after="0" w:line="143" w:lineRule="exact"/>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top w:val="single" w:sz="8" w:color="EEEEEE"/>
            </w:tcBorders>
          </w:tcPr>
          <w:p>
            <w:pPr>
              <w:spacing w:after="0"/>
              <w:rPr>
                <w:sz w:val="9"/>
                <w:szCs w:val="9"/>
                <w:color w:val="auto"/>
              </w:rPr>
            </w:pPr>
          </w:p>
        </w:tc>
        <w:tc>
          <w:tcPr>
            <w:tcW w:w="280" w:type="dxa"/>
            <w:vAlign w:val="bottom"/>
            <w:tcBorders>
              <w:top w:val="single" w:sz="8" w:color="EEEEEE"/>
            </w:tcBorders>
          </w:tcPr>
          <w:p>
            <w:pPr>
              <w:spacing w:after="0"/>
              <w:rPr>
                <w:sz w:val="9"/>
                <w:szCs w:val="9"/>
                <w:color w:val="auto"/>
              </w:rPr>
            </w:pPr>
          </w:p>
        </w:tc>
        <w:tc>
          <w:tcPr>
            <w:tcW w:w="1180" w:type="dxa"/>
            <w:vAlign w:val="bottom"/>
            <w:tcBorders>
              <w:top w:val="single" w:sz="8" w:color="EEEEEE"/>
            </w:tcBorders>
          </w:tcPr>
          <w:p>
            <w:pPr>
              <w:spacing w:after="0"/>
              <w:rPr>
                <w:sz w:val="9"/>
                <w:szCs w:val="9"/>
                <w:color w:val="auto"/>
              </w:rPr>
            </w:pPr>
          </w:p>
        </w:tc>
        <w:tc>
          <w:tcPr>
            <w:tcW w:w="400" w:type="dxa"/>
            <w:vAlign w:val="bottom"/>
            <w:tcBorders>
              <w:top w:val="single" w:sz="8" w:color="EEEEEE"/>
            </w:tcBorders>
          </w:tcPr>
          <w:p>
            <w:pPr>
              <w:spacing w:after="0"/>
              <w:rPr>
                <w:sz w:val="9"/>
                <w:szCs w:val="9"/>
                <w:color w:val="auto"/>
              </w:rPr>
            </w:pPr>
          </w:p>
        </w:tc>
        <w:tc>
          <w:tcPr>
            <w:tcW w:w="520" w:type="dxa"/>
            <w:vAlign w:val="bottom"/>
            <w:tcBorders>
              <w:top w:val="single" w:sz="8" w:color="EEEEEE"/>
            </w:tcBorders>
          </w:tcPr>
          <w:p>
            <w:pPr>
              <w:spacing w:after="0"/>
              <w:rPr>
                <w:sz w:val="9"/>
                <w:szCs w:val="9"/>
                <w:color w:val="auto"/>
              </w:rPr>
            </w:pPr>
          </w:p>
        </w:tc>
        <w:tc>
          <w:tcPr>
            <w:tcW w:w="500" w:type="dxa"/>
            <w:vAlign w:val="bottom"/>
            <w:tcBorders>
              <w:top w:val="single" w:sz="8" w:color="EEEEEE"/>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390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580" w:type="dxa"/>
            <w:vAlign w:val="bottom"/>
            <w:vMerge w:val="continue"/>
          </w:tcPr>
          <w:p>
            <w:pPr>
              <w:spacing w:after="0"/>
              <w:rPr>
                <w:sz w:val="9"/>
                <w:szCs w:val="9"/>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color w:val="auto"/>
              </w:rPr>
              <w:t>(Last)</w:t>
            </w: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(First)</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900" w:type="dxa"/>
            <w:vAlign w:val="bottom"/>
            <w:gridSpan w:val="4"/>
            <w:vMerge w:val="restart"/>
          </w:tcPr>
          <w:p>
            <w:pPr>
              <w:ind w:left="660"/>
              <w:spacing w:after="0"/>
              <w:rPr>
                <w:sz w:val="20"/>
                <w:szCs w:val="20"/>
                <w:color w:val="auto"/>
              </w:rPr>
            </w:pPr>
            <w:r>
              <w:rPr>
                <w:rFonts w:ascii="Arial" w:cs="Arial" w:eastAsia="Arial" w:hAnsi="Arial"/>
                <w:sz w:val="18"/>
                <w:szCs w:val="18"/>
                <w:color w:val="0000FF"/>
              </w:rPr>
              <w:t>09/30/2008</w:t>
            </w:r>
          </w:p>
        </w:tc>
        <w:tc>
          <w:tcPr>
            <w:tcW w:w="2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520" w:type="dxa"/>
            <w:vAlign w:val="bottom"/>
            <w:gridSpan w:val="4"/>
            <w:vMerge w:val="restart"/>
          </w:tcPr>
          <w:p>
            <w:pPr>
              <w:ind w:left="420"/>
              <w:spacing w:after="0"/>
              <w:rPr>
                <w:sz w:val="20"/>
                <w:szCs w:val="20"/>
                <w:color w:val="auto"/>
              </w:rPr>
            </w:pPr>
            <w:r>
              <w:rPr>
                <w:rFonts w:ascii="Arial" w:cs="Arial" w:eastAsia="Arial" w:hAnsi="Arial"/>
                <w:sz w:val="18"/>
                <w:szCs w:val="18"/>
                <w:color w:val="0000FF"/>
              </w:rPr>
              <w:t>Divisional President</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Arial" w:cs="Arial" w:eastAsia="Arial" w:hAnsi="Arial"/>
                <w:sz w:val="18"/>
                <w:szCs w:val="18"/>
                <w:color w:val="0000FF"/>
              </w:rPr>
              <w:t>115 INDIAN BEND</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-1786255</wp:posOffset>
            </wp:positionV>
            <wp:extent cx="7272020" cy="8129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812927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3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78734</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80" w:type="dxa"/>
            <w:vAlign w:val="bottom"/>
          </w:tcPr>
          <w:p>
            <w:pPr>
              <w:spacing w:after="0"/>
              <w:rPr>
                <w:sz w:val="12"/>
                <w:szCs w:val="12"/>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2"/>
                <w:szCs w:val="12"/>
                <w:color w:val="auto"/>
              </w:rPr>
            </w:pPr>
          </w:p>
        </w:tc>
        <w:tc>
          <w:tcPr>
            <w:tcW w:w="520" w:type="dxa"/>
            <w:vAlign w:val="bottom"/>
          </w:tcPr>
          <w:p>
            <w:pPr>
              <w:jc w:val="right"/>
              <w:ind w:right="283"/>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70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 Disposed Of  5. Amount of</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620" w:type="dxa"/>
            <w:vAlign w:val="bottom"/>
          </w:tcPr>
          <w:p>
            <w:pPr>
              <w:spacing w:after="0"/>
              <w:rPr>
                <w:sz w:val="12"/>
                <w:szCs w:val="12"/>
                <w:color w:val="auto"/>
              </w:rPr>
            </w:pP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(Instr. 3, 4 and 5)</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6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vMerge w:val="restart"/>
          </w:tcPr>
          <w:p>
            <w:pPr>
              <w:jc w:val="right"/>
              <w:ind w:right="283"/>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5"/>
                <w:szCs w:val="5"/>
                <w:color w:val="auto"/>
              </w:rPr>
            </w:pPr>
          </w:p>
        </w:tc>
        <w:tc>
          <w:tcPr>
            <w:tcW w:w="74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5"/>
                <w:szCs w:val="5"/>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4)</w:t>
            </w: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vMerge w:val="restart"/>
          </w:tcPr>
          <w:p>
            <w:pPr>
              <w:ind w:left="60"/>
              <w:spacing w:after="0"/>
              <w:rPr>
                <w:sz w:val="20"/>
                <w:szCs w:val="20"/>
                <w:color w:val="auto"/>
              </w:rPr>
            </w:pPr>
            <w:r>
              <w:rPr>
                <w:rFonts w:ascii="Arial" w:cs="Arial" w:eastAsia="Arial" w:hAnsi="Arial"/>
                <w:sz w:val="18"/>
                <w:szCs w:val="18"/>
                <w:color w:val="0000FF"/>
                <w:w w:val="92"/>
              </w:rPr>
              <w:t>Class A Non-Voting Common Stock</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0000FF"/>
                <w:w w:val="86"/>
              </w:rPr>
              <w:t>03/06/2008</w:t>
            </w: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vMerge w:val="restart"/>
          </w:tcPr>
          <w:p>
            <w:pPr>
              <w:jc w:val="center"/>
              <w:ind w:left="203"/>
              <w:spacing w:after="0"/>
              <w:rPr>
                <w:sz w:val="20"/>
                <w:szCs w:val="20"/>
                <w:color w:val="auto"/>
              </w:rPr>
            </w:pPr>
            <w:r>
              <w:rPr>
                <w:rFonts w:ascii="Arial" w:cs="Arial" w:eastAsia="Arial" w:hAnsi="Arial"/>
                <w:sz w:val="18"/>
                <w:szCs w:val="18"/>
                <w:color w:val="0000FF"/>
                <w:w w:val="91"/>
              </w:rPr>
              <w:t>D</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vMerge w:val="restart"/>
          </w:tcPr>
          <w:p>
            <w:pPr>
              <w:jc w:val="center"/>
              <w:ind w:right="22"/>
              <w:spacing w:after="0"/>
              <w:rPr>
                <w:sz w:val="20"/>
                <w:szCs w:val="20"/>
                <w:color w:val="auto"/>
              </w:rPr>
            </w:pPr>
            <w:r>
              <w:rPr>
                <w:rFonts w:ascii="Arial" w:cs="Arial" w:eastAsia="Arial" w:hAnsi="Arial"/>
                <w:sz w:val="18"/>
                <w:szCs w:val="18"/>
                <w:color w:val="0000FF"/>
                <w:w w:val="88"/>
              </w:rPr>
              <w:t>6.915</w:t>
            </w:r>
          </w:p>
        </w:tc>
        <w:tc>
          <w:tcPr>
            <w:tcW w:w="140" w:type="dxa"/>
            <w:vAlign w:val="bottom"/>
          </w:tcPr>
          <w:p>
            <w:pPr>
              <w:spacing w:after="0"/>
              <w:rPr>
                <w:sz w:val="22"/>
                <w:szCs w:val="22"/>
                <w:color w:val="auto"/>
              </w:rPr>
            </w:pPr>
          </w:p>
        </w:tc>
        <w:tc>
          <w:tcPr>
            <w:tcW w:w="360" w:type="dxa"/>
            <w:vAlign w:val="bottom"/>
            <w:vMerge w:val="restart"/>
          </w:tcPr>
          <w:p>
            <w:pPr>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10.85</w:t>
            </w:r>
          </w:p>
        </w:tc>
        <w:tc>
          <w:tcPr>
            <w:tcW w:w="1400" w:type="dxa"/>
            <w:vAlign w:val="bottom"/>
            <w:gridSpan w:val="3"/>
            <w:vMerge w:val="restart"/>
          </w:tcPr>
          <w:p>
            <w:pPr>
              <w:jc w:val="center"/>
              <w:ind w:left="83"/>
              <w:spacing w:after="0"/>
              <w:rPr>
                <w:sz w:val="20"/>
                <w:szCs w:val="20"/>
                <w:color w:val="auto"/>
              </w:rPr>
            </w:pPr>
            <w:r>
              <w:rPr>
                <w:rFonts w:ascii="Arial" w:cs="Arial" w:eastAsia="Arial" w:hAnsi="Arial"/>
                <w:sz w:val="18"/>
                <w:szCs w:val="18"/>
                <w:color w:val="0000FF"/>
                <w:w w:val="86"/>
              </w:rPr>
              <w:t>110.319</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EZCORP,</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Inc. 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vMerge w:val="restart"/>
          </w:tcPr>
          <w:p>
            <w:pPr>
              <w:ind w:left="60"/>
              <w:spacing w:after="0"/>
              <w:rPr>
                <w:sz w:val="20"/>
                <w:szCs w:val="20"/>
                <w:color w:val="auto"/>
              </w:rPr>
            </w:pPr>
            <w:r>
              <w:rPr>
                <w:rFonts w:ascii="Arial" w:cs="Arial" w:eastAsia="Arial" w:hAnsi="Arial"/>
                <w:sz w:val="18"/>
                <w:szCs w:val="18"/>
                <w:color w:val="0000FF"/>
                <w:w w:val="92"/>
              </w:rPr>
              <w:t>Class A Non-Voting Common Stock</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0000FF"/>
                <w:w w:val="86"/>
              </w:rPr>
              <w:t>03/06/2008</w:t>
            </w: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vMerge w:val="restart"/>
          </w:tcPr>
          <w:p>
            <w:pPr>
              <w:jc w:val="center"/>
              <w:ind w:left="203"/>
              <w:spacing w:after="0"/>
              <w:rPr>
                <w:sz w:val="20"/>
                <w:szCs w:val="20"/>
                <w:color w:val="auto"/>
              </w:rPr>
            </w:pPr>
            <w:r>
              <w:rPr>
                <w:rFonts w:ascii="Arial" w:cs="Arial" w:eastAsia="Arial" w:hAnsi="Arial"/>
                <w:sz w:val="18"/>
                <w:szCs w:val="18"/>
                <w:color w:val="0000FF"/>
                <w:w w:val="91"/>
              </w:rPr>
              <w:t>D</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vMerge w:val="restart"/>
          </w:tcPr>
          <w:p>
            <w:pPr>
              <w:jc w:val="center"/>
              <w:ind w:right="22"/>
              <w:spacing w:after="0"/>
              <w:rPr>
                <w:sz w:val="20"/>
                <w:szCs w:val="20"/>
                <w:color w:val="auto"/>
              </w:rPr>
            </w:pPr>
            <w:r>
              <w:rPr>
                <w:rFonts w:ascii="Arial" w:cs="Arial" w:eastAsia="Arial" w:hAnsi="Arial"/>
                <w:sz w:val="18"/>
                <w:szCs w:val="18"/>
                <w:color w:val="0000FF"/>
                <w:w w:val="88"/>
              </w:rPr>
              <w:t>24.32</w:t>
            </w:r>
          </w:p>
        </w:tc>
        <w:tc>
          <w:tcPr>
            <w:tcW w:w="140" w:type="dxa"/>
            <w:vAlign w:val="bottom"/>
          </w:tcPr>
          <w:p>
            <w:pPr>
              <w:spacing w:after="0"/>
              <w:rPr>
                <w:sz w:val="22"/>
                <w:szCs w:val="22"/>
                <w:color w:val="auto"/>
              </w:rPr>
            </w:pPr>
          </w:p>
        </w:tc>
        <w:tc>
          <w:tcPr>
            <w:tcW w:w="360" w:type="dxa"/>
            <w:vAlign w:val="bottom"/>
            <w:vMerge w:val="restart"/>
          </w:tcPr>
          <w:p>
            <w:pPr>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10.85</w:t>
            </w:r>
          </w:p>
        </w:tc>
        <w:tc>
          <w:tcPr>
            <w:tcW w:w="1400" w:type="dxa"/>
            <w:vAlign w:val="bottom"/>
            <w:gridSpan w:val="3"/>
            <w:vMerge w:val="restart"/>
          </w:tcPr>
          <w:p>
            <w:pPr>
              <w:jc w:val="center"/>
              <w:ind w:left="83"/>
              <w:spacing w:after="0"/>
              <w:rPr>
                <w:sz w:val="20"/>
                <w:szCs w:val="20"/>
                <w:color w:val="auto"/>
              </w:rPr>
            </w:pPr>
            <w:r>
              <w:rPr>
                <w:rFonts w:ascii="Arial" w:cs="Arial" w:eastAsia="Arial" w:hAnsi="Arial"/>
                <w:sz w:val="18"/>
                <w:szCs w:val="18"/>
                <w:color w:val="0000FF"/>
                <w:w w:val="87"/>
              </w:rPr>
              <w:t>85.999</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EZCORP,</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Inc. 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vMerge w:val="restart"/>
          </w:tcPr>
          <w:p>
            <w:pPr>
              <w:ind w:left="60"/>
              <w:spacing w:after="0"/>
              <w:rPr>
                <w:sz w:val="20"/>
                <w:szCs w:val="20"/>
                <w:color w:val="auto"/>
              </w:rPr>
            </w:pPr>
            <w:r>
              <w:rPr>
                <w:rFonts w:ascii="Arial" w:cs="Arial" w:eastAsia="Arial" w:hAnsi="Arial"/>
                <w:sz w:val="18"/>
                <w:szCs w:val="18"/>
                <w:color w:val="0000FF"/>
                <w:w w:val="92"/>
              </w:rPr>
              <w:t>Class A Non-Voting Common Stock</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0000FF"/>
                <w:w w:val="86"/>
              </w:rPr>
              <w:t>03/10/2008</w:t>
            </w: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vMerge w:val="restart"/>
          </w:tcPr>
          <w:p>
            <w:pPr>
              <w:jc w:val="center"/>
              <w:ind w:left="203"/>
              <w:spacing w:after="0"/>
              <w:rPr>
                <w:sz w:val="20"/>
                <w:szCs w:val="20"/>
                <w:color w:val="auto"/>
              </w:rPr>
            </w:pPr>
            <w:r>
              <w:rPr>
                <w:rFonts w:ascii="Arial" w:cs="Arial" w:eastAsia="Arial" w:hAnsi="Arial"/>
                <w:sz w:val="18"/>
                <w:szCs w:val="18"/>
                <w:color w:val="0000FF"/>
                <w:w w:val="91"/>
              </w:rPr>
              <w:t>D</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vMerge w:val="restart"/>
          </w:tcPr>
          <w:p>
            <w:pPr>
              <w:jc w:val="center"/>
              <w:ind w:right="22"/>
              <w:spacing w:after="0"/>
              <w:rPr>
                <w:sz w:val="20"/>
                <w:szCs w:val="20"/>
                <w:color w:val="auto"/>
              </w:rPr>
            </w:pPr>
            <w:r>
              <w:rPr>
                <w:rFonts w:ascii="Arial" w:cs="Arial" w:eastAsia="Arial" w:hAnsi="Arial"/>
                <w:sz w:val="18"/>
                <w:szCs w:val="18"/>
                <w:color w:val="0000FF"/>
                <w:w w:val="87"/>
              </w:rPr>
              <w:t>24.037</w:t>
            </w:r>
          </w:p>
        </w:tc>
        <w:tc>
          <w:tcPr>
            <w:tcW w:w="140" w:type="dxa"/>
            <w:vAlign w:val="bottom"/>
          </w:tcPr>
          <w:p>
            <w:pPr>
              <w:spacing w:after="0"/>
              <w:rPr>
                <w:sz w:val="22"/>
                <w:szCs w:val="22"/>
                <w:color w:val="auto"/>
              </w:rPr>
            </w:pPr>
          </w:p>
        </w:tc>
        <w:tc>
          <w:tcPr>
            <w:tcW w:w="360" w:type="dxa"/>
            <w:vAlign w:val="bottom"/>
            <w:vMerge w:val="restart"/>
          </w:tcPr>
          <w:p>
            <w:pPr>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10.94</w:t>
            </w:r>
          </w:p>
        </w:tc>
        <w:tc>
          <w:tcPr>
            <w:tcW w:w="1400" w:type="dxa"/>
            <w:vAlign w:val="bottom"/>
            <w:gridSpan w:val="3"/>
            <w:vMerge w:val="restart"/>
          </w:tcPr>
          <w:p>
            <w:pPr>
              <w:jc w:val="center"/>
              <w:ind w:left="83"/>
              <w:spacing w:after="0"/>
              <w:rPr>
                <w:sz w:val="20"/>
                <w:szCs w:val="20"/>
                <w:color w:val="auto"/>
              </w:rPr>
            </w:pPr>
            <w:r>
              <w:rPr>
                <w:rFonts w:ascii="Arial" w:cs="Arial" w:eastAsia="Arial" w:hAnsi="Arial"/>
                <w:sz w:val="18"/>
                <w:szCs w:val="18"/>
                <w:color w:val="0000FF"/>
                <w:w w:val="87"/>
              </w:rPr>
              <w:t>61.962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EZCORP,</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Inc. 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vMerge w:val="restart"/>
          </w:tcPr>
          <w:p>
            <w:pPr>
              <w:ind w:left="60"/>
              <w:spacing w:after="0"/>
              <w:rPr>
                <w:sz w:val="20"/>
                <w:szCs w:val="20"/>
                <w:color w:val="auto"/>
              </w:rPr>
            </w:pPr>
            <w:r>
              <w:rPr>
                <w:rFonts w:ascii="Arial" w:cs="Arial" w:eastAsia="Arial" w:hAnsi="Arial"/>
                <w:sz w:val="18"/>
                <w:szCs w:val="18"/>
                <w:color w:val="0000FF"/>
                <w:w w:val="92"/>
              </w:rPr>
              <w:t>Class A Non-Voting Common Stock</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0000FF"/>
                <w:w w:val="86"/>
              </w:rPr>
              <w:t>05/23/2008</w:t>
            </w: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vMerge w:val="restart"/>
          </w:tcPr>
          <w:p>
            <w:pPr>
              <w:jc w:val="center"/>
              <w:ind w:left="203"/>
              <w:spacing w:after="0"/>
              <w:rPr>
                <w:sz w:val="20"/>
                <w:szCs w:val="20"/>
                <w:color w:val="auto"/>
              </w:rPr>
            </w:pPr>
            <w:r>
              <w:rPr>
                <w:rFonts w:ascii="Arial" w:cs="Arial" w:eastAsia="Arial" w:hAnsi="Arial"/>
                <w:sz w:val="18"/>
                <w:szCs w:val="18"/>
                <w:color w:val="0000FF"/>
                <w:w w:val="99"/>
              </w:rPr>
              <w:t>A</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vMerge w:val="restart"/>
          </w:tcPr>
          <w:p>
            <w:pPr>
              <w:jc w:val="center"/>
              <w:ind w:right="22"/>
              <w:spacing w:after="0"/>
              <w:rPr>
                <w:sz w:val="20"/>
                <w:szCs w:val="20"/>
                <w:color w:val="auto"/>
              </w:rPr>
            </w:pPr>
            <w:r>
              <w:rPr>
                <w:rFonts w:ascii="Arial" w:cs="Arial" w:eastAsia="Arial" w:hAnsi="Arial"/>
                <w:sz w:val="18"/>
                <w:szCs w:val="18"/>
                <w:color w:val="0000FF"/>
                <w:w w:val="86"/>
              </w:rPr>
              <w:t>114.396</w:t>
            </w:r>
          </w:p>
        </w:tc>
        <w:tc>
          <w:tcPr>
            <w:tcW w:w="140" w:type="dxa"/>
            <w:vAlign w:val="bottom"/>
          </w:tcPr>
          <w:p>
            <w:pPr>
              <w:spacing w:after="0"/>
              <w:rPr>
                <w:sz w:val="22"/>
                <w:szCs w:val="22"/>
                <w:color w:val="auto"/>
              </w:rPr>
            </w:pPr>
          </w:p>
        </w:tc>
        <w:tc>
          <w:tcPr>
            <w:tcW w:w="360" w:type="dxa"/>
            <w:vAlign w:val="bottom"/>
            <w:vMerge w:val="restart"/>
          </w:tcPr>
          <w:p>
            <w:pPr>
              <w:spacing w:after="0"/>
              <w:rPr>
                <w:sz w:val="20"/>
                <w:szCs w:val="20"/>
                <w:color w:val="auto"/>
              </w:rPr>
            </w:pPr>
            <w:r>
              <w:rPr>
                <w:rFonts w:ascii="Arial" w:cs="Arial" w:eastAsia="Arial" w:hAnsi="Arial"/>
                <w:sz w:val="18"/>
                <w:szCs w:val="18"/>
                <w:color w:val="0000FF"/>
              </w:rPr>
              <w:t>A</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11.44</w:t>
            </w:r>
          </w:p>
        </w:tc>
        <w:tc>
          <w:tcPr>
            <w:tcW w:w="1400" w:type="dxa"/>
            <w:vAlign w:val="bottom"/>
            <w:gridSpan w:val="3"/>
            <w:vMerge w:val="restart"/>
          </w:tcPr>
          <w:p>
            <w:pPr>
              <w:jc w:val="center"/>
              <w:ind w:left="63"/>
              <w:spacing w:after="0"/>
              <w:rPr>
                <w:sz w:val="20"/>
                <w:szCs w:val="20"/>
                <w:color w:val="auto"/>
              </w:rPr>
            </w:pPr>
            <w:r>
              <w:rPr>
                <w:rFonts w:ascii="Arial" w:cs="Arial" w:eastAsia="Arial" w:hAnsi="Arial"/>
                <w:sz w:val="18"/>
                <w:szCs w:val="18"/>
                <w:color w:val="0000FF"/>
                <w:w w:val="89"/>
              </w:rPr>
              <w:t>176.358</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EZCORP,</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Inc. 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vMerge w:val="restart"/>
          </w:tcPr>
          <w:p>
            <w:pPr>
              <w:ind w:left="60"/>
              <w:spacing w:after="0"/>
              <w:rPr>
                <w:sz w:val="20"/>
                <w:szCs w:val="20"/>
                <w:color w:val="auto"/>
              </w:rPr>
            </w:pPr>
            <w:r>
              <w:rPr>
                <w:rFonts w:ascii="Arial" w:cs="Arial" w:eastAsia="Arial" w:hAnsi="Arial"/>
                <w:sz w:val="18"/>
                <w:szCs w:val="18"/>
                <w:color w:val="0000FF"/>
                <w:w w:val="92"/>
              </w:rPr>
              <w:t>Class A Non-Voting Common Stock</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0000FF"/>
                <w:w w:val="86"/>
              </w:rPr>
              <w:t>05/23/2008</w:t>
            </w: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vMerge w:val="restart"/>
          </w:tcPr>
          <w:p>
            <w:pPr>
              <w:jc w:val="center"/>
              <w:ind w:left="203"/>
              <w:spacing w:after="0"/>
              <w:rPr>
                <w:sz w:val="20"/>
                <w:szCs w:val="20"/>
                <w:color w:val="auto"/>
              </w:rPr>
            </w:pPr>
            <w:r>
              <w:rPr>
                <w:rFonts w:ascii="Arial" w:cs="Arial" w:eastAsia="Arial" w:hAnsi="Arial"/>
                <w:sz w:val="18"/>
                <w:szCs w:val="18"/>
                <w:color w:val="0000FF"/>
                <w:w w:val="99"/>
              </w:rPr>
              <w:t>A</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vMerge w:val="restart"/>
          </w:tcPr>
          <w:p>
            <w:pPr>
              <w:jc w:val="center"/>
              <w:ind w:right="22"/>
              <w:spacing w:after="0"/>
              <w:rPr>
                <w:sz w:val="20"/>
                <w:szCs w:val="20"/>
                <w:color w:val="auto"/>
              </w:rPr>
            </w:pPr>
            <w:r>
              <w:rPr>
                <w:rFonts w:ascii="Arial" w:cs="Arial" w:eastAsia="Arial" w:hAnsi="Arial"/>
                <w:sz w:val="18"/>
                <w:szCs w:val="18"/>
                <w:color w:val="0000FF"/>
                <w:w w:val="87"/>
              </w:rPr>
              <w:t>12.037</w:t>
            </w:r>
          </w:p>
        </w:tc>
        <w:tc>
          <w:tcPr>
            <w:tcW w:w="140" w:type="dxa"/>
            <w:vAlign w:val="bottom"/>
          </w:tcPr>
          <w:p>
            <w:pPr>
              <w:spacing w:after="0"/>
              <w:rPr>
                <w:sz w:val="22"/>
                <w:szCs w:val="22"/>
                <w:color w:val="auto"/>
              </w:rPr>
            </w:pPr>
          </w:p>
        </w:tc>
        <w:tc>
          <w:tcPr>
            <w:tcW w:w="360" w:type="dxa"/>
            <w:vAlign w:val="bottom"/>
            <w:vMerge w:val="restart"/>
          </w:tcPr>
          <w:p>
            <w:pPr>
              <w:spacing w:after="0"/>
              <w:rPr>
                <w:sz w:val="20"/>
                <w:szCs w:val="20"/>
                <w:color w:val="auto"/>
              </w:rPr>
            </w:pPr>
            <w:r>
              <w:rPr>
                <w:rFonts w:ascii="Arial" w:cs="Arial" w:eastAsia="Arial" w:hAnsi="Arial"/>
                <w:sz w:val="18"/>
                <w:szCs w:val="18"/>
                <w:color w:val="0000FF"/>
              </w:rPr>
              <w:t>A</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11.44</w:t>
            </w:r>
          </w:p>
        </w:tc>
        <w:tc>
          <w:tcPr>
            <w:tcW w:w="1400" w:type="dxa"/>
            <w:vAlign w:val="bottom"/>
            <w:gridSpan w:val="3"/>
            <w:vMerge w:val="restart"/>
          </w:tcPr>
          <w:p>
            <w:pPr>
              <w:jc w:val="center"/>
              <w:ind w:left="63"/>
              <w:spacing w:after="0"/>
              <w:rPr>
                <w:sz w:val="20"/>
                <w:szCs w:val="20"/>
                <w:color w:val="auto"/>
              </w:rPr>
            </w:pPr>
            <w:r>
              <w:rPr>
                <w:rFonts w:ascii="Arial" w:cs="Arial" w:eastAsia="Arial" w:hAnsi="Arial"/>
                <w:sz w:val="18"/>
                <w:szCs w:val="18"/>
                <w:color w:val="0000FF"/>
                <w:w w:val="89"/>
              </w:rPr>
              <w:t>188.395</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EZCORP,</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Inc. 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vMerge w:val="restart"/>
          </w:tcPr>
          <w:p>
            <w:pPr>
              <w:ind w:left="60"/>
              <w:spacing w:after="0"/>
              <w:rPr>
                <w:sz w:val="20"/>
                <w:szCs w:val="20"/>
                <w:color w:val="auto"/>
              </w:rPr>
            </w:pPr>
            <w:r>
              <w:rPr>
                <w:rFonts w:ascii="Arial" w:cs="Arial" w:eastAsia="Arial" w:hAnsi="Arial"/>
                <w:sz w:val="18"/>
                <w:szCs w:val="18"/>
                <w:color w:val="0000FF"/>
                <w:w w:val="92"/>
              </w:rPr>
              <w:t>Class A Non-Voting Common Stock</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0000FF"/>
                <w:w w:val="86"/>
              </w:rPr>
              <w:t>06/30/2008</w:t>
            </w: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vMerge w:val="restart"/>
          </w:tcPr>
          <w:p>
            <w:pPr>
              <w:jc w:val="center"/>
              <w:ind w:left="203"/>
              <w:spacing w:after="0"/>
              <w:rPr>
                <w:sz w:val="20"/>
                <w:szCs w:val="20"/>
                <w:color w:val="auto"/>
              </w:rPr>
            </w:pPr>
            <w:r>
              <w:rPr>
                <w:rFonts w:ascii="Arial" w:cs="Arial" w:eastAsia="Arial" w:hAnsi="Arial"/>
                <w:sz w:val="18"/>
                <w:szCs w:val="18"/>
                <w:color w:val="0000FF"/>
                <w:w w:val="91"/>
              </w:rPr>
              <w:t>D</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vMerge w:val="restart"/>
          </w:tcPr>
          <w:p>
            <w:pPr>
              <w:jc w:val="center"/>
              <w:ind w:right="22"/>
              <w:spacing w:after="0"/>
              <w:rPr>
                <w:sz w:val="20"/>
                <w:szCs w:val="20"/>
                <w:color w:val="auto"/>
              </w:rPr>
            </w:pPr>
            <w:r>
              <w:rPr>
                <w:rFonts w:ascii="Arial" w:cs="Arial" w:eastAsia="Arial" w:hAnsi="Arial"/>
                <w:sz w:val="18"/>
                <w:szCs w:val="18"/>
                <w:color w:val="0000FF"/>
                <w:w w:val="87"/>
              </w:rPr>
              <w:t>65.388</w:t>
            </w:r>
          </w:p>
        </w:tc>
        <w:tc>
          <w:tcPr>
            <w:tcW w:w="140" w:type="dxa"/>
            <w:vAlign w:val="bottom"/>
          </w:tcPr>
          <w:p>
            <w:pPr>
              <w:spacing w:after="0"/>
              <w:rPr>
                <w:sz w:val="22"/>
                <w:szCs w:val="22"/>
                <w:color w:val="auto"/>
              </w:rPr>
            </w:pPr>
          </w:p>
        </w:tc>
        <w:tc>
          <w:tcPr>
            <w:tcW w:w="360" w:type="dxa"/>
            <w:vAlign w:val="bottom"/>
            <w:vMerge w:val="restart"/>
          </w:tcPr>
          <w:p>
            <w:pPr>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13.03</w:t>
            </w:r>
          </w:p>
        </w:tc>
        <w:tc>
          <w:tcPr>
            <w:tcW w:w="1400" w:type="dxa"/>
            <w:vAlign w:val="bottom"/>
            <w:gridSpan w:val="3"/>
            <w:vMerge w:val="restart"/>
          </w:tcPr>
          <w:p>
            <w:pPr>
              <w:jc w:val="center"/>
              <w:ind w:left="63"/>
              <w:spacing w:after="0"/>
              <w:rPr>
                <w:sz w:val="20"/>
                <w:szCs w:val="20"/>
                <w:color w:val="auto"/>
              </w:rPr>
            </w:pPr>
            <w:r>
              <w:rPr>
                <w:rFonts w:ascii="Arial" w:cs="Arial" w:eastAsia="Arial" w:hAnsi="Arial"/>
                <w:sz w:val="18"/>
                <w:szCs w:val="18"/>
                <w:color w:val="0000FF"/>
                <w:w w:val="89"/>
              </w:rPr>
              <w:t>123.007</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EZCORP,</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Inc. 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vMerge w:val="restart"/>
          </w:tcPr>
          <w:p>
            <w:pPr>
              <w:ind w:left="60"/>
              <w:spacing w:after="0"/>
              <w:rPr>
                <w:sz w:val="20"/>
                <w:szCs w:val="20"/>
                <w:color w:val="auto"/>
              </w:rPr>
            </w:pPr>
            <w:r>
              <w:rPr>
                <w:rFonts w:ascii="Arial" w:cs="Arial" w:eastAsia="Arial" w:hAnsi="Arial"/>
                <w:sz w:val="18"/>
                <w:szCs w:val="18"/>
                <w:color w:val="0000FF"/>
                <w:w w:val="92"/>
              </w:rPr>
              <w:t>Class A Non-Voting Common Stock</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0000FF"/>
                <w:w w:val="86"/>
              </w:rPr>
              <w:t>08/15/2008</w:t>
            </w: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vMerge w:val="restart"/>
          </w:tcPr>
          <w:p>
            <w:pPr>
              <w:jc w:val="center"/>
              <w:ind w:left="203"/>
              <w:spacing w:after="0"/>
              <w:rPr>
                <w:sz w:val="20"/>
                <w:szCs w:val="20"/>
                <w:color w:val="auto"/>
              </w:rPr>
            </w:pPr>
            <w:r>
              <w:rPr>
                <w:rFonts w:ascii="Arial" w:cs="Arial" w:eastAsia="Arial" w:hAnsi="Arial"/>
                <w:sz w:val="18"/>
                <w:szCs w:val="18"/>
                <w:color w:val="0000FF"/>
                <w:w w:val="99"/>
              </w:rPr>
              <w:t>A</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vMerge w:val="restart"/>
          </w:tcPr>
          <w:p>
            <w:pPr>
              <w:jc w:val="center"/>
              <w:ind w:right="22"/>
              <w:spacing w:after="0"/>
              <w:rPr>
                <w:sz w:val="20"/>
                <w:szCs w:val="20"/>
                <w:color w:val="auto"/>
              </w:rPr>
            </w:pPr>
            <w:r>
              <w:rPr>
                <w:rFonts w:ascii="Arial" w:cs="Arial" w:eastAsia="Arial" w:hAnsi="Arial"/>
                <w:sz w:val="18"/>
                <w:szCs w:val="18"/>
                <w:color w:val="0000FF"/>
                <w:w w:val="87"/>
              </w:rPr>
              <w:t>15.048</w:t>
            </w:r>
          </w:p>
        </w:tc>
        <w:tc>
          <w:tcPr>
            <w:tcW w:w="140" w:type="dxa"/>
            <w:vAlign w:val="bottom"/>
          </w:tcPr>
          <w:p>
            <w:pPr>
              <w:spacing w:after="0"/>
              <w:rPr>
                <w:sz w:val="22"/>
                <w:szCs w:val="22"/>
                <w:color w:val="auto"/>
              </w:rPr>
            </w:pPr>
          </w:p>
        </w:tc>
        <w:tc>
          <w:tcPr>
            <w:tcW w:w="360" w:type="dxa"/>
            <w:vAlign w:val="bottom"/>
            <w:vMerge w:val="restart"/>
          </w:tcPr>
          <w:p>
            <w:pPr>
              <w:spacing w:after="0"/>
              <w:rPr>
                <w:sz w:val="20"/>
                <w:szCs w:val="20"/>
                <w:color w:val="auto"/>
              </w:rPr>
            </w:pPr>
            <w:r>
              <w:rPr>
                <w:rFonts w:ascii="Arial" w:cs="Arial" w:eastAsia="Arial" w:hAnsi="Arial"/>
                <w:sz w:val="18"/>
                <w:szCs w:val="18"/>
                <w:color w:val="0000FF"/>
              </w:rPr>
              <w:t>A</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15.21</w:t>
            </w:r>
          </w:p>
        </w:tc>
        <w:tc>
          <w:tcPr>
            <w:tcW w:w="1400" w:type="dxa"/>
            <w:vAlign w:val="bottom"/>
            <w:gridSpan w:val="3"/>
            <w:vMerge w:val="restart"/>
          </w:tcPr>
          <w:p>
            <w:pPr>
              <w:jc w:val="center"/>
              <w:ind w:left="63"/>
              <w:spacing w:after="0"/>
              <w:rPr>
                <w:sz w:val="20"/>
                <w:szCs w:val="20"/>
                <w:color w:val="auto"/>
              </w:rPr>
            </w:pPr>
            <w:r>
              <w:rPr>
                <w:rFonts w:ascii="Arial" w:cs="Arial" w:eastAsia="Arial" w:hAnsi="Arial"/>
                <w:sz w:val="18"/>
                <w:szCs w:val="18"/>
                <w:color w:val="0000FF"/>
                <w:w w:val="89"/>
              </w:rPr>
              <w:t>138.055</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EZCORP,</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Inc. 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Class A Non-Voting Common Stock</w:t>
            </w: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center"/>
              <w:ind w:left="63"/>
              <w:spacing w:after="0"/>
              <w:rPr>
                <w:sz w:val="20"/>
                <w:szCs w:val="20"/>
                <w:color w:val="auto"/>
              </w:rPr>
            </w:pPr>
            <w:r>
              <w:rPr>
                <w:rFonts w:ascii="Arial" w:cs="Arial" w:eastAsia="Arial" w:hAnsi="Arial"/>
                <w:sz w:val="18"/>
                <w:szCs w:val="18"/>
                <w:color w:val="0000FF"/>
                <w:w w:val="81"/>
              </w:rPr>
              <w:t>27,000</w:t>
            </w:r>
            <w:r>
              <w:rPr>
                <w:rFonts w:ascii="Arial" w:cs="Arial" w:eastAsia="Arial" w:hAnsi="Arial"/>
                <w:sz w:val="22"/>
                <w:szCs w:val="22"/>
                <w:color w:val="008000"/>
                <w:w w:val="81"/>
                <w:vertAlign w:val="superscript"/>
              </w:rPr>
              <w:t>(1)(2)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ind w:left="9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4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Execution Date,</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2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7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jc w:val="right"/>
              <w:ind w:right="103"/>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2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report on the 401(k) transaction is voluntary. The sole purpose is to disclose EZCORP'S matching contributions pursuant to the EZCORP, Inc. 401(k) Plan and Trust (the "Plan"). The disposition of stock reflects a forfeiture of shares of stock pursuant to the terms of the Plan. The information in this report is based on a plan statement dated as of September 30, 2008.</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Total Non-Derivative Securities Beneficially Owned does not include 12,000 Derivative Securities currently held by Reporting Person.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Laura Jones Attorney-in-</w:t>
            </w:r>
          </w:p>
        </w:tc>
        <w:tc>
          <w:tcPr>
            <w:tcW w:w="16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11/12/2008</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2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04753" TargetMode="External"/><Relationship Id="rId9"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2020-02-24T22:33:22Z</dcterms:created>
  <dcterms:modified xsi:type="dcterms:W3CDTF">2020-02-24T22:33:22Z</dcterms:modified>
</cp:coreProperties>
</file>