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SAGE RICHARD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SAGE LAW OFFICES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1300 SAWGRASS CORPORATE PKWY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SUNRISE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a 2 year vesting period with 2,600 shares vesting on the first anniversary date of the award and 2,600 vesting on the second anniversary date of the award.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$27.13.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3,000 unvested Restricted Stock Awards.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96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2020-01-29T06:10:22Z</dcterms:created>
  <dcterms:modified xsi:type="dcterms:W3CDTF">2020-01-29T06:10:22Z</dcterms:modified>
</cp:coreProperties>
</file>