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226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Hicks Robert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ROAD, BLDG. 1, STE. 200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9,090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32,842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2026, with 80% being subject to the attainment of specified performance goals in addition to continued employment, and the remaining 20% being subject to continued employment only.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2023. However, no consideration was paid for the award other than services rendered and to be rendered by the Reporting Person.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11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1152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2023-11-21T15:56:58Z</dcterms:created>
  <dcterms:modified xsi:type="dcterms:W3CDTF">2023-11-21T15:56:58Z</dcterms:modified>
</cp:coreProperties>
</file>