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53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53720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Sajnani Sunil</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BUILDING 1,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6"/>
          <w:szCs w:val="16"/>
          <w:color w:val="0000FF"/>
        </w:rPr>
        <w:t>Chief Audit/LP Executive</w:t>
      </w:r>
    </w:p>
    <w:p>
      <w:pPr>
        <w:spacing w:after="0" w:line="39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49,388</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115,630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12,028</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103,602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13,153</w:t>
            </w:r>
          </w:p>
        </w:tc>
        <w:tc>
          <w:tcPr>
            <w:tcW w:w="40" w:type="dxa"/>
            <w:vAlign w:val="bottom"/>
          </w:tcPr>
          <w:p>
            <w:pPr>
              <w:spacing w:after="0"/>
              <w:rPr>
                <w:sz w:val="12"/>
                <w:szCs w:val="12"/>
                <w:color w:val="auto"/>
              </w:rPr>
            </w:pPr>
          </w:p>
        </w:tc>
        <w:tc>
          <w:tcPr>
            <w:tcW w:w="70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13,153</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jc w:val="right"/>
              <w:ind w:right="183"/>
              <w:spacing w:after="0" w:line="140" w:lineRule="exact"/>
              <w:rPr>
                <w:sz w:val="20"/>
                <w:szCs w:val="20"/>
                <w:color w:val="auto"/>
              </w:rPr>
            </w:pPr>
            <w:r>
              <w:rPr>
                <w:rFonts w:ascii="Times New Roman" w:cs="Times New Roman" w:eastAsia="Times New Roman" w:hAnsi="Times New Roman"/>
                <w:sz w:val="13"/>
                <w:szCs w:val="13"/>
                <w:color w:val="0000FF"/>
              </w:rPr>
              <w:t>131,142</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49,388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49,388</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0" w:lineRule="exact"/>
              <w:rPr>
                <w:sz w:val="20"/>
                <w:szCs w:val="20"/>
                <w:color w:val="auto"/>
              </w:rPr>
            </w:pPr>
            <w:r>
              <w:rPr>
                <w:rFonts w:ascii="Times New Roman" w:cs="Times New Roman" w:eastAsia="Times New Roman" w:hAnsi="Times New Roman"/>
                <w:sz w:val="13"/>
                <w:szCs w:val="13"/>
                <w:color w:val="0000FF"/>
              </w:rPr>
              <w:t>81,754</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"bonus" units (1) 7,263 attributable to the fiscal 2023 Restricted Stock Unit award earned with achievement of the specified performance goal for fiscal 2023 and vesting on September 30, 2025, subject to continued employment, plus (2) 3,393 attributable to the fiscal 2024 Restricted Stock Unit award earned with achievement of the specified performance goal for fiscal 2024 and vesting on September 30, 2026, subject to continued employment, plus (3) 2,497 attributable to the fiscal 2025 Restricted Stock Unit award earned with achievement of the specified performance goal for fiscal 2025 and vesting on September 30, 2027, subject to continued employment.</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2025.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19, 2025 after specified performance goals were achieved.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Times New Roman" w:cs="Times New Roman" w:eastAsia="Times New Roman" w:hAnsi="Times New Roman"/>
          <w:sz w:val="16"/>
          <w:szCs w:val="16"/>
          <w:color w:val="0000FF"/>
        </w:rPr>
        <w:t xml:space="preserve">/s/ Carrie Putnam, by POA from </w:t>
      </w:r>
      <w:r>
        <w:rPr>
          <w:rFonts w:ascii="Times New Roman" w:cs="Times New Roman" w:eastAsia="Times New Roman" w:hAnsi="Times New Roman"/>
          <w:sz w:val="32"/>
          <w:szCs w:val="32"/>
          <w:color w:val="0000FF"/>
          <w:vertAlign w:val="subscript"/>
        </w:rPr>
        <w:t>11/20/2025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Sunil Sajnani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561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629"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2025-11-20T14:39:09Z</dcterms:created>
  <dcterms:modified xsi:type="dcterms:W3CDTF">2025-11-20T14:39:09Z</dcterms:modified>
</cp:coreProperties>
</file>