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bdr w:val="single" w:sz="16" w:space="1" w:color="000000"/>
        </w:rPr>
      </w:pPr>
      <w:bookmarkStart w:id="0" w:name="d82604e8vk.htm"/>
      <w:bookmarkStart w:id="1" w:name="ksd82604e8vk"/>
      <w:bookmarkEnd w:id="0"/>
      <w:bookmarkEnd w:id="1"/>
      <w:r>
        <w:rPr>
          <w:bdr w:val="single" w:sz="16" w:space="1" w:color="000000"/>
        </w:rPr>
        <w:t> </w:t>
      </w:r>
    </w:p>
    <w:p>
      <w:pPr>
        <w:pStyle w:val="TextBody"/>
        <w:spacing w:before="0" w:after="0"/>
        <w:rPr>
          <w:bdr w:val="single" w:sz="8" w:space="1" w:color="000000"/>
        </w:rPr>
      </w:pPr>
      <w:r>
        <w:rPr>
          <w:bdr w:val="single" w:sz="8" w:space="1" w:color="000000"/>
        </w:rPr>
        <w:t> </w:t>
      </w:r>
    </w:p>
    <w:p>
      <w:pPr>
        <w:pStyle w:val="TextBody"/>
        <w:spacing w:before="240" w:after="283"/>
        <w:jc w:val="center"/>
        <w:rPr>
          <w:rFonts w:ascii="Times New Roman;Times;serif" w:hAnsi="Times New Roman;Times;serif"/>
          <w:sz w:val="23"/>
        </w:rPr>
      </w:pPr>
      <w:r>
        <w:rPr>
          <w:rFonts w:ascii="Times New Roman;Times;serif" w:hAnsi="Times New Roman;Times;serif"/>
          <w:b/>
          <w:sz w:val="23"/>
        </w:rPr>
        <w:t>UNITED STATES</w:t>
        <w:br/>
        <w:t>SECURITIES AND EXCHANGE COMMISSION</w:t>
      </w:r>
      <w:r>
        <w:rPr>
          <w:rFonts w:ascii="Times New Roman;Times;serif" w:hAnsi="Times New Roman;Times;serif"/>
          <w:sz w:val="23"/>
        </w:rPr>
        <w:t xml:space="preserve"> </w:t>
      </w:r>
    </w:p>
    <w:p>
      <w:pPr>
        <w:pStyle w:val="TextBody"/>
        <w:spacing w:before="0" w:after="0"/>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spacing w:before="320" w:after="283"/>
        <w:jc w:val="center"/>
        <w:rPr>
          <w:bdr w:val="single" w:sz="2" w:space="1" w:color="000000"/>
        </w:rPr>
      </w:pPr>
      <w:r>
        <w:rPr>
          <w:bdr w:val="single" w:sz="2" w:space="1" w:color="000000"/>
        </w:rPr>
        <w:t> </w:t>
      </w:r>
    </w:p>
    <w:p>
      <w:pPr>
        <w:pStyle w:val="TextBody"/>
        <w:spacing w:before="240" w:after="283"/>
        <w:jc w:val="center"/>
        <w:rPr>
          <w:rFonts w:ascii="Times New Roman;Times;serif" w:hAnsi="Times New Roman;Times;serif"/>
          <w:sz w:val="30"/>
        </w:rPr>
      </w:pPr>
      <w:r>
        <w:rPr>
          <w:rFonts w:ascii="Times New Roman;Times;serif" w:hAnsi="Times New Roman;Times;serif"/>
          <w:b/>
          <w:sz w:val="30"/>
        </w:rPr>
        <w:t>FORM 8-K</w:t>
      </w:r>
      <w:r>
        <w:rPr>
          <w:rFonts w:ascii="Times New Roman;Times;serif" w:hAnsi="Times New Roman;Times;serif"/>
          <w:sz w:val="30"/>
        </w:rPr>
        <w:t xml:space="preserve"> </w:t>
      </w:r>
    </w:p>
    <w:p>
      <w:pPr>
        <w:pStyle w:val="TextBody"/>
        <w:spacing w:before="240" w:after="283"/>
        <w:jc w:val="center"/>
        <w:rPr>
          <w:rFonts w:ascii="Times New Roman;Times;serif" w:hAnsi="Times New Roman;Times;serif"/>
          <w:sz w:val="20"/>
        </w:rPr>
      </w:pPr>
      <w:r>
        <w:rPr>
          <w:rFonts w:ascii="Times New Roman;Times;serif" w:hAnsi="Times New Roman;Times;serif"/>
          <w:b/>
          <w:sz w:val="20"/>
        </w:rPr>
        <w:t>CURRENT REPORT</w:t>
        <w:br/>
        <w:t>PURSUANT TO SECTION 13 OR 15(d) OF THE SECURITIES EXCHANGE ACT OF 1934</w:t>
      </w:r>
      <w:r>
        <w:rPr>
          <w:rFonts w:ascii="Times New Roman;Times;serif" w:hAnsi="Times New Roman;Times;serif"/>
          <w:sz w:val="20"/>
        </w:rPr>
        <w:t xml:space="preserve"> </w:t>
      </w:r>
    </w:p>
    <w:p>
      <w:pPr>
        <w:pStyle w:val="TextBody"/>
        <w:spacing w:before="320" w:after="283"/>
        <w:jc w:val="center"/>
        <w:rPr>
          <w:bdr w:val="single" w:sz="2" w:space="1" w:color="000000"/>
        </w:rPr>
      </w:pPr>
      <w:r>
        <w:rPr>
          <w:bdr w:val="single" w:sz="2" w:space="1" w:color="000000"/>
        </w:rPr>
        <w:t> </w:t>
      </w:r>
    </w:p>
    <w:p>
      <w:pPr>
        <w:pStyle w:val="TextBody"/>
        <w:spacing w:before="240" w:after="283"/>
        <w:jc w:val="center"/>
        <w:rPr>
          <w:rFonts w:ascii="Times New Roman;Times;serif" w:hAnsi="Times New Roman;Times;serif"/>
          <w:sz w:val="17"/>
        </w:rPr>
      </w:pPr>
      <w:r>
        <w:rPr>
          <w:rFonts w:ascii="Times New Roman;Times;serif" w:hAnsi="Times New Roman;Times;serif"/>
          <w:b/>
          <w:sz w:val="17"/>
        </w:rPr>
        <w:t>Date of Report (Date of earliest event reported): May 18, 2011</w:t>
      </w:r>
      <w:r>
        <w:rPr>
          <w:rFonts w:ascii="Times New Roman;Times;serif" w:hAnsi="Times New Roman;Times;serif"/>
          <w:sz w:val="17"/>
        </w:rPr>
        <w:t xml:space="preserve"> </w:t>
      </w:r>
    </w:p>
    <w:p>
      <w:pPr>
        <w:pStyle w:val="TextBody"/>
        <w:spacing w:before="240" w:after="283"/>
        <w:jc w:val="center"/>
        <w:rPr>
          <w:rFonts w:ascii="Times New Roman;Times;serif" w:hAnsi="Times New Roman;Times;serif"/>
          <w:sz w:val="40"/>
        </w:rPr>
      </w:pPr>
      <w:r>
        <w:rPr>
          <w:rFonts w:ascii="Times New Roman;Times;serif" w:hAnsi="Times New Roman;Times;serif"/>
          <w:b/>
          <w:sz w:val="40"/>
        </w:rPr>
        <w:t>EZCORP, Inc.</w:t>
      </w:r>
      <w:r>
        <w:rPr>
          <w:rFonts w:ascii="Times New Roman;Times;serif" w:hAnsi="Times New Roman;Times;serif"/>
          <w:sz w:val="40"/>
        </w:rPr>
        <w:t xml:space="preserve"> </w:t>
      </w:r>
    </w:p>
    <w:p>
      <w:pPr>
        <w:pStyle w:val="TextBody"/>
        <w:spacing w:before="0" w:after="0"/>
        <w:jc w:val="center"/>
        <w:rPr>
          <w:rFonts w:ascii="Times New Roman;Times;serif" w:hAnsi="Times New Roman;Times;serif"/>
          <w:sz w:val="17"/>
        </w:rPr>
      </w:pPr>
      <w:r>
        <w:rPr>
          <w:rFonts w:ascii="Times New Roman;Times;serif" w:hAnsi="Times New Roman;Times;serif"/>
          <w:sz w:val="17"/>
        </w:rPr>
        <w:t>(Exact name of registrant as specified in its charter)</w:t>
      </w:r>
    </w:p>
    <w:tbl>
      <w:tblPr>
        <w:tblW w:w="5000" w:type="pct"/>
        <w:jc w:val="center"/>
        <w:tblInd w:w="0" w:type="dxa"/>
        <w:tblCellMar>
          <w:top w:w="0" w:type="dxa"/>
          <w:left w:w="0" w:type="dxa"/>
          <w:bottom w:w="0" w:type="dxa"/>
          <w:right w:w="0" w:type="dxa"/>
        </w:tblCellMar>
      </w:tblPr>
      <w:tblGrid>
        <w:gridCol w:w="3196"/>
        <w:gridCol w:w="308"/>
        <w:gridCol w:w="3196"/>
        <w:gridCol w:w="308"/>
        <w:gridCol w:w="3197"/>
      </w:tblGrid>
      <w:tr>
        <w:trPr/>
        <w:tc>
          <w:tcPr>
            <w:tcW w:w="3196"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3196"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3197" w:type="dxa"/>
            <w:tcBorders/>
            <w:shd w:fill="auto" w:val="clear"/>
            <w:vAlign w:val="bottom"/>
          </w:tcPr>
          <w:p>
            <w:pPr>
              <w:pStyle w:val="TableContents"/>
              <w:spacing w:before="0" w:after="283"/>
              <w:rPr/>
            </w:pPr>
            <w:r>
              <w:rPr/>
              <w:t> </w:t>
            </w:r>
          </w:p>
        </w:tc>
      </w:tr>
      <w:tr>
        <w:trPr/>
        <w:tc>
          <w:tcPr>
            <w:tcW w:w="3196" w:type="dxa"/>
            <w:tcBorders/>
            <w:shd w:fill="auto" w:val="clear"/>
          </w:tcPr>
          <w:p>
            <w:pPr>
              <w:pStyle w:val="TableContents"/>
              <w:spacing w:before="0" w:after="283"/>
              <w:jc w:val="center"/>
              <w:rPr/>
            </w:pPr>
            <w:r>
              <w:rPr>
                <w:b/>
              </w:rPr>
              <w:t>Delaware</w:t>
            </w:r>
            <w:r>
              <w:rPr/>
              <w:br/>
              <w:t xml:space="preserve">(State or other jurisdiction of incorporation) </w:t>
            </w:r>
          </w:p>
        </w:tc>
        <w:tc>
          <w:tcPr>
            <w:tcW w:w="308" w:type="dxa"/>
            <w:tcBorders/>
            <w:shd w:fill="auto" w:val="clear"/>
            <w:vAlign w:val="bottom"/>
          </w:tcPr>
          <w:p>
            <w:pPr>
              <w:pStyle w:val="TableContents"/>
              <w:spacing w:before="0" w:after="283"/>
              <w:rPr/>
            </w:pPr>
            <w:r>
              <w:rPr/>
              <w:t> </w:t>
            </w:r>
          </w:p>
        </w:tc>
        <w:tc>
          <w:tcPr>
            <w:tcW w:w="3196" w:type="dxa"/>
            <w:tcBorders/>
            <w:shd w:fill="auto" w:val="clear"/>
          </w:tcPr>
          <w:p>
            <w:pPr>
              <w:pStyle w:val="TableContents"/>
              <w:spacing w:before="0" w:after="283"/>
              <w:jc w:val="center"/>
              <w:rPr/>
            </w:pPr>
            <w:r>
              <w:rPr>
                <w:b/>
              </w:rPr>
              <w:t>0-19424</w:t>
            </w:r>
            <w:r>
              <w:rPr/>
              <w:br/>
              <w:t xml:space="preserve">(Commission File Number) </w:t>
            </w:r>
          </w:p>
        </w:tc>
        <w:tc>
          <w:tcPr>
            <w:tcW w:w="308" w:type="dxa"/>
            <w:tcBorders/>
            <w:shd w:fill="auto" w:val="clear"/>
            <w:vAlign w:val="bottom"/>
          </w:tcPr>
          <w:p>
            <w:pPr>
              <w:pStyle w:val="TableContents"/>
              <w:spacing w:before="0" w:after="283"/>
              <w:rPr/>
            </w:pPr>
            <w:r>
              <w:rPr/>
              <w:t> </w:t>
            </w:r>
          </w:p>
        </w:tc>
        <w:tc>
          <w:tcPr>
            <w:tcW w:w="3197" w:type="dxa"/>
            <w:tcBorders/>
            <w:shd w:fill="auto" w:val="clear"/>
          </w:tcPr>
          <w:p>
            <w:pPr>
              <w:pStyle w:val="TableContents"/>
              <w:spacing w:before="0" w:after="283"/>
              <w:jc w:val="center"/>
              <w:rPr/>
            </w:pPr>
            <w:r>
              <w:rPr>
                <w:b/>
              </w:rPr>
              <w:t>74-2540145</w:t>
            </w:r>
            <w:r>
              <w:rPr/>
              <w:br/>
              <w:t>(IRS Employer</w:t>
              <w:br/>
              <w:t>Identification No.)</w:t>
            </w:r>
          </w:p>
        </w:tc>
      </w:tr>
    </w:tbl>
    <w:p>
      <w:pPr>
        <w:pStyle w:val="TextBody"/>
        <w:spacing w:before="240" w:after="283"/>
        <w:jc w:val="center"/>
        <w:rPr>
          <w:rFonts w:ascii="Times New Roman;Times;serif" w:hAnsi="Times New Roman;Times;serif"/>
          <w:sz w:val="17"/>
        </w:rPr>
      </w:pPr>
      <w:r>
        <w:rPr>
          <w:rFonts w:ascii="Times New Roman;Times;serif" w:hAnsi="Times New Roman;Times;serif"/>
          <w:b/>
          <w:sz w:val="17"/>
        </w:rPr>
        <w:t>1901 Capital Parkway, Austin, Texas 78746</w:t>
      </w:r>
      <w:r>
        <w:rPr>
          <w:rFonts w:ascii="Times New Roman;Times;serif" w:hAnsi="Times New Roman;Times;serif"/>
          <w:sz w:val="17"/>
        </w:rPr>
        <w:br/>
        <w:t>(Address of principal executive offices) (zip code)</w:t>
      </w:r>
    </w:p>
    <w:p>
      <w:pPr>
        <w:pStyle w:val="TextBody"/>
        <w:spacing w:before="240" w:after="283"/>
        <w:jc w:val="center"/>
        <w:rPr>
          <w:rFonts w:ascii="Times New Roman;Times;serif" w:hAnsi="Times New Roman;Times;serif"/>
          <w:sz w:val="17"/>
        </w:rPr>
      </w:pPr>
      <w:r>
        <w:rPr>
          <w:rFonts w:ascii="Times New Roman;Times;serif" w:hAnsi="Times New Roman;Times;serif"/>
          <w:sz w:val="17"/>
        </w:rPr>
        <w:t>Registrants telephone number, including area code: (</w:t>
      </w:r>
      <w:r>
        <w:rPr>
          <w:rFonts w:ascii="Times New Roman;Times;serif" w:hAnsi="Times New Roman;Times;serif"/>
          <w:b/>
          <w:sz w:val="17"/>
        </w:rPr>
        <w:t>512) 314-3400</w:t>
      </w:r>
    </w:p>
    <w:p>
      <w:pPr>
        <w:pStyle w:val="TextBody"/>
        <w:spacing w:before="320" w:after="283"/>
        <w:jc w:val="center"/>
        <w:rPr>
          <w:bdr w:val="single" w:sz="2" w:space="1" w:color="000000"/>
        </w:rPr>
      </w:pPr>
      <w:r>
        <w:rPr>
          <w:bdr w:val="single" w:sz="2" w:space="1" w:color="000000"/>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Check the appropriate box below if the Form 8-K filing is intended to simultaneously satisfy the filing obligation of the registrant under any of the following provisions:</w:t>
      </w:r>
    </w:p>
    <w:tbl>
      <w:tblPr>
        <w:tblW w:w="5000" w:type="pct"/>
        <w:jc w:val="left"/>
        <w:tblInd w:w="0" w:type="dxa"/>
        <w:tblCellMar>
          <w:top w:w="0" w:type="dxa"/>
          <w:left w:w="0" w:type="dxa"/>
          <w:bottom w:w="0" w:type="dxa"/>
          <w:right w:w="0" w:type="dxa"/>
        </w:tblCellMar>
      </w:tblPr>
      <w:tblGrid>
        <w:gridCol w:w="305"/>
        <w:gridCol w:w="100"/>
        <w:gridCol w:w="9800"/>
      </w:tblGrid>
      <w:tr>
        <w:trPr/>
        <w:tc>
          <w:tcPr>
            <w:tcW w:w="305"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center"/>
          </w:tcPr>
          <w:p>
            <w:pPr>
              <w:pStyle w:val="TableContents"/>
              <w:spacing w:before="0" w:after="283"/>
              <w:rPr>
                <w:sz w:val="4"/>
                <w:szCs w:val="4"/>
              </w:rPr>
            </w:pPr>
            <w:r>
              <w:rPr>
                <w:sz w:val="4"/>
                <w:szCs w:val="4"/>
              </w:rPr>
            </w:r>
          </w:p>
        </w:tc>
        <w:tc>
          <w:tcPr>
            <w:tcW w:w="9800"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rFonts w:ascii="Wingdings" w:hAnsi="Wingdings"/>
              </w:rPr>
            </w:pPr>
            <w:r>
              <w:rPr>
                <w:rFonts w:ascii="Wingdings" w:hAnsi="Wingdings"/>
              </w:rPr>
              <w:t>o</w:t>
            </w:r>
          </w:p>
        </w:tc>
        <w:tc>
          <w:tcPr>
            <w:tcW w:w="100" w:type="dxa"/>
            <w:tcBorders/>
            <w:shd w:fill="auto" w:val="clear"/>
            <w:vAlign w:val="center"/>
          </w:tcPr>
          <w:p>
            <w:pPr>
              <w:pStyle w:val="TableContents"/>
              <w:spacing w:before="0" w:after="283"/>
              <w:rPr/>
            </w:pPr>
            <w:r>
              <w:rPr/>
              <w:t> </w:t>
            </w:r>
          </w:p>
        </w:tc>
        <w:tc>
          <w:tcPr>
            <w:tcW w:w="9800" w:type="dxa"/>
            <w:tcBorders/>
            <w:shd w:fill="auto" w:val="clear"/>
            <w:vAlign w:val="center"/>
          </w:tcPr>
          <w:p>
            <w:pPr>
              <w:pStyle w:val="TableContents"/>
              <w:spacing w:before="0" w:after="283"/>
              <w:rPr/>
            </w:pPr>
            <w:r>
              <w:rPr/>
              <w:t xml:space="preserve">Written communications pursuant to Rule 425 under the Securities Act (17 CFR 230.425) </w:t>
            </w:r>
          </w:p>
        </w:tc>
      </w:tr>
    </w:tbl>
    <w:tbl>
      <w:tblPr>
        <w:tblW w:w="5000" w:type="pct"/>
        <w:jc w:val="left"/>
        <w:tblInd w:w="0" w:type="dxa"/>
        <w:tblCellMar>
          <w:top w:w="0" w:type="dxa"/>
          <w:left w:w="0" w:type="dxa"/>
          <w:bottom w:w="0" w:type="dxa"/>
          <w:right w:w="0" w:type="dxa"/>
        </w:tblCellMar>
      </w:tblPr>
      <w:tblGrid>
        <w:gridCol w:w="305"/>
        <w:gridCol w:w="100"/>
        <w:gridCol w:w="9800"/>
      </w:tblGrid>
      <w:tr>
        <w:trPr/>
        <w:tc>
          <w:tcPr>
            <w:tcW w:w="305"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center"/>
          </w:tcPr>
          <w:p>
            <w:pPr>
              <w:pStyle w:val="TableContents"/>
              <w:spacing w:before="0" w:after="283"/>
              <w:rPr>
                <w:sz w:val="4"/>
                <w:szCs w:val="4"/>
              </w:rPr>
            </w:pPr>
            <w:r>
              <w:rPr>
                <w:sz w:val="4"/>
                <w:szCs w:val="4"/>
              </w:rPr>
            </w:r>
          </w:p>
        </w:tc>
        <w:tc>
          <w:tcPr>
            <w:tcW w:w="9800"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rFonts w:ascii="Wingdings" w:hAnsi="Wingdings"/>
              </w:rPr>
            </w:pPr>
            <w:r>
              <w:rPr>
                <w:rFonts w:ascii="Wingdings" w:hAnsi="Wingdings"/>
              </w:rPr>
              <w:t>o</w:t>
            </w:r>
          </w:p>
        </w:tc>
        <w:tc>
          <w:tcPr>
            <w:tcW w:w="100" w:type="dxa"/>
            <w:tcBorders/>
            <w:shd w:fill="auto" w:val="clear"/>
            <w:vAlign w:val="center"/>
          </w:tcPr>
          <w:p>
            <w:pPr>
              <w:pStyle w:val="TableContents"/>
              <w:spacing w:before="0" w:after="283"/>
              <w:rPr/>
            </w:pPr>
            <w:r>
              <w:rPr/>
              <w:t> </w:t>
            </w:r>
          </w:p>
        </w:tc>
        <w:tc>
          <w:tcPr>
            <w:tcW w:w="9800" w:type="dxa"/>
            <w:tcBorders/>
            <w:shd w:fill="auto" w:val="clear"/>
            <w:vAlign w:val="center"/>
          </w:tcPr>
          <w:p>
            <w:pPr>
              <w:pStyle w:val="TableContents"/>
              <w:spacing w:before="0" w:after="283"/>
              <w:rPr/>
            </w:pPr>
            <w:r>
              <w:rPr/>
              <w:t xml:space="preserve">Soliciting material pursuant to Rule 14a-12 under the Exchange Act (17 CFR 240.14a-12) </w:t>
            </w:r>
          </w:p>
        </w:tc>
      </w:tr>
    </w:tbl>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9799"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rFonts w:ascii="Wingdings" w:hAnsi="Wingdings"/>
              </w:rPr>
            </w:pPr>
            <w:r>
              <w:rPr>
                <w:rFonts w:ascii="Wingdings" w:hAnsi="Wingdings"/>
              </w:rPr>
              <w:t>o</w:t>
            </w:r>
          </w:p>
        </w:tc>
        <w:tc>
          <w:tcPr>
            <w:tcW w:w="101" w:type="dxa"/>
            <w:tcBorders/>
            <w:shd w:fill="auto" w:val="clear"/>
            <w:vAlign w:val="center"/>
          </w:tcPr>
          <w:p>
            <w:pPr>
              <w:pStyle w:val="TableContents"/>
              <w:spacing w:before="0" w:after="283"/>
              <w:rPr/>
            </w:pPr>
            <w:r>
              <w:rPr/>
              <w:t> </w:t>
            </w:r>
          </w:p>
        </w:tc>
        <w:tc>
          <w:tcPr>
            <w:tcW w:w="9799" w:type="dxa"/>
            <w:tcBorders/>
            <w:shd w:fill="auto" w:val="clear"/>
            <w:vAlign w:val="center"/>
          </w:tcPr>
          <w:p>
            <w:pPr>
              <w:pStyle w:val="TableContents"/>
              <w:spacing w:before="0" w:after="283"/>
              <w:rPr/>
            </w:pPr>
            <w:r>
              <w:rPr/>
              <w:t xml:space="preserve">Pre-commencement communications pursuant to Rule 14d-2(b) under the Exchange Act (17 CFR 240.14d-2(b)) </w:t>
            </w:r>
          </w:p>
        </w:tc>
      </w:tr>
    </w:tbl>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9799"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rFonts w:ascii="Wingdings" w:hAnsi="Wingdings"/>
              </w:rPr>
            </w:pPr>
            <w:r>
              <w:rPr>
                <w:rFonts w:ascii="Wingdings" w:hAnsi="Wingdings"/>
              </w:rPr>
              <w:t>o</w:t>
            </w:r>
          </w:p>
        </w:tc>
        <w:tc>
          <w:tcPr>
            <w:tcW w:w="101" w:type="dxa"/>
            <w:tcBorders/>
            <w:shd w:fill="auto" w:val="clear"/>
            <w:vAlign w:val="center"/>
          </w:tcPr>
          <w:p>
            <w:pPr>
              <w:pStyle w:val="TableContents"/>
              <w:spacing w:before="0" w:after="283"/>
              <w:rPr/>
            </w:pPr>
            <w:r>
              <w:rPr/>
              <w:t> </w:t>
            </w:r>
          </w:p>
        </w:tc>
        <w:tc>
          <w:tcPr>
            <w:tcW w:w="9799" w:type="dxa"/>
            <w:tcBorders/>
            <w:shd w:fill="auto" w:val="clear"/>
            <w:vAlign w:val="center"/>
          </w:tcPr>
          <w:p>
            <w:pPr>
              <w:pStyle w:val="TableContents"/>
              <w:spacing w:before="0" w:after="283"/>
              <w:rPr/>
            </w:pPr>
            <w:r>
              <w:rPr/>
              <w:t xml:space="preserve">Pre-commencement communications pursuant to Rule 13e-4(c) under the Exchange Act (17 CFR 240.13e-4(c)) </w:t>
            </w:r>
          </w:p>
        </w:tc>
      </w:tr>
    </w:tbl>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982"/>
        <w:gridCol w:w="126"/>
        <w:gridCol w:w="9097"/>
      </w:tblGrid>
      <w:tr>
        <w:trPr/>
        <w:tc>
          <w:tcPr>
            <w:tcW w:w="982"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9097" w:type="dxa"/>
            <w:tcBorders/>
            <w:shd w:fill="auto" w:val="clear"/>
            <w:vAlign w:val="center"/>
          </w:tcPr>
          <w:p>
            <w:pPr>
              <w:pStyle w:val="TableContents"/>
              <w:spacing w:before="0" w:after="283"/>
              <w:rPr>
                <w:sz w:val="4"/>
                <w:szCs w:val="4"/>
              </w:rPr>
            </w:pPr>
            <w:r>
              <w:rPr>
                <w:sz w:val="4"/>
                <w:szCs w:val="4"/>
              </w:rPr>
            </w:r>
          </w:p>
        </w:tc>
      </w:tr>
      <w:tr>
        <w:trPr/>
        <w:tc>
          <w:tcPr>
            <w:tcW w:w="982" w:type="dxa"/>
            <w:tcBorders/>
            <w:shd w:fill="auto" w:val="clear"/>
          </w:tcPr>
          <w:p>
            <w:pPr>
              <w:pStyle w:val="TableContents"/>
              <w:spacing w:before="0" w:after="283"/>
              <w:jc w:val="left"/>
              <w:rPr>
                <w:b/>
              </w:rPr>
            </w:pPr>
            <w:r>
              <w:rPr>
                <w:b/>
              </w:rPr>
              <w:t>Item 7.01</w:t>
            </w:r>
          </w:p>
        </w:tc>
        <w:tc>
          <w:tcPr>
            <w:tcW w:w="126" w:type="dxa"/>
            <w:tcBorders/>
            <w:shd w:fill="auto" w:val="clear"/>
          </w:tcPr>
          <w:p>
            <w:pPr>
              <w:pStyle w:val="TableContents"/>
              <w:spacing w:before="0" w:after="283"/>
              <w:rPr/>
            </w:pPr>
            <w:r>
              <w:rPr/>
              <w:t> </w:t>
            </w:r>
          </w:p>
        </w:tc>
        <w:tc>
          <w:tcPr>
            <w:tcW w:w="9097" w:type="dxa"/>
            <w:tcBorders/>
            <w:shd w:fill="auto" w:val="clear"/>
          </w:tcPr>
          <w:p>
            <w:pPr>
              <w:pStyle w:val="TableContents"/>
              <w:spacing w:before="0" w:after="283"/>
              <w:rPr>
                <w:b/>
              </w:rPr>
            </w:pPr>
            <w:r>
              <w:rPr>
                <w:b/>
              </w:rPr>
              <w:t> Regulation FD Disclosure</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On May 18, 2011, Thomas C. Roberts, a member of the companys Board of Directors, entered into a prearranged trading plan to sell 15,000 shares of the companys Class A Non-Voting Common Stock in one or more open market transactions between June 24, 2011 and November 25, 2011. These shares will be acquired by Mr. Roberts pursuant to the exercise of currently vested stock options. This plan was designed to comply with Rule 10b5-1 under the Securities Exchange Act of 1934 and the companys policies regarding stock transactions. Mr. Roberts has informed the company that these sales are part of his personal program for long-term asset diversification and tax and financial planning.</w:t>
      </w:r>
    </w:p>
    <w:p>
      <w:pPr>
        <w:pStyle w:val="TextBody"/>
        <w:spacing w:before="120" w:after="283"/>
        <w:jc w:val="left"/>
        <w:rPr>
          <w:rFonts w:ascii="Times New Roman;Times;serif" w:hAnsi="Times New Roman;Times;serif"/>
          <w:sz w:val="17"/>
        </w:rPr>
      </w:pPr>
      <w:r>
        <w:rPr>
          <w:rFonts w:ascii="Times New Roman;Times;serif" w:hAnsi="Times New Roman;Times;serif"/>
          <w:sz w:val="17"/>
        </w:rPr>
        <w:t>Rule 10b5-1 permits persons who may be considered company insiders to establish written prearranged stock trading plans when they are not in possession of material, nonpublic information. The plans establish predetermined trading parameters that do not permit the person adopting the plan to exercise any subsequent influence over how, when or whether to effect trades. All sales under the plans will be disclosed publicly through appropriate filings with the U.S. Securities and Exchange Commission.</w:t>
      </w:r>
    </w:p>
    <w:p>
      <w:pPr>
        <w:pStyle w:val="TextBody"/>
        <w:spacing w:before="120" w:after="283"/>
        <w:jc w:val="left"/>
        <w:rPr>
          <w:rFonts w:ascii="Times New Roman;Times;serif" w:hAnsi="Times New Roman;Times;serif"/>
          <w:sz w:val="17"/>
        </w:rPr>
      </w:pPr>
      <w:r>
        <w:rPr>
          <w:rFonts w:ascii="Times New Roman;Times;serif" w:hAnsi="Times New Roman;Times;serif"/>
          <w:sz w:val="17"/>
        </w:rPr>
        <w:t>The information in this Item 7.01 shall not be deemed to be incorporated by reference into any registration statement or other document pursuant to the Securities Act of 1933, as amended, unless such subsequent filing specifically references this Current Report on Form 8-K.</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SIGNATURES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Pursuant to the requirements of the Securities Exchange Act of 1934, the registrant has duly caused this report to be signed on its behalf by the undersigned hereunto duly authorized.</w:t>
      </w:r>
    </w:p>
    <w:tbl>
      <w:tblPr>
        <w:tblW w:w="5000" w:type="pct"/>
        <w:jc w:val="left"/>
        <w:tblInd w:w="0" w:type="dxa"/>
        <w:tblCellMar>
          <w:top w:w="0" w:type="dxa"/>
          <w:left w:w="0" w:type="dxa"/>
          <w:bottom w:w="0" w:type="dxa"/>
          <w:right w:w="0" w:type="dxa"/>
        </w:tblCellMar>
      </w:tblPr>
      <w:tblGrid>
        <w:gridCol w:w="4340"/>
        <w:gridCol w:w="741"/>
        <w:gridCol w:w="727"/>
        <w:gridCol w:w="3132"/>
        <w:gridCol w:w="1265"/>
      </w:tblGrid>
      <w:tr>
        <w:trPr/>
        <w:tc>
          <w:tcPr>
            <w:tcW w:w="4340" w:type="dxa"/>
            <w:tcBorders/>
            <w:shd w:fill="auto" w:val="clear"/>
            <w:vAlign w:val="center"/>
          </w:tcPr>
          <w:p>
            <w:pPr>
              <w:pStyle w:val="TableContents"/>
              <w:spacing w:before="0" w:after="283"/>
              <w:rPr/>
            </w:pPr>
            <w:r>
              <w:rPr/>
              <w:t> </w:t>
            </w:r>
          </w:p>
        </w:tc>
        <w:tc>
          <w:tcPr>
            <w:tcW w:w="741" w:type="dxa"/>
            <w:tcBorders/>
            <w:shd w:fill="auto" w:val="clear"/>
            <w:vAlign w:val="center"/>
          </w:tcPr>
          <w:p>
            <w:pPr>
              <w:pStyle w:val="TableContents"/>
              <w:spacing w:before="0" w:after="283"/>
              <w:rPr/>
            </w:pPr>
            <w:r>
              <w:rPr/>
              <w:t> </w:t>
            </w:r>
          </w:p>
        </w:tc>
        <w:tc>
          <w:tcPr>
            <w:tcW w:w="727" w:type="dxa"/>
            <w:tcBorders/>
            <w:shd w:fill="auto" w:val="clear"/>
            <w:vAlign w:val="center"/>
          </w:tcPr>
          <w:p>
            <w:pPr>
              <w:pStyle w:val="TableContents"/>
              <w:spacing w:before="0" w:after="283"/>
              <w:rPr/>
            </w:pPr>
            <w:r>
              <w:rPr/>
              <w:t> </w:t>
            </w:r>
          </w:p>
        </w:tc>
        <w:tc>
          <w:tcPr>
            <w:tcW w:w="3132" w:type="dxa"/>
            <w:tcBorders/>
            <w:shd w:fill="auto" w:val="clear"/>
            <w:vAlign w:val="center"/>
          </w:tcPr>
          <w:p>
            <w:pPr>
              <w:pStyle w:val="TableContents"/>
              <w:spacing w:before="0" w:after="283"/>
              <w:rPr/>
            </w:pPr>
            <w:r>
              <w:rPr/>
              <w:t> </w:t>
            </w:r>
          </w:p>
        </w:tc>
        <w:tc>
          <w:tcPr>
            <w:tcW w:w="1265" w:type="dxa"/>
            <w:tcBorders/>
            <w:shd w:fill="auto" w:val="clear"/>
            <w:vAlign w:val="center"/>
          </w:tcPr>
          <w:p>
            <w:pPr>
              <w:pStyle w:val="TableContents"/>
              <w:spacing w:before="0" w:after="283"/>
              <w:rPr/>
            </w:pPr>
            <w:r>
              <w:rPr/>
              <w:t> </w:t>
            </w:r>
          </w:p>
        </w:tc>
      </w:tr>
      <w:tr>
        <w:trPr/>
        <w:tc>
          <w:tcPr>
            <w:tcW w:w="4340" w:type="dxa"/>
            <w:tcBorders/>
            <w:shd w:fill="auto" w:val="clear"/>
          </w:tcPr>
          <w:p>
            <w:pPr>
              <w:pStyle w:val="TableContents"/>
              <w:spacing w:before="0" w:after="283"/>
              <w:jc w:val="left"/>
              <w:rPr/>
            </w:pPr>
            <w:r>
              <w:rPr/>
              <w:t> </w:t>
            </w:r>
          </w:p>
        </w:tc>
        <w:tc>
          <w:tcPr>
            <w:tcW w:w="4600" w:type="dxa"/>
            <w:gridSpan w:val="3"/>
            <w:tcBorders/>
            <w:shd w:fill="auto" w:val="clear"/>
            <w:vAlign w:val="center"/>
          </w:tcPr>
          <w:p>
            <w:pPr>
              <w:pStyle w:val="TableContents"/>
              <w:spacing w:before="0" w:after="283"/>
              <w:jc w:val="left"/>
              <w:rPr/>
            </w:pPr>
            <w:r>
              <w:rPr/>
              <w:t>EZCORP, INC.</w:t>
              <w:br/>
              <w:t> </w:t>
            </w:r>
          </w:p>
        </w:tc>
        <w:tc>
          <w:tcPr>
            <w:tcW w:w="1265" w:type="dxa"/>
            <w:tcBorders/>
            <w:shd w:fill="auto" w:val="clear"/>
            <w:vAlign w:val="center"/>
          </w:tcPr>
          <w:p>
            <w:pPr>
              <w:pStyle w:val="TableContents"/>
              <w:spacing w:before="0" w:after="283"/>
              <w:rPr/>
            </w:pPr>
            <w:r>
              <w:rPr/>
              <w:t> </w:t>
            </w:r>
          </w:p>
        </w:tc>
      </w:tr>
      <w:tr>
        <w:trPr/>
        <w:tc>
          <w:tcPr>
            <w:tcW w:w="4340" w:type="dxa"/>
            <w:tcBorders/>
            <w:shd w:fill="auto" w:val="clear"/>
            <w:vAlign w:val="center"/>
          </w:tcPr>
          <w:p>
            <w:pPr>
              <w:pStyle w:val="TableContents"/>
              <w:spacing w:before="0" w:after="283"/>
              <w:jc w:val="left"/>
              <w:rPr/>
            </w:pPr>
            <w:r>
              <w:rPr/>
              <w:t>Date: May 25, 2011 </w:t>
            </w:r>
          </w:p>
        </w:tc>
        <w:tc>
          <w:tcPr>
            <w:tcW w:w="741" w:type="dxa"/>
            <w:tcBorders/>
            <w:shd w:fill="auto" w:val="clear"/>
          </w:tcPr>
          <w:p>
            <w:pPr>
              <w:pStyle w:val="TableContents"/>
              <w:spacing w:before="0" w:after="283"/>
              <w:rPr/>
            </w:pPr>
            <w:r>
              <w:rPr/>
              <w:t>By:  </w:t>
            </w:r>
          </w:p>
        </w:tc>
        <w:tc>
          <w:tcPr>
            <w:tcW w:w="3859" w:type="dxa"/>
            <w:gridSpan w:val="2"/>
            <w:tcBorders>
              <w:bottom w:val="single" w:sz="2" w:space="0" w:color="000000"/>
            </w:tcBorders>
            <w:shd w:fill="auto" w:val="clear"/>
            <w:tcMar>
              <w:bottom w:w="28" w:type="dxa"/>
            </w:tcMar>
            <w:vAlign w:val="center"/>
          </w:tcPr>
          <w:p>
            <w:pPr>
              <w:pStyle w:val="TableContents"/>
              <w:spacing w:before="0" w:after="283"/>
              <w:jc w:val="left"/>
              <w:rPr/>
            </w:pPr>
            <w:r>
              <w:rPr/>
              <w:t>/s/ Thomas H. Welch, Jr.  </w:t>
            </w:r>
          </w:p>
        </w:tc>
        <w:tc>
          <w:tcPr>
            <w:tcW w:w="1265" w:type="dxa"/>
            <w:tcBorders/>
            <w:shd w:fill="auto" w:val="clear"/>
            <w:vAlign w:val="center"/>
          </w:tcPr>
          <w:p>
            <w:pPr>
              <w:pStyle w:val="TableContents"/>
              <w:spacing w:before="0" w:after="283"/>
              <w:rPr/>
            </w:pPr>
            <w:r>
              <w:rPr/>
              <w:t> </w:t>
            </w:r>
          </w:p>
        </w:tc>
      </w:tr>
      <w:tr>
        <w:trPr/>
        <w:tc>
          <w:tcPr>
            <w:tcW w:w="4340" w:type="dxa"/>
            <w:tcBorders/>
            <w:shd w:fill="auto" w:val="clear"/>
            <w:vAlign w:val="center"/>
          </w:tcPr>
          <w:p>
            <w:pPr>
              <w:pStyle w:val="TableContents"/>
              <w:spacing w:before="0" w:after="283"/>
              <w:jc w:val="left"/>
              <w:rPr/>
            </w:pPr>
            <w:r>
              <w:rPr/>
              <w:t> </w:t>
            </w:r>
          </w:p>
        </w:tc>
        <w:tc>
          <w:tcPr>
            <w:tcW w:w="741" w:type="dxa"/>
            <w:tcBorders/>
            <w:shd w:fill="auto" w:val="clear"/>
            <w:vAlign w:val="center"/>
          </w:tcPr>
          <w:p>
            <w:pPr>
              <w:pStyle w:val="TableContents"/>
              <w:spacing w:before="0" w:after="283"/>
              <w:rPr/>
            </w:pPr>
            <w:r>
              <w:rPr/>
              <w:t> </w:t>
            </w:r>
          </w:p>
        </w:tc>
        <w:tc>
          <w:tcPr>
            <w:tcW w:w="3859" w:type="dxa"/>
            <w:gridSpan w:val="2"/>
            <w:tcBorders/>
            <w:shd w:fill="auto" w:val="clear"/>
            <w:vAlign w:val="center"/>
          </w:tcPr>
          <w:p>
            <w:pPr>
              <w:pStyle w:val="TableContents"/>
              <w:spacing w:before="0" w:after="283"/>
              <w:jc w:val="left"/>
              <w:rPr/>
            </w:pPr>
            <w:r>
              <w:rPr/>
              <w:t>Thomas H. Welch, Jr. </w:t>
            </w:r>
          </w:p>
        </w:tc>
        <w:tc>
          <w:tcPr>
            <w:tcW w:w="1265" w:type="dxa"/>
            <w:tcBorders/>
            <w:shd w:fill="auto" w:val="clear"/>
            <w:vAlign w:val="center"/>
          </w:tcPr>
          <w:p>
            <w:pPr>
              <w:pStyle w:val="TableContents"/>
              <w:spacing w:before="0" w:after="283"/>
              <w:rPr/>
            </w:pPr>
            <w:r>
              <w:rPr/>
              <w:t> </w:t>
            </w:r>
          </w:p>
        </w:tc>
      </w:tr>
      <w:tr>
        <w:trPr/>
        <w:tc>
          <w:tcPr>
            <w:tcW w:w="4340" w:type="dxa"/>
            <w:tcBorders/>
            <w:shd w:fill="auto" w:val="clear"/>
            <w:vAlign w:val="center"/>
          </w:tcPr>
          <w:p>
            <w:pPr>
              <w:pStyle w:val="TableContents"/>
              <w:spacing w:before="0" w:after="283"/>
              <w:jc w:val="left"/>
              <w:rPr/>
            </w:pPr>
            <w:r>
              <w:rPr/>
              <w:t> </w:t>
            </w:r>
          </w:p>
        </w:tc>
        <w:tc>
          <w:tcPr>
            <w:tcW w:w="741" w:type="dxa"/>
            <w:tcBorders/>
            <w:shd w:fill="auto" w:val="clear"/>
            <w:vAlign w:val="center"/>
          </w:tcPr>
          <w:p>
            <w:pPr>
              <w:pStyle w:val="TableContents"/>
              <w:spacing w:before="0" w:after="283"/>
              <w:rPr/>
            </w:pPr>
            <w:r>
              <w:rPr/>
              <w:t> </w:t>
            </w:r>
          </w:p>
        </w:tc>
        <w:tc>
          <w:tcPr>
            <w:tcW w:w="3859" w:type="dxa"/>
            <w:gridSpan w:val="2"/>
            <w:tcBorders/>
            <w:shd w:fill="auto" w:val="clear"/>
            <w:vAlign w:val="center"/>
          </w:tcPr>
          <w:p>
            <w:pPr>
              <w:pStyle w:val="TableContents"/>
              <w:spacing w:before="0" w:after="283"/>
              <w:jc w:val="left"/>
              <w:rPr/>
            </w:pPr>
            <w:r>
              <w:rPr/>
              <w:t>Senior Vice President,</w:t>
              <w:br/>
              <w:t>     General Counsel and Secretary </w:t>
            </w:r>
          </w:p>
        </w:tc>
        <w:tc>
          <w:tcPr>
            <w:tcW w:w="1265"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0" w:after="0"/>
        <w:jc w:val="center"/>
        <w:rPr/>
      </w:pPr>
      <w:r>
        <w:rPr/>
        <w:t xml:space="preserve">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465</Words>
  <CharactersWithSpaces>3014</CharactersWithSpaces>
  <Paragraphs>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e8vk</dc:title>
</cp:coreProperties>
</file>