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8, 2017</w:t>
      </w:r>
    </w:p>
    <w:p>
      <w:pPr>
        <w:spacing w:after="0" w:line="19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333-202626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1 to</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37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EZCORP, INC.</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900" w:orient="portrait"/>
          <w:cols w:equalWidth="0" w:num="1">
            <w:col w:w="11420"/>
          </w:cols>
          <w:pgMar w:left="240" w:top="395" w:right="239" w:bottom="0" w:gutter="0" w:footer="0" w:header="0"/>
        </w:sectPr>
      </w:pPr>
    </w:p>
    <w:p>
      <w:pPr>
        <w:spacing w:after="0" w:line="200" w:lineRule="exact"/>
        <w:rPr>
          <w:sz w:val="24"/>
          <w:szCs w:val="24"/>
          <w:color w:val="auto"/>
        </w:rPr>
      </w:pPr>
    </w:p>
    <w:p>
      <w:pPr>
        <w:spacing w:after="0" w:line="206" w:lineRule="exact"/>
        <w:rPr>
          <w:sz w:val="24"/>
          <w:szCs w:val="24"/>
          <w:color w:val="auto"/>
        </w:rPr>
      </w:pPr>
    </w:p>
    <w:p>
      <w:pPr>
        <w:ind w:left="16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74-2540145</w:t>
      </w:r>
    </w:p>
    <w:p>
      <w:pPr>
        <w:spacing w:after="0" w:line="102" w:lineRule="exact"/>
        <w:rPr>
          <w:sz w:val="24"/>
          <w:szCs w:val="24"/>
          <w:color w:val="auto"/>
        </w:rPr>
      </w:pPr>
    </w:p>
    <w:p>
      <w:pPr>
        <w:sectPr>
          <w:pgSz w:w="11900" w:h="16900" w:orient="portrait"/>
          <w:cols w:equalWidth="0" w:num="2">
            <w:col w:w="8220" w:space="720"/>
            <w:col w:w="2480"/>
          </w:cols>
          <w:pgMar w:left="240" w:top="395" w:right="239" w:bottom="0" w:gutter="0" w:footer="0" w:header="0"/>
          <w:type w:val="continuous"/>
        </w:sectPr>
      </w:pPr>
    </w:p>
    <w:p>
      <w:pPr>
        <w:ind w:left="110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10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62" w:lineRule="exact"/>
        <w:rPr>
          <w:sz w:val="24"/>
          <w:szCs w:val="24"/>
          <w:color w:val="auto"/>
        </w:rPr>
      </w:pPr>
    </w:p>
    <w:p>
      <w:pPr>
        <w:sectPr>
          <w:pgSz w:w="11900" w:h="16900" w:orient="portrait"/>
          <w:cols w:equalWidth="0" w:num="2">
            <w:col w:w="7600" w:space="720"/>
            <w:col w:w="3100"/>
          </w:cols>
          <w:pgMar w:left="240" w:top="395" w:right="2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Thomas H. Welch, Jr.</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314-3409</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Copies to:</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Robert L. Kimball</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Christopher G. Schmitt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2001 Ross Avenue, 3700 Trammel Crow Center, Dallas, Texas 75201-2975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220-7700</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Approximate date of commencement of proposed sale of the securities to the public: From time to time after the effective date of this registration statement.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2" w:lineRule="exact"/>
        <w:rPr>
          <w:sz w:val="24"/>
          <w:szCs w:val="24"/>
          <w:color w:val="auto"/>
        </w:rPr>
      </w:pPr>
    </w:p>
    <w:p>
      <w:pPr>
        <w:ind w:right="100"/>
        <w:spacing w:after="0" w:line="219"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44"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9"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39"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39" w:lineRule="exact"/>
        <w:rPr>
          <w:sz w:val="24"/>
          <w:szCs w:val="24"/>
          <w:color w:val="auto"/>
        </w:rPr>
      </w:pPr>
    </w:p>
    <w:p>
      <w:pPr>
        <w:ind w:right="20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55" w:lineRule="exact"/>
        <w:rPr>
          <w:sz w:val="24"/>
          <w:szCs w:val="24"/>
          <w:color w:val="auto"/>
        </w:rPr>
      </w:pPr>
    </w:p>
    <w:tbl>
      <w:tblPr>
        <w:tblLayout w:type="fixed"/>
        <w:tblInd w:w="90" w:type="dxa"/>
        <w:tblCellMar>
          <w:top w:w="0" w:type="dxa"/>
          <w:left w:w="0" w:type="dxa"/>
          <w:bottom w:w="0" w:type="dxa"/>
          <w:right w:w="0" w:type="dxa"/>
        </w:tblCellMar>
      </w:tblPr>
      <w:tr>
        <w:trPr>
          <w:trHeight w:val="283"/>
        </w:trPr>
        <w:tc>
          <w:tcPr>
            <w:tcW w:w="270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6"/>
                <w:szCs w:val="16"/>
                <w:color w:val="auto"/>
              </w:rPr>
              <w:t>☐</w:t>
            </w:r>
          </w:p>
        </w:tc>
        <w:tc>
          <w:tcPr>
            <w:tcW w:w="25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480" w:type="dxa"/>
            <w:vAlign w:val="bottom"/>
            <w:gridSpan w:val="3"/>
          </w:tcPr>
          <w:p>
            <w:pPr>
              <w:jc w:val="center"/>
              <w:ind w:right="1088"/>
              <w:spacing w:after="0" w:line="207" w:lineRule="exact"/>
              <w:rPr>
                <w:sz w:val="20"/>
                <w:szCs w:val="20"/>
                <w:color w:val="auto"/>
              </w:rPr>
            </w:pPr>
            <w:r>
              <w:rPr>
                <w:rFonts w:ascii="Arial" w:cs="Arial" w:eastAsia="Arial" w:hAnsi="Arial"/>
                <w:sz w:val="18"/>
                <w:szCs w:val="18"/>
                <w:color w:val="auto"/>
                <w:w w:val="91"/>
              </w:rPr>
              <w:t xml:space="preserve">Non-accelerated filer </w:t>
            </w:r>
            <w:r>
              <w:rPr>
                <w:rFonts w:ascii="MS PGothic" w:cs="MS PGothic" w:eastAsia="MS PGothic" w:hAnsi="MS PGothic"/>
                <w:sz w:val="16"/>
                <w:szCs w:val="16"/>
                <w:color w:val="auto"/>
                <w:w w:val="91"/>
              </w:rPr>
              <w:t>☐</w:t>
            </w:r>
          </w:p>
        </w:tc>
        <w:tc>
          <w:tcPr>
            <w:tcW w:w="2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6"/>
                <w:szCs w:val="16"/>
                <w:color w:val="auto"/>
              </w:rPr>
              <w:t>☐</w:t>
            </w:r>
          </w:p>
        </w:tc>
      </w:tr>
      <w:tr>
        <w:trPr>
          <w:trHeight w:val="231"/>
        </w:trPr>
        <w:tc>
          <w:tcPr>
            <w:tcW w:w="2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80" w:type="dxa"/>
            <w:vAlign w:val="bottom"/>
            <w:gridSpan w:val="4"/>
          </w:tcPr>
          <w:p>
            <w:pPr>
              <w:jc w:val="center"/>
              <w:ind w:left="463"/>
              <w:spacing w:after="0"/>
              <w:rPr>
                <w:sz w:val="20"/>
                <w:szCs w:val="20"/>
                <w:color w:val="auto"/>
              </w:rPr>
            </w:pPr>
            <w:r>
              <w:rPr>
                <w:rFonts w:ascii="Arial" w:cs="Arial" w:eastAsia="Arial" w:hAnsi="Arial"/>
                <w:sz w:val="16"/>
                <w:szCs w:val="16"/>
                <w:color w:val="auto"/>
              </w:rPr>
              <w:t>(Do not check if a smaller reporting company)</w:t>
            </w:r>
          </w:p>
        </w:tc>
        <w:tc>
          <w:tcPr>
            <w:tcW w:w="2600" w:type="dxa"/>
            <w:vAlign w:val="bottom"/>
          </w:tcPr>
          <w:p>
            <w:pPr>
              <w:spacing w:after="0"/>
              <w:rPr>
                <w:sz w:val="20"/>
                <w:szCs w:val="20"/>
                <w:color w:val="auto"/>
              </w:rPr>
            </w:pPr>
          </w:p>
        </w:tc>
      </w:tr>
      <w:tr>
        <w:trPr>
          <w:trHeight w:val="419"/>
        </w:trPr>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gridSpan w:val="3"/>
          </w:tcPr>
          <w:p>
            <w:pPr>
              <w:ind w:left="600"/>
              <w:spacing w:after="0"/>
              <w:rPr>
                <w:sz w:val="20"/>
                <w:szCs w:val="20"/>
                <w:color w:val="auto"/>
              </w:rPr>
            </w:pPr>
            <w:r>
              <w:rPr>
                <w:rFonts w:ascii="Arial" w:cs="Arial" w:eastAsia="Arial" w:hAnsi="Arial"/>
                <w:sz w:val="16"/>
                <w:szCs w:val="16"/>
                <w:b w:val="1"/>
                <w:bCs w:val="1"/>
                <w:color w:val="auto"/>
              </w:rPr>
              <w:t>CALCULATION OF REGISTRATION FEE</w:t>
            </w:r>
          </w:p>
        </w:tc>
        <w:tc>
          <w:tcPr>
            <w:tcW w:w="1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81"/>
        </w:trPr>
        <w:tc>
          <w:tcPr>
            <w:tcW w:w="2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r>
      <w:tr>
        <w:trPr>
          <w:trHeight w:val="156"/>
        </w:trPr>
        <w:tc>
          <w:tcPr>
            <w:tcW w:w="2700" w:type="dxa"/>
            <w:vAlign w:val="bottom"/>
            <w:tcBorders>
              <w:lef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ind w:left="44"/>
              <w:spacing w:after="0" w:line="157" w:lineRule="exact"/>
              <w:rPr>
                <w:sz w:val="20"/>
                <w:szCs w:val="20"/>
                <w:color w:val="auto"/>
              </w:rPr>
            </w:pPr>
            <w:r>
              <w:rPr>
                <w:rFonts w:ascii="Arial" w:cs="Arial" w:eastAsia="Arial" w:hAnsi="Arial"/>
                <w:sz w:val="14"/>
                <w:szCs w:val="14"/>
                <w:b w:val="1"/>
                <w:bCs w:val="1"/>
                <w:color w:val="auto"/>
              </w:rPr>
              <w:t>Proposed maximum</w:t>
            </w:r>
          </w:p>
        </w:tc>
        <w:tc>
          <w:tcPr>
            <w:tcW w:w="280" w:type="dxa"/>
            <w:vAlign w:val="bottom"/>
          </w:tcPr>
          <w:p>
            <w:pPr>
              <w:spacing w:after="0"/>
              <w:rPr>
                <w:sz w:val="13"/>
                <w:szCs w:val="13"/>
                <w:color w:val="auto"/>
              </w:rPr>
            </w:pPr>
          </w:p>
        </w:tc>
        <w:tc>
          <w:tcPr>
            <w:tcW w:w="1520" w:type="dxa"/>
            <w:vAlign w:val="bottom"/>
            <w:tcBorders>
              <w:right w:val="single" w:sz="8" w:color="auto"/>
            </w:tcBorders>
          </w:tcPr>
          <w:p>
            <w:pPr>
              <w:jc w:val="center"/>
              <w:ind w:right="28"/>
              <w:spacing w:after="0" w:line="157" w:lineRule="exact"/>
              <w:rPr>
                <w:sz w:val="20"/>
                <w:szCs w:val="20"/>
                <w:color w:val="auto"/>
              </w:rPr>
            </w:pPr>
            <w:r>
              <w:rPr>
                <w:rFonts w:ascii="Arial" w:cs="Arial" w:eastAsia="Arial" w:hAnsi="Arial"/>
                <w:sz w:val="14"/>
                <w:szCs w:val="14"/>
                <w:b w:val="1"/>
                <w:bCs w:val="1"/>
                <w:color w:val="auto"/>
              </w:rPr>
              <w:t>Proposed maximum</w:t>
            </w:r>
          </w:p>
        </w:tc>
        <w:tc>
          <w:tcPr>
            <w:tcW w:w="2600" w:type="dxa"/>
            <w:vAlign w:val="bottom"/>
            <w:tcBorders>
              <w:right w:val="single" w:sz="8" w:color="auto"/>
            </w:tcBorders>
          </w:tcPr>
          <w:p>
            <w:pPr>
              <w:spacing w:after="0"/>
              <w:rPr>
                <w:sz w:val="13"/>
                <w:szCs w:val="13"/>
                <w:color w:val="auto"/>
              </w:rPr>
            </w:pPr>
          </w:p>
        </w:tc>
      </w:tr>
      <w:tr>
        <w:trPr>
          <w:trHeight w:val="162"/>
        </w:trPr>
        <w:tc>
          <w:tcPr>
            <w:tcW w:w="2700" w:type="dxa"/>
            <w:vAlign w:val="bottom"/>
            <w:tcBorders>
              <w:left w:val="single" w:sz="8" w:color="auto"/>
            </w:tcBorders>
          </w:tcPr>
          <w:p>
            <w:pPr>
              <w:jc w:val="center"/>
              <w:ind w:left="724"/>
              <w:spacing w:after="0"/>
              <w:rPr>
                <w:sz w:val="20"/>
                <w:szCs w:val="20"/>
                <w:color w:val="auto"/>
              </w:rPr>
            </w:pPr>
            <w:r>
              <w:rPr>
                <w:rFonts w:ascii="Arial" w:cs="Arial" w:eastAsia="Arial" w:hAnsi="Arial"/>
                <w:sz w:val="14"/>
                <w:szCs w:val="14"/>
                <w:b w:val="1"/>
                <w:bCs w:val="1"/>
                <w:color w:val="auto"/>
              </w:rPr>
              <w:t>Title of Each Class of</w:t>
            </w:r>
          </w:p>
        </w:tc>
        <w:tc>
          <w:tcPr>
            <w:tcW w:w="8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440"/>
              <w:spacing w:after="0"/>
              <w:rPr>
                <w:sz w:val="20"/>
                <w:szCs w:val="20"/>
                <w:color w:val="auto"/>
              </w:rPr>
            </w:pPr>
            <w:r>
              <w:rPr>
                <w:rFonts w:ascii="Arial" w:cs="Arial" w:eastAsia="Arial" w:hAnsi="Arial"/>
                <w:sz w:val="14"/>
                <w:szCs w:val="14"/>
                <w:b w:val="1"/>
                <w:bCs w:val="1"/>
                <w:color w:val="auto"/>
              </w:rPr>
              <w:t>Amount to be</w:t>
            </w:r>
          </w:p>
        </w:tc>
        <w:tc>
          <w:tcPr>
            <w:tcW w:w="1680" w:type="dxa"/>
            <w:vAlign w:val="bottom"/>
            <w:tcBorders>
              <w:right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offering price</w:t>
            </w:r>
          </w:p>
        </w:tc>
        <w:tc>
          <w:tcPr>
            <w:tcW w:w="280" w:type="dxa"/>
            <w:vAlign w:val="bottom"/>
          </w:tcPr>
          <w:p>
            <w:pPr>
              <w:spacing w:after="0"/>
              <w:rPr>
                <w:sz w:val="14"/>
                <w:szCs w:val="14"/>
                <w:color w:val="auto"/>
              </w:rPr>
            </w:pPr>
          </w:p>
        </w:tc>
        <w:tc>
          <w:tcPr>
            <w:tcW w:w="15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aggregate offering</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 of</w:t>
            </w:r>
          </w:p>
        </w:tc>
      </w:tr>
      <w:tr>
        <w:trPr>
          <w:trHeight w:val="196"/>
        </w:trPr>
        <w:tc>
          <w:tcPr>
            <w:tcW w:w="2700" w:type="dxa"/>
            <w:vAlign w:val="bottom"/>
            <w:tcBorders>
              <w:left w:val="single" w:sz="8" w:color="auto"/>
              <w:bottom w:val="single" w:sz="8" w:color="auto"/>
            </w:tcBorders>
          </w:tcPr>
          <w:p>
            <w:pPr>
              <w:jc w:val="center"/>
              <w:ind w:left="764"/>
              <w:spacing w:after="0"/>
              <w:rPr>
                <w:sz w:val="20"/>
                <w:szCs w:val="20"/>
                <w:color w:val="auto"/>
              </w:rPr>
            </w:pPr>
            <w:r>
              <w:rPr>
                <w:rFonts w:ascii="Arial" w:cs="Arial" w:eastAsia="Arial" w:hAnsi="Arial"/>
                <w:sz w:val="14"/>
                <w:szCs w:val="14"/>
                <w:b w:val="1"/>
                <w:bCs w:val="1"/>
                <w:color w:val="auto"/>
              </w:rPr>
              <w:t>Securities to be Registered</w:t>
            </w:r>
          </w:p>
        </w:tc>
        <w:tc>
          <w:tcPr>
            <w:tcW w:w="8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Registered (1)</w:t>
            </w:r>
          </w:p>
        </w:tc>
        <w:tc>
          <w:tcPr>
            <w:tcW w:w="168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4"/>
                <w:szCs w:val="14"/>
                <w:b w:val="1"/>
                <w:bCs w:val="1"/>
                <w:color w:val="auto"/>
              </w:rPr>
              <w:t>per unit (2)</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r>
      <w:tr>
        <w:trPr>
          <w:trHeight w:val="231"/>
        </w:trPr>
        <w:tc>
          <w:tcPr>
            <w:tcW w:w="27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Debt securities (3)</w:t>
            </w:r>
          </w:p>
        </w:tc>
        <w:tc>
          <w:tcPr>
            <w:tcW w:w="8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r>
      <w:tr>
        <w:trPr>
          <w:trHeight w:val="39"/>
        </w:trPr>
        <w:tc>
          <w:tcPr>
            <w:tcW w:w="3520" w:type="dxa"/>
            <w:vAlign w:val="bottom"/>
            <w:tcBorders>
              <w:left w:val="single" w:sz="8" w:color="auto"/>
              <w:bottom w:val="single" w:sz="8" w:color="auto"/>
              <w:right w:val="single" w:sz="8" w:color="auto"/>
            </w:tcBorders>
            <w:gridSpan w:val="2"/>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r>
      <w:tr>
        <w:trPr>
          <w:trHeight w:val="172"/>
        </w:trPr>
        <w:tc>
          <w:tcPr>
            <w:tcW w:w="352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4"/>
                <w:szCs w:val="14"/>
                <w:color w:val="auto"/>
              </w:rPr>
              <w:t>Class A Non-voting Common Stock, par value</w:t>
            </w:r>
          </w:p>
        </w:tc>
        <w:tc>
          <w:tcPr>
            <w:tcW w:w="170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r>
    </w:tbl>
    <w:p>
      <w:pPr>
        <w:sectPr>
          <w:pgSz w:w="11900" w:h="16900" w:orient="portrait"/>
          <w:cols w:equalWidth="0" w:num="1">
            <w:col w:w="11420"/>
          </w:cols>
          <w:pgMar w:left="240" w:top="395" w:right="239" w:bottom="0" w:gutter="0" w:footer="0" w:header="0"/>
          <w:type w:val="continuous"/>
        </w:sectPr>
      </w:pPr>
    </w:p>
    <w:bookmarkStart w:id="1" w:name="page2"/>
    <w:bookmarkEnd w:id="1"/>
    <w:p>
      <w:pPr>
        <w:ind w:left="2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6915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900430"/>
                    </a:xfrm>
                    <a:prstGeom prst="rect">
                      <a:avLst/>
                    </a:prstGeom>
                    <a:noFill/>
                  </pic:spPr>
                </pic:pic>
              </a:graphicData>
            </a:graphic>
          </wp:anchor>
        </w:drawing>
        <w:t>$0.01 per share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Warrants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 purchase contracts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 purchase contracts</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35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170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$500,000,000 (4)</w:t>
            </w:r>
          </w:p>
        </w:tc>
        <w:tc>
          <w:tcPr>
            <w:tcW w:w="258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rPr>
              <w:t>$57,950 (5)</w:t>
            </w:r>
          </w:p>
        </w:tc>
      </w:tr>
      <w:tr>
        <w:trPr>
          <w:trHeight w:val="39"/>
        </w:trPr>
        <w:tc>
          <w:tcPr>
            <w:tcW w:w="35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500" w:right="20" w:hanging="492"/>
        <w:spacing w:after="0" w:line="244"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covers an indeterminate aggregate principal amount of debt securities, an indeterminate number of shares of Class A Non-Voting Common Stock and an indeterminate number of warrants, stock purchase contracts or stock purchase units. The securities registered under this Registration Statement may be sold separately or as units with other securities registered under this Registration Statement. Pursuant to Rule 416 under the Securities Act of 1933 (the “Securities Act”), the shares being registered hereunder include such indeterminate number of shares of Class A Non-Voting Common Stock as may be issuable with respect to the shares being registered hereunder as a result of stock splits, stock dividends or similar transactions. This Registration Statement also covers an indeterminate amount of securities as may be issued in exchange for, or upon conversion or exercise of, as the case may be, the securities issued hereunder.</w:t>
      </w:r>
    </w:p>
    <w:p>
      <w:pPr>
        <w:spacing w:after="0" w:line="57" w:lineRule="exact"/>
        <w:rPr>
          <w:rFonts w:ascii="Arial" w:cs="Arial" w:eastAsia="Arial" w:hAnsi="Arial"/>
          <w:sz w:val="14"/>
          <w:szCs w:val="14"/>
          <w:color w:val="auto"/>
        </w:rPr>
      </w:pPr>
    </w:p>
    <w:p>
      <w:pPr>
        <w:ind w:left="500" w:hanging="478"/>
        <w:spacing w:after="0" w:line="258" w:lineRule="auto"/>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for each class of securities will be determined from time to time by the registrant in connection with the issuance of the securities registered hereunder and is not specified pursuant to General Instruction II.D. of Form S-3.</w:t>
      </w:r>
    </w:p>
    <w:p>
      <w:pPr>
        <w:spacing w:after="0" w:line="45" w:lineRule="exact"/>
        <w:rPr>
          <w:rFonts w:ascii="Arial" w:cs="Arial" w:eastAsia="Arial" w:hAnsi="Arial"/>
          <w:sz w:val="14"/>
          <w:szCs w:val="14"/>
          <w:color w:val="auto"/>
        </w:rPr>
      </w:pPr>
    </w:p>
    <w:p>
      <w:pPr>
        <w:ind w:left="500" w:hanging="478"/>
        <w:spacing w:after="0" w:line="258" w:lineRule="auto"/>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If any debt securities are issued at an original issue discount, then the offering price of such debt securities shall be in such amount as shall result in an aggregate initial offering price not to exceed $500,000,000, less the dollar amount of any registered securities previously issued.</w:t>
      </w:r>
    </w:p>
    <w:p>
      <w:pPr>
        <w:spacing w:after="0" w:line="45" w:lineRule="exact"/>
        <w:rPr>
          <w:rFonts w:ascii="Arial" w:cs="Arial" w:eastAsia="Arial" w:hAnsi="Arial"/>
          <w:sz w:val="14"/>
          <w:szCs w:val="14"/>
          <w:color w:val="auto"/>
        </w:rPr>
      </w:pPr>
    </w:p>
    <w:p>
      <w:pPr>
        <w:ind w:left="500" w:hanging="478"/>
        <w:spacing w:after="0"/>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w:t>
      </w:r>
    </w:p>
    <w:p>
      <w:pPr>
        <w:spacing w:after="0" w:line="68" w:lineRule="exact"/>
        <w:rPr>
          <w:rFonts w:ascii="Arial" w:cs="Arial" w:eastAsia="Arial" w:hAnsi="Arial"/>
          <w:sz w:val="14"/>
          <w:szCs w:val="14"/>
          <w:color w:val="auto"/>
        </w:rPr>
      </w:pPr>
    </w:p>
    <w:p>
      <w:pPr>
        <w:jc w:val="both"/>
        <w:ind w:left="500" w:hanging="478"/>
        <w:spacing w:after="0" w:line="247" w:lineRule="auto"/>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Of this amount, (a) $29,050 was paid at the time of the original filing on March 9, 2015 and (b) $28,900 was paid in connection with a Registration Statement on Form S-3 filed on February 3, 2017 (File No. 333-215889), which was withdrawn as of February 8, 2017 (the “Withdrawn S-3”). The Withdrawn S-3 was not declared effective, and no securities were sold thereunder. Pursuant to Rule 457(p), we hereby offset the full amount of the filing fee previously paid in connection with the Withdrawn S-3 against the filing fee for this Pre-Effective Amendment No. 1.</w:t>
      </w: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___________________________</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14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7202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 w:right="300"/>
        <w:spacing w:after="0" w:line="253"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Subject to Completion, dated February 8,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Class A Non-Voting 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Contracts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Units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may offer and sell the securities listed above from time to time in one or more classes or series and in amounts, at prices and on terms that we will determine at the time of the offering.</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We will provide specific terms of the securities to be sold by us and the methods by which we will sell them in one or more supplements to this prospectus. A prospectus supplement may also add, update or change information contained in this prospectus. You should read this prospectus and any supplement carefully before you invest. This prospectus may not be used to offer or sell securities without a prospectus supplement describing the methods and terms of the offering. We may sell the securities directly or we may distribute them through underwriters or dealers. In addition, the underwriters may overallot a portion of the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Class A Non-Voting Common Stock is traded on The NASDAQ Global Select Market under the symbol “EZPW.”</w:t>
      </w:r>
    </w:p>
    <w:p>
      <w:pPr>
        <w:spacing w:after="0" w:line="163"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b w:val="1"/>
          <w:bCs w:val="1"/>
          <w:color w:val="auto"/>
        </w:rPr>
        <w:t>Investing in these securities involves risk. You should carefully consider the risks described in any accompanying prospectus supplement, as well as the risk factors that are incorporated by reference into this prospectus from our filings made with the Securities and Exchange Commission. See “Risk Factors” on page 1.</w:t>
      </w:r>
    </w:p>
    <w:p>
      <w:pPr>
        <w:spacing w:after="0" w:line="12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February , 2017.</w:t>
      </w:r>
    </w:p>
    <w:p>
      <w:pPr>
        <w:sectPr>
          <w:pgSz w:w="11900" w:h="16838" w:orient="portrait"/>
          <w:cols w:equalWidth="0" w:num="1">
            <w:col w:w="11360"/>
          </w:cols>
          <w:pgMar w:left="240" w:top="28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2"/>
          </w:tcPr>
          <w:p>
            <w:pPr>
              <w:ind w:left="140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Incorporation of Documents by Reference</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EZCORP, Inc.</w:t>
              </w:r>
            </w:hyperlink>
          </w:p>
        </w:tc>
        <w:tc>
          <w:tcPr>
            <w:tcW w:w="2240" w:type="dxa"/>
            <w:vAlign w:val="bottom"/>
            <w:gridSpan w:val="11"/>
          </w:tcPr>
          <w:p>
            <w:pPr>
              <w:spacing w:after="0"/>
              <w:rPr>
                <w:sz w:val="20"/>
                <w:szCs w:val="20"/>
                <w:color w:val="auto"/>
              </w:rPr>
            </w:pPr>
          </w:p>
        </w:tc>
        <w:tc>
          <w:tcPr>
            <w:tcW w:w="5460" w:type="dxa"/>
            <w:vAlign w:val="bottom"/>
            <w:gridSpan w:val="2"/>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Risk Factors</w:t>
              </w:r>
            </w:hyperlink>
          </w:p>
        </w:tc>
        <w:tc>
          <w:tcPr>
            <w:tcW w:w="80" w:type="dxa"/>
            <w:vAlign w:val="bottom"/>
          </w:tcPr>
          <w:p>
            <w:pPr>
              <w:spacing w:after="0"/>
              <w:rPr>
                <w:sz w:val="20"/>
                <w:szCs w:val="20"/>
                <w:color w:val="auto"/>
              </w:rPr>
            </w:pPr>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Ratio of Earnings to Fixed Charges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36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Description of Capital Stock</w:t>
              </w:r>
            </w:hyperlink>
          </w:p>
        </w:tc>
        <w:tc>
          <w:tcPr>
            <w:tcW w:w="6420" w:type="dxa"/>
            <w:vAlign w:val="bottom"/>
            <w:gridSpan w:val="5"/>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Description of Warrants</w:t>
              </w:r>
            </w:hyperlink>
          </w:p>
        </w:tc>
        <w:tc>
          <w:tcPr>
            <w:tcW w:w="6580" w:type="dxa"/>
            <w:vAlign w:val="bottom"/>
            <w:gridSpan w:val="7"/>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Description of Stock Purchase Contracts and Stock Purchase Units</w:t>
              </w:r>
            </w:hyperlink>
          </w:p>
        </w:tc>
        <w:tc>
          <w:tcPr>
            <w:tcW w:w="258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3440" w:type="dxa"/>
            <w:vAlign w:val="bottom"/>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50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7280" w:type="dxa"/>
            <w:vAlign w:val="bottom"/>
            <w:gridSpan w:val="10"/>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prospectus is a part of a "shelf" registration statement on Form S-3 that we filed with the Securities and Exchange Commission (the “SEC”). Under the shelf registration process, we may from time to time offer and sell any combination of the securities described in this prospectus in one or more offerings. This prospectus provides a general description of the securities we may offer. Each time we offer and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the documents incorporated by reference into this prospectus as described below under “Information Incorporated by Reference.”</w:t>
      </w:r>
    </w:p>
    <w:p>
      <w:pPr>
        <w:spacing w:after="0" w:line="15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27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and discussed in the accompanying prospectus supplement and in our SEC filings that are incorporated by reference into this prospectus. See “Risk Factors” and “Incorporation of Documents by Reference”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We file annual and quarterly reports and other reports and information with the SEC. You may read and copy any of our reports, statements or other information on file at the SEC’s Public Reference Room located at 100 F Street, N.E., Room 1580,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are available at the Internet website maintained by the SEC at www.sec.gov.</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dated October 4, 2016 and December 21, 2016; and</w:t>
      </w:r>
    </w:p>
    <w:p>
      <w:pPr>
        <w:spacing w:after="0" w:line="171"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87"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securities terminates or we have filed with the SEC an amendment to the Registration Statement relating to this offering that deregisters all securities then remaining unsold. All filings that we file pursuant to the Exchange Act after the date of the pre-effective amendment to the registration statement and prior to the effectiveness of the registration statement shall be deemed to be incorporated by reference into the prospectus. Notwithstanding the foregoing,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202" w:lineRule="exact"/>
        <w:rPr>
          <w:sz w:val="20"/>
          <w:szCs w:val="20"/>
          <w:color w:val="auto"/>
        </w:rPr>
      </w:pPr>
    </w:p>
    <w:p>
      <w:pPr>
        <w:ind w:right="4180"/>
        <w:spacing w:after="0" w:line="262" w:lineRule="auto"/>
        <w:rPr>
          <w:sz w:val="20"/>
          <w:szCs w:val="20"/>
          <w:color w:val="auto"/>
        </w:rPr>
      </w:pPr>
      <w:r>
        <w:rPr>
          <w:rFonts w:ascii="Arial" w:cs="Arial" w:eastAsia="Arial" w:hAnsi="Arial"/>
          <w:sz w:val="18"/>
          <w:szCs w:val="18"/>
          <w:color w:val="auto"/>
        </w:rPr>
        <w:t>EZCORP, Inc., 2500 Bee Cave Road, Building One, Suite 200, Rollingwood, Texas 78746 Attn: Corporate Secretary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Telephone — 512-314-3400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 Investor_Relations@ezcorp.com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7"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EZCORP, INC.</w:t>
      </w:r>
    </w:p>
    <w:p>
      <w:pPr>
        <w:spacing w:after="0" w:line="19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We are a leading provider of pawn loans in the United States and Mexico with approximately 5,600 team members and almost 800 locations.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our pawn stores (517 in the U.S. and 239 in Mexico as of December 31, 2016), we offer pawn loans, which are non-recourse loans collateralized by tangible property, and we sell merchandise, primarily collateral forfeited from pawn lending operations and used merchandise purchased from customers.</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to our core pawn business in the U.S. and Mexico, we operate 27 CASHMAX financial services locations in Canada and own 31% of Cash Converters International Limited (“Cash Converters International”), based in Australia, which franchises and operates a worldwide network of nearly 700 locations that provide financial services and also buy and sell second-hand goods.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2500 Bee Cave Road, Building One, Suite 200, Austin,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Investing in our securities involves risks. Before making an investment decision, you should carefully consider the specific risks described in our most recent Annual Report on Form 10-K, as supplemented by subsequent Quarterly Reports on Form 10-Q and Current Reports on Form 8-K, to the extent applicable, each of which is incorporated herein by reference, and those risk factors that may be included or incorporated by reference under the caption “Risk Factors” in any applicable prospectus supplement, together with all of the other information included in this prospectus, any prospectus supplement and the documents we incorporate by reference in evaluating an investment in our securities.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Unless we inform you otherwise in the prospectus supplement, we expect to use the net proceeds from the sale of securities for general corporate purposes. These purposes may include the following:</w:t>
      </w:r>
    </w:p>
    <w:p>
      <w:pPr>
        <w:spacing w:after="0" w:line="14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or refinancing of debt or other corporate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Pending any specific application, we may initially invest funds in short-term marketable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87" w:right="319" w:bottom="1440" w:gutter="0" w:footer="0" w:header="0"/>
        </w:sectPr>
      </w:pPr>
    </w:p>
    <w:bookmarkStart w:id="7" w:name="page8"/>
    <w:bookmarkEnd w:id="7"/>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consolidated earnings to fixed charges for the periods presented:</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16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4"/>
        </w:trPr>
        <w:tc>
          <w:tcPr>
            <w:tcW w:w="3160" w:type="dxa"/>
            <w:vAlign w:val="bottom"/>
          </w:tcPr>
          <w:p>
            <w:pPr>
              <w:spacing w:after="0"/>
              <w:rPr>
                <w:sz w:val="22"/>
                <w:szCs w:val="22"/>
                <w:color w:val="auto"/>
              </w:rPr>
            </w:pPr>
          </w:p>
        </w:tc>
        <w:tc>
          <w:tcPr>
            <w:tcW w:w="196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2012</w:t>
            </w:r>
          </w:p>
        </w:tc>
      </w:tr>
      <w:tr>
        <w:trPr>
          <w:trHeight w:val="237"/>
        </w:trPr>
        <w:tc>
          <w:tcPr>
            <w:tcW w:w="3160" w:type="dxa"/>
            <w:vAlign w:val="bottom"/>
          </w:tcPr>
          <w:p>
            <w:pPr>
              <w:spacing w:after="0"/>
              <w:rPr>
                <w:sz w:val="20"/>
                <w:szCs w:val="20"/>
                <w:color w:val="auto"/>
              </w:rPr>
            </w:pPr>
            <w:r>
              <w:rPr>
                <w:rFonts w:ascii="Arial" w:cs="Arial" w:eastAsia="Arial" w:hAnsi="Arial"/>
                <w:sz w:val="16"/>
                <w:szCs w:val="16"/>
                <w:color w:val="auto"/>
              </w:rPr>
              <w:t>Ratio of earnings to fixed charges (a)</w:t>
            </w: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rPr>
              <w:t>2.47x</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1.06x</w:t>
            </w:r>
          </w:p>
        </w:tc>
        <w:tc>
          <w:tcPr>
            <w:tcW w:w="800" w:type="dxa"/>
            <w:vAlign w:val="bottom"/>
          </w:tcPr>
          <w:p>
            <w:pPr>
              <w:jc w:val="center"/>
              <w:ind w:left="243"/>
              <w:spacing w:after="0"/>
              <w:rPr>
                <w:sz w:val="20"/>
                <w:szCs w:val="20"/>
                <w:color w:val="auto"/>
              </w:rPr>
            </w:pPr>
            <w:r>
              <w:rPr>
                <w:rFonts w:ascii="Arial" w:cs="Arial" w:eastAsia="Arial" w:hAnsi="Arial"/>
                <w:sz w:val="16"/>
                <w:szCs w:val="16"/>
                <w:color w:val="auto"/>
              </w:rPr>
              <w:t>(b)</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6"/>
                <w:szCs w:val="16"/>
                <w:color w:val="auto"/>
              </w:rPr>
              <w:t>1.09x</w:t>
            </w:r>
          </w:p>
        </w:tc>
        <w:tc>
          <w:tcPr>
            <w:tcW w:w="940" w:type="dxa"/>
            <w:vAlign w:val="bottom"/>
            <w:gridSpan w:val="2"/>
          </w:tcPr>
          <w:p>
            <w:pPr>
              <w:jc w:val="center"/>
              <w:ind w:right="420"/>
              <w:spacing w:after="0"/>
              <w:rPr>
                <w:sz w:val="20"/>
                <w:szCs w:val="20"/>
                <w:color w:val="auto"/>
              </w:rPr>
            </w:pPr>
            <w:r>
              <w:rPr>
                <w:rFonts w:ascii="Arial" w:cs="Arial" w:eastAsia="Arial" w:hAnsi="Arial"/>
                <w:sz w:val="16"/>
                <w:szCs w:val="16"/>
                <w:color w:val="auto"/>
              </w:rPr>
              <w:t>1.55x</w:t>
            </w:r>
          </w:p>
        </w:tc>
        <w:tc>
          <w:tcPr>
            <w:tcW w:w="1140" w:type="dxa"/>
            <w:vAlign w:val="bottom"/>
          </w:tcPr>
          <w:p>
            <w:pPr>
              <w:jc w:val="center"/>
              <w:spacing w:after="0"/>
              <w:rPr>
                <w:sz w:val="20"/>
                <w:szCs w:val="20"/>
                <w:color w:val="auto"/>
              </w:rPr>
            </w:pPr>
            <w:r>
              <w:rPr>
                <w:rFonts w:ascii="Arial" w:cs="Arial" w:eastAsia="Arial" w:hAnsi="Arial"/>
                <w:sz w:val="16"/>
                <w:szCs w:val="16"/>
                <w:color w:val="auto"/>
              </w:rPr>
              <w:t>5.36x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123825</wp:posOffset>
            </wp:positionV>
            <wp:extent cx="127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3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has been computed by dividing earnings by fixed charges. For purposes of computing this ratio:</w:t>
      </w:r>
    </w:p>
    <w:p>
      <w:pPr>
        <w:spacing w:after="0" w:line="171" w:lineRule="exact"/>
        <w:rPr>
          <w:rFonts w:ascii="Arial" w:cs="Arial" w:eastAsia="Arial" w:hAnsi="Arial"/>
          <w:sz w:val="18"/>
          <w:szCs w:val="18"/>
          <w:color w:val="auto"/>
        </w:rPr>
      </w:pPr>
    </w:p>
    <w:p>
      <w:pPr>
        <w:ind w:left="660" w:right="200" w:hanging="328"/>
        <w:spacing w:after="0" w:line="274"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Earnings consist of income from continuing operations before income taxes (excluding the results of operations discontinued in fiscal 2016 and prior), cumulative effect of change in accounting principle, adjustments for net income or loss attributable to noncontrolling interests and our share of investees’ income or loss accounted for under the equity method, and adjustment for capitalized interest, plus fixed charges and our share of distributed income from investees accounted for under the equity method; and</w:t>
      </w:r>
    </w:p>
    <w:p>
      <w:pPr>
        <w:spacing w:after="0" w:line="133" w:lineRule="exact"/>
        <w:rPr>
          <w:rFonts w:ascii="Arial" w:cs="Arial" w:eastAsia="Arial" w:hAnsi="Arial"/>
          <w:sz w:val="17"/>
          <w:szCs w:val="17"/>
          <w:color w:val="auto"/>
        </w:rPr>
      </w:pPr>
    </w:p>
    <w:p>
      <w:pPr>
        <w:ind w:left="660" w:right="320" w:hanging="328"/>
        <w:spacing w:after="0" w:line="262"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Fixed charges consist of interest expense, capitalized interest and the portion of rental expense deemed to be representative of the interest component of rental expense.</w:t>
      </w:r>
    </w:p>
    <w:p>
      <w:pPr>
        <w:spacing w:after="0" w:line="142"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as computed for fiscal 2015 was less than 1.0 as earnings were not adequate to cover fixed charges. Additional earnings of approximately $56 million would have been necessary to bring the ratio to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62"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9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Debt Securities will be debt securities issued under an indenture (the “Indenture”) between us and a trustee to be selected by us (the “Trustee”).</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Debt Securities may be issued from time to time in one or more series. The particular terms of each series that are offered by a prospectus supplement will be described in the prospectus supplement.</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Debt Securities are not guaranteed by our subsidiaries, and the rights of EZCORP and our creditors, including Holders of the Debt Securities, to participate in the assets of any subsidiary upon the latter’s liquidation or reorganization will be subject to the prior claims of the subsidiary’s creditors, except to the extent that we may ourself be a creditor with recognized claims against such subsidiary.</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summarized selected provisions of the Indenture below. The summary is not complete. The form of the Indenture has been filed with the SEC as an exhibit to the registration statement of which this prospectus is a part, and you should read the Indenture for provisions that may be important to you. In the summary below, we have included references to article or section numbers of the Indenture so that you can easily locate these provisions. Whenever we refer in this prospectus or in the prospectus supplement to particular articles or sections or defined terms of the Indenture, those articles or sections or defined terms are incorporated by reference herein or therein, as applicable. Capitalized terms used in the summary have the meanings specified in the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Indenture provides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may be our secured or unsecured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the prospectus supplement so indicates, the Debt Securities will be convertible into our Class A Non-Voting Common Stock (Section 301).</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offered will be issued and will describe the following terms of such Debt Securities:</w:t>
      </w:r>
    </w:p>
    <w:p>
      <w:pPr>
        <w:spacing w:after="0" w:line="142"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71" w:lineRule="exact"/>
        <w:rPr>
          <w:rFonts w:ascii="Arial" w:cs="Arial" w:eastAsia="Arial" w:hAnsi="Arial"/>
          <w:sz w:val="18"/>
          <w:szCs w:val="18"/>
          <w:color w:val="auto"/>
        </w:rPr>
      </w:pPr>
    </w:p>
    <w:p>
      <w:pPr>
        <w:ind w:left="980" w:right="260" w:hanging="648"/>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71" w:lineRule="exact"/>
        <w:rPr>
          <w:rFonts w:ascii="Arial" w:cs="Arial" w:eastAsia="Arial" w:hAnsi="Arial"/>
          <w:sz w:val="18"/>
          <w:szCs w:val="18"/>
          <w:color w:val="auto"/>
        </w:rPr>
      </w:pPr>
    </w:p>
    <w:p>
      <w:pPr>
        <w:ind w:left="980" w:right="140" w:hanging="648"/>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our Class A Non-Voting Common Stock and, if so, the terms and conditions upon which conversion will be effected, including the initial conversion price or conversion rate and any adjustments thereto and the conversion period;</w:t>
      </w:r>
    </w:p>
    <w:p>
      <w:pPr>
        <w:spacing w:after="0" w:line="14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 (Section 301).</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9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14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other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other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Indenture.</w:t>
      </w:r>
    </w:p>
    <w:p>
      <w:pPr>
        <w:spacing w:after="0" w:line="15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Notwithstanding any provision of the Indenture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48" w:lineRule="exact"/>
        <w:rPr>
          <w:sz w:val="20"/>
          <w:szCs w:val="20"/>
          <w:color w:val="auto"/>
        </w:rPr>
      </w:pPr>
    </w:p>
    <w:p>
      <w:pPr>
        <w:ind w:left="980" w:hanging="648"/>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Depositary has notified us that it is unwilling or unable to continue as Depositary for such Global Security or has ceased to be qualified to act as such as required by the Indenture, and in either case we fail to appoint a successor Depositary within 90 days;</w:t>
      </w: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7"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the rules of the Depositary, we have elected to terminate the book-entry system through the Depositary; or</w:t>
      </w:r>
    </w:p>
    <w:p>
      <w:pPr>
        <w:spacing w:after="0" w:line="171" w:lineRule="exact"/>
        <w:rPr>
          <w:rFonts w:ascii="Arial" w:cs="Arial" w:eastAsia="Arial" w:hAnsi="Arial"/>
          <w:sz w:val="18"/>
          <w:szCs w:val="18"/>
          <w:color w:val="auto"/>
        </w:rPr>
      </w:pPr>
    </w:p>
    <w:p>
      <w:pPr>
        <w:ind w:left="980" w:right="400" w:hanging="648"/>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circumstances exist, in addition to or in lieu of those described above, as may be described in the applicable prospectus supplement (Section 305).</w:t>
      </w:r>
    </w:p>
    <w:p>
      <w:pPr>
        <w:spacing w:after="0" w:line="142"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All certificated Debt Securities issued in exchange for a Global Security or any portion thereof will be registered in such names as the Depositary may direct (Section 305).</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it represents for any purpose under the Debt Securities or the Indenture. All payments on a Global Security will be made to the Depositary or its nominee, as the case may be, as the Holder of the security. The laws of some jurisdictions may require that some purchasers of Debt Securities take physical delivery of such Debt Securities in certificated form. These laws may impair the ability to transfer beneficial interests in a Global Security.</w:t>
      </w:r>
    </w:p>
    <w:p>
      <w:pPr>
        <w:spacing w:after="0" w:line="15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Trustee, or the agents of us or the Trustee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Indenture in New York, New York will be designated as sole Paying Agent for payments with respect to Senior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remains unclaimed at the end of two years after such principal, premium or interest has become due and payable will be repaid to us, and the Holder of such Debt Security thereafter may look only to us for payment (Section 1003).</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7"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Unless otherwise specified in the prospectus supplement, we may not consolidate with or merge into, or transfer, lease or otherwise dispose of all or substantially all of our assets to, any Person (a “successor Person”), and may not permit any Person to consolidate with or merge into us, unless:</w:t>
      </w:r>
    </w:p>
    <w:p>
      <w:pPr>
        <w:spacing w:after="0" w:line="148" w:lineRule="exact"/>
        <w:rPr>
          <w:sz w:val="20"/>
          <w:szCs w:val="20"/>
          <w:color w:val="auto"/>
        </w:rPr>
      </w:pPr>
    </w:p>
    <w:p>
      <w:pPr>
        <w:ind w:left="98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successor Person (if any) is a corporation, partnership, trust or other entity organized and validly existing under the laws of any domestic jurisdiction and assumes our obligations on the Debt Securities and under the Indenture;</w:t>
      </w:r>
    </w:p>
    <w:p>
      <w:pPr>
        <w:spacing w:after="0" w:line="142" w:lineRule="exact"/>
        <w:rPr>
          <w:rFonts w:ascii="Arial" w:cs="Arial" w:eastAsia="Arial" w:hAnsi="Arial"/>
          <w:sz w:val="18"/>
          <w:szCs w:val="18"/>
          <w:color w:val="auto"/>
        </w:rPr>
      </w:pPr>
    </w:p>
    <w:p>
      <w:pPr>
        <w:ind w:left="980" w:right="40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the transaction, no Event of Default, and no event which, after notice or lapse of time or both, would become an Event of Default, has occurred and is continuing; and</w:t>
      </w:r>
    </w:p>
    <w:p>
      <w:pPr>
        <w:spacing w:after="0" w:line="142" w:lineRule="exact"/>
        <w:rPr>
          <w:rFonts w:ascii="Arial" w:cs="Arial" w:eastAsia="Arial" w:hAnsi="Arial"/>
          <w:sz w:val="18"/>
          <w:szCs w:val="18"/>
          <w:color w:val="auto"/>
        </w:rPr>
      </w:pPr>
    </w:p>
    <w:p>
      <w:pPr>
        <w:ind w:left="980" w:right="82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 (Section 801).</w:t>
      </w:r>
    </w:p>
    <w:p>
      <w:pPr>
        <w:spacing w:after="0" w:line="14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successor Person (if not us) will be substituted for us under the Indenture with the same effect as if it had been an original party to the Indenture, and, except in the case of a lease, we will be relieved from any further obligations under the Indenture and the Debt Securities (Section 802).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9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Unless otherwise specified in the prospectus supplement, each of the following will constitute an Event of Default under the Indenture with respect to Debt Securities of any series:</w:t>
      </w:r>
    </w:p>
    <w:p>
      <w:pPr>
        <w:spacing w:after="0" w:line="14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continued for 30 days;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 in respect of any Debt Security of that series;</w:t>
      </w:r>
    </w:p>
    <w:p>
      <w:pPr>
        <w:spacing w:after="0" w:line="171" w:lineRule="exact"/>
        <w:rPr>
          <w:rFonts w:ascii="Arial" w:cs="Arial" w:eastAsia="Arial" w:hAnsi="Arial"/>
          <w:sz w:val="18"/>
          <w:szCs w:val="18"/>
          <w:color w:val="auto"/>
        </w:rPr>
      </w:pPr>
    </w:p>
    <w:p>
      <w:pPr>
        <w:ind w:left="980" w:right="60" w:hanging="648"/>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“Description of Debt Securities-Consolidation, Merger and Sale of Assets”;</w:t>
      </w:r>
    </w:p>
    <w:p>
      <w:pPr>
        <w:spacing w:after="0" w:line="142" w:lineRule="exact"/>
        <w:rPr>
          <w:rFonts w:ascii="Arial" w:cs="Arial" w:eastAsia="Arial" w:hAnsi="Arial"/>
          <w:sz w:val="18"/>
          <w:szCs w:val="18"/>
          <w:color w:val="auto"/>
        </w:rPr>
      </w:pPr>
    </w:p>
    <w:p>
      <w:pPr>
        <w:ind w:left="980" w:hanging="648"/>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perform any of our other covenants in the Indenture (other than a covenant included in the Indenture solely for the benefit of a series other than that series), continued for 60 days after written notice has been given by the Trustee, or the Holders of at least 25% in principal amount of the Outstanding Debt Securities of that series, as provided in the Indenture;</w:t>
      </w:r>
    </w:p>
    <w:p>
      <w:pPr>
        <w:spacing w:after="0" w:line="147" w:lineRule="exact"/>
        <w:rPr>
          <w:rFonts w:ascii="Arial" w:cs="Arial" w:eastAsia="Arial" w:hAnsi="Arial"/>
          <w:sz w:val="18"/>
          <w:szCs w:val="18"/>
          <w:color w:val="auto"/>
        </w:rPr>
      </w:pPr>
    </w:p>
    <w:p>
      <w:pPr>
        <w:ind w:left="980" w:right="60" w:hanging="648"/>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Debt of ours or of any Significant Subsidiary, is not paid within any applicable grace period after final maturity or is accelerated by its holders because of a default and the total amount of such Debt unpaid or accelerated exceeds $20 million;</w:t>
      </w:r>
    </w:p>
    <w:p>
      <w:pPr>
        <w:spacing w:after="0" w:line="142" w:lineRule="exact"/>
        <w:rPr>
          <w:rFonts w:ascii="Arial" w:cs="Arial" w:eastAsia="Arial" w:hAnsi="Arial"/>
          <w:sz w:val="18"/>
          <w:szCs w:val="18"/>
          <w:color w:val="auto"/>
        </w:rPr>
      </w:pPr>
    </w:p>
    <w:p>
      <w:pPr>
        <w:ind w:left="980" w:hanging="648"/>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judgment or decree for the payment of money in excess of $20 million is entered against us or against any Significant Subsidiary, remains outstanding for a period of 60 consecutive days following entry of such judgment and is not discharged, waived or stayed; and</w:t>
      </w:r>
    </w:p>
    <w:p>
      <w:pPr>
        <w:spacing w:after="0" w:line="14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Significant Subsidiary.</w:t>
      </w:r>
    </w:p>
    <w:p>
      <w:pPr>
        <w:spacing w:after="0" w:line="17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an Event of Default (other than an Event of Default with respect to EZCORP described in clause (8) above) with respect to the Debt Securities of any series at the time Outstanding occurs and is continuing, either the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Debt Security, such portion of the principal amount of such Debt Security as may be specified in the terms of such Debt Security) to be due and payable immediately, together with any accrued and unpaid interest thereon. If an Event of Default with respect to EZCORP described in clause (8)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and 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consequences if all Events of Default, other than the non-payment of accelerated principal (or other specified amount), have been cured or waived as provided in the Indenture (Section 502). For information as to waiver of defaults, see “Description of Debt Securities-Modification and Waiver” below.</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has occurred and is continuing, the Trustee will be under no obligation to exercise any of its rights or powers under the Indenture at the request or direction of any of the Holders, unless such Holders have offered to such Trustee reasonable security or indemnity (Section 603).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Indenture, or for the appointment of a receiver or a trustee, or for any other remedy thereunder, unless:</w:t>
      </w:r>
    </w:p>
    <w:p>
      <w:pPr>
        <w:spacing w:after="0" w:line="142" w:lineRule="exact"/>
        <w:rPr>
          <w:sz w:val="20"/>
          <w:szCs w:val="20"/>
          <w:color w:val="auto"/>
        </w:rPr>
      </w:pPr>
    </w:p>
    <w:p>
      <w:pPr>
        <w:ind w:left="980" w:right="120" w:hanging="648"/>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Indenture written notice of a continuing Event of Default with respect to the Debt Securities of that series;</w:t>
      </w:r>
    </w:p>
    <w:p>
      <w:pPr>
        <w:spacing w:after="0" w:line="142"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142" w:lineRule="exact"/>
        <w:rPr>
          <w:rFonts w:ascii="Arial" w:cs="Arial" w:eastAsia="Arial" w:hAnsi="Arial"/>
          <w:sz w:val="18"/>
          <w:szCs w:val="18"/>
          <w:color w:val="auto"/>
        </w:rPr>
      </w:pPr>
    </w:p>
    <w:p>
      <w:pPr>
        <w:jc w:val="both"/>
        <w:ind w:left="980" w:right="120" w:hanging="648"/>
        <w:spacing w:after="0" w:line="25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14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14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will be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modify or amend the Indenture without the consent of any Holders of the Debt Securities in certain circumstances, including:</w:t>
      </w:r>
    </w:p>
    <w:p>
      <w:pPr>
        <w:spacing w:after="0" w:line="171" w:lineRule="exact"/>
        <w:rPr>
          <w:sz w:val="20"/>
          <w:szCs w:val="20"/>
          <w:color w:val="auto"/>
        </w:rPr>
      </w:pPr>
    </w:p>
    <w:p>
      <w:pPr>
        <w:ind w:left="980" w:right="22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or and to provide for its assumption of our obligations to Holders of Debt Securities;</w:t>
      </w:r>
    </w:p>
    <w:p>
      <w:pPr>
        <w:spacing w:after="0" w:line="142" w:lineRule="exact"/>
        <w:rPr>
          <w:rFonts w:ascii="Arial" w:cs="Arial" w:eastAsia="Arial" w:hAnsi="Arial"/>
          <w:sz w:val="18"/>
          <w:szCs w:val="18"/>
          <w:color w:val="auto"/>
        </w:rPr>
      </w:pPr>
    </w:p>
    <w:p>
      <w:pPr>
        <w:ind w:left="980" w:right="10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make any changes that would add any additional covenants of us for the benefit of the Holders of Debt Securities or that do not adversely affect the rights under the Indenture of the Holders of Debt Securities in any material respect;</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 or</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Other modifications and amendments of the Indenture may be made by us and the Trustee only with the consent of the Holders of a majority in principal amount of the Outstanding Debt Securities of each series affected by such</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amendment; provided, however, that no such modification or amendment may, without the consent of the Holder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Security affected thereby:</w:t>
      </w:r>
    </w:p>
    <w:p>
      <w:pPr>
        <w:spacing w:after="0" w:line="171"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71" w:lineRule="exact"/>
        <w:rPr>
          <w:rFonts w:ascii="Arial" w:cs="Arial" w:eastAsia="Arial" w:hAnsi="Arial"/>
          <w:sz w:val="18"/>
          <w:szCs w:val="18"/>
          <w:color w:val="auto"/>
        </w:rPr>
      </w:pPr>
    </w:p>
    <w:p>
      <w:pPr>
        <w:ind w:left="980" w:right="4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or any other Debt Security payable upon acceleration of the Maturity thereof;</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Debt Security;</w:t>
      </w:r>
    </w:p>
    <w:p>
      <w:pPr>
        <w:spacing w:after="0" w:line="171" w:lineRule="exact"/>
        <w:rPr>
          <w:rFonts w:ascii="Arial" w:cs="Arial" w:eastAsia="Arial" w:hAnsi="Arial"/>
          <w:sz w:val="18"/>
          <w:szCs w:val="18"/>
          <w:color w:val="auto"/>
        </w:rPr>
      </w:pPr>
    </w:p>
    <w:p>
      <w:pPr>
        <w:ind w:left="980" w:right="64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any conversion right with respect to any Debt Security;</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any conversion provisions in a manner adverse to the Holders of the applicable Debt Securities;</w:t>
      </w:r>
    </w:p>
    <w:p>
      <w:pPr>
        <w:spacing w:after="0" w:line="171" w:lineRule="exact"/>
        <w:rPr>
          <w:rFonts w:ascii="Arial" w:cs="Arial" w:eastAsia="Arial" w:hAnsi="Arial"/>
          <w:sz w:val="18"/>
          <w:szCs w:val="18"/>
          <w:color w:val="auto"/>
        </w:rPr>
      </w:pPr>
    </w:p>
    <w:p>
      <w:pPr>
        <w:ind w:left="980" w:right="2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142" w:lineRule="exact"/>
        <w:rPr>
          <w:rFonts w:ascii="Arial" w:cs="Arial" w:eastAsia="Arial" w:hAnsi="Arial"/>
          <w:sz w:val="18"/>
          <w:szCs w:val="18"/>
          <w:color w:val="auto"/>
        </w:rPr>
      </w:pPr>
    </w:p>
    <w:p>
      <w:pPr>
        <w:ind w:left="980" w:right="16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71"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making of an offer to purchase Debt Securities from any Holder that has been made pursuant to a covenant in the Indenture, modify such covenant in a manner adverse to such Holder (Section 902).</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Holders of a majority in principal amount of the Outstanding Debt Securities of any series may waive compliance by us with certain restrictive provisions of the Indenture (Section 1009). The Holders of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Indenture provides that in determining whether the Holders of the requisite principal amount of the Outstanding Debt Securities have given or taken any direction, notice, consent, waiver or other action under the Indenture as of any date:</w:t>
      </w:r>
    </w:p>
    <w:p>
      <w:pPr>
        <w:spacing w:after="0" w:line="142" w:lineRule="exact"/>
        <w:rPr>
          <w:sz w:val="20"/>
          <w:szCs w:val="20"/>
          <w:color w:val="auto"/>
        </w:rPr>
      </w:pPr>
    </w:p>
    <w:p>
      <w:pPr>
        <w:ind w:left="980" w:right="580" w:hanging="648"/>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142" w:lineRule="exact"/>
        <w:rPr>
          <w:rFonts w:ascii="Arial" w:cs="Arial" w:eastAsia="Arial" w:hAnsi="Arial"/>
          <w:sz w:val="18"/>
          <w:szCs w:val="18"/>
          <w:color w:val="auto"/>
        </w:rPr>
      </w:pPr>
    </w:p>
    <w:p>
      <w:pPr>
        <w:ind w:left="980" w:right="80" w:hanging="648"/>
        <w:spacing w:after="0" w:line="25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147" w:lineRule="exact"/>
        <w:rPr>
          <w:rFonts w:ascii="Arial" w:cs="Arial" w:eastAsia="Arial" w:hAnsi="Arial"/>
          <w:sz w:val="18"/>
          <w:szCs w:val="18"/>
          <w:color w:val="auto"/>
        </w:rPr>
      </w:pPr>
    </w:p>
    <w:p>
      <w:pPr>
        <w:ind w:left="980" w:hanging="648"/>
        <w:spacing w:after="0" w:line="25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150"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or any of our Affiliates, will not be deemed to be Outstanding (Section 101).</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Indenture, in the manner and subject to the limitations provided in the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7"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9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Indenture will be discharged and will cease to be of further effect as to all outstanding Debt Securities of any series issued thereunder, when:</w:t>
      </w:r>
    </w:p>
    <w:p>
      <w:pPr>
        <w:spacing w:after="0" w:line="14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jc w:val="both"/>
        <w:ind w:left="1460" w:right="140" w:hanging="480"/>
        <w:spacing w:after="0" w:line="256"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7" w:lineRule="exact"/>
        <w:rPr>
          <w:rFonts w:ascii="Arial" w:cs="Arial" w:eastAsia="Arial" w:hAnsi="Arial"/>
          <w:sz w:val="18"/>
          <w:szCs w:val="18"/>
          <w:color w:val="auto"/>
        </w:rPr>
      </w:pPr>
    </w:p>
    <w:p>
      <w:pPr>
        <w:ind w:left="1460" w:right="40" w:hanging="480"/>
        <w:spacing w:after="0" w:line="252"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54" w:lineRule="exact"/>
        <w:rPr>
          <w:rFonts w:ascii="Arial" w:cs="Arial" w:eastAsia="Arial" w:hAnsi="Arial"/>
          <w:sz w:val="18"/>
          <w:szCs w:val="18"/>
          <w:color w:val="auto"/>
        </w:rPr>
      </w:pPr>
    </w:p>
    <w:p>
      <w:pPr>
        <w:ind w:left="980" w:right="380" w:hanging="648"/>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with respect to the Debt Securities of that series; and</w:t>
      </w:r>
    </w:p>
    <w:p>
      <w:pPr>
        <w:spacing w:after="0" w:line="142" w:lineRule="exact"/>
        <w:rPr>
          <w:rFonts w:ascii="Arial" w:cs="Arial" w:eastAsia="Arial" w:hAnsi="Arial"/>
          <w:sz w:val="18"/>
          <w:szCs w:val="18"/>
          <w:color w:val="auto"/>
        </w:rPr>
      </w:pPr>
    </w:p>
    <w:p>
      <w:pPr>
        <w:ind w:left="980" w:right="540" w:hanging="648"/>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of the Indenture with respect to the Debt Securities of that series has been satisfied (Article Four).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Legal Defeasance — </w:t>
      </w:r>
      <w:r>
        <w:rPr>
          <w:rFonts w:ascii="Arial" w:cs="Arial" w:eastAsia="Arial" w:hAnsi="Arial"/>
          <w:sz w:val="18"/>
          <w:szCs w:val="18"/>
          <w:color w:val="auto"/>
        </w:rPr>
        <w:t>The Indenture provides that, upon our exercise of our option (if any) to have Section 1502 applied to any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be discharged from all our obligations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(in the opinion of a nationally recognized firm of independent public accounts)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149" w:lineRule="exact"/>
        <w:rPr>
          <w:sz w:val="20"/>
          <w:szCs w:val="20"/>
          <w:color w:val="auto"/>
        </w:rPr>
      </w:pPr>
    </w:p>
    <w:p>
      <w:pPr>
        <w:ind w:left="980" w:hanging="648"/>
        <w:spacing w:after="0" w:line="25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line="25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(8) under “-Events of Default,” at any time until 121 days after such deposit;</w:t>
      </w:r>
    </w:p>
    <w:p>
      <w:pPr>
        <w:spacing w:after="0" w:line="147" w:lineRule="exact"/>
        <w:rPr>
          <w:rFonts w:ascii="Arial" w:cs="Arial" w:eastAsia="Arial" w:hAnsi="Arial"/>
          <w:sz w:val="18"/>
          <w:szCs w:val="18"/>
          <w:color w:val="auto"/>
        </w:rPr>
      </w:pPr>
    </w:p>
    <w:p>
      <w:pPr>
        <w:ind w:left="980" w:right="660" w:hanging="648"/>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breach or violation of, or constitute a default under, any agreement or instrument (other than the Indenture) to which we are a party or by which we are bound; and</w:t>
      </w:r>
    </w:p>
    <w:p>
      <w:pPr>
        <w:spacing w:after="0" w:line="142"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Covenant Defeasance — </w:t>
      </w:r>
      <w:r>
        <w:rPr>
          <w:rFonts w:ascii="Arial" w:cs="Arial" w:eastAsia="Arial" w:hAnsi="Arial"/>
          <w:sz w:val="18"/>
          <w:szCs w:val="18"/>
          <w:color w:val="auto"/>
        </w:rPr>
        <w:t>The Indenture provides that, upon our exercise of our option (if any) to have Section 1503 applied to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we may omit to comply with certain restrictive covenants (but not to conversion, if applicable), including those that may be described in the applicable prospectus supplement, and the occurrence of certain Events of Default, which are described above in clause (5) (with respect to such restrictive covenants), clauses (6) and (7) under “-Events of Default” and any other that may be described in the applicable prospectus supplement, will not be deemed to either be or result in an Event of Default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in the preceding paragraph are satisfied. If we exercise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may appear in the Security Register (Sections 101 and 106).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the Trustee, and any agent of us or the Trustee may treat the Person in whose name a Debt Security is registered as the absolute owner of the Debt Security (whether or not such Debt Security may be overdue) for the purpose of making payment and for all other purposes (Section 308).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 of the State of New York.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prospectus supplement relating to a particular series of debt securities will identify the Trustee with respect to such series. We may maintain banking and other commercial relationships with the Trustee and its affiliates in the ordinary course of business, and the Trustee may own debt securities issued under the Indenture.</w:t>
      </w:r>
    </w:p>
    <w:p>
      <w:pPr>
        <w:spacing w:after="0" w:line="1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Resignation or Removal of Trustee </w:t>
      </w:r>
      <w:r>
        <w:rPr>
          <w:rFonts w:ascii="Arial" w:cs="Arial" w:eastAsia="Arial" w:hAnsi="Arial"/>
          <w:sz w:val="18"/>
          <w:szCs w:val="18"/>
          <w:color w:val="auto"/>
        </w:rPr>
        <w:t>— If the Trustee under the Indenture has or acquires a conflicting interest within the meaning of the Trust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Act of 1939, the Trustee must either eliminate its conflicting interest or resign, to the extent and in the manner provided by, and subject to the provisions of, the Trust Indenture Act and the Indenture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(Section 608). Any resignation will require the appointment of a successor Trustee under the Indenture in accordance with the terms and conditions of the Indenture (Sections 610 and 611).</w:t>
      </w:r>
    </w:p>
    <w:p>
      <w:pPr>
        <w:spacing w:after="0" w:line="14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 Trustee may resign or be removed by us with respect to one or more series of Debt Securities and a successor Trustee may be appointed to act with respect to any such series. The holders of a majority in principal amount of the Outstanding Debt Securities of any series may remove the Trustee with respect to the Debt Securities of such series (Section 610).</w:t>
      </w:r>
    </w:p>
    <w:p>
      <w:pPr>
        <w:spacing w:after="0" w:line="13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Limitations on Trustee if It Is Our Creditor -— </w:t>
      </w:r>
      <w:r>
        <w:rPr>
          <w:rFonts w:ascii="Arial" w:cs="Arial" w:eastAsia="Arial" w:hAnsi="Arial"/>
          <w:sz w:val="18"/>
          <w:szCs w:val="18"/>
          <w:color w:val="auto"/>
        </w:rPr>
        <w:t>The Indenture contains certain limitations on the right of the Trustee, in the event that it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our creditor, to obtain payment of claims in certain cases, or to realize on certain property received in respect of any such claim as security or otherwise (Section 613).</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Certificates and Opinions to Be Furnished to Trustee -— </w:t>
      </w:r>
      <w:r>
        <w:rPr>
          <w:rFonts w:ascii="Arial" w:cs="Arial" w:eastAsia="Arial" w:hAnsi="Arial"/>
          <w:sz w:val="18"/>
          <w:szCs w:val="18"/>
          <w:color w:val="auto"/>
        </w:rPr>
        <w:t>The Indenture provides that, in addition to other certificates or opinions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required by other provisions of the Indenture, every application by us for action by the Trustee must be accompanied by an Officers’ Certificate and an Opinion of Counsel stating that, in the opinion of the signers, all conditions precedent to such action have been complied with by us (Section 102).</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Delaware General Corporation Act.</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i w:val="1"/>
          <w:iCs w:val="1"/>
          <w:color w:val="auto"/>
        </w:rPr>
        <w:t xml:space="preserve">Authorized and Outstanding Capital Stock — </w:t>
      </w:r>
      <w:r>
        <w:rPr>
          <w:rFonts w:ascii="Arial" w:cs="Arial" w:eastAsia="Arial" w:hAnsi="Arial"/>
          <w:sz w:val="17"/>
          <w:szCs w:val="17"/>
          <w:color w:val="auto"/>
        </w:rPr>
        <w:t>We are authorized to issue 100,000,000 shares of Class A Non-Voting Common Stock, par value</w:t>
      </w:r>
      <w:r>
        <w:rPr>
          <w:rFonts w:ascii="Arial" w:cs="Arial" w:eastAsia="Arial" w:hAnsi="Arial"/>
          <w:sz w:val="17"/>
          <w:szCs w:val="17"/>
          <w:i w:val="1"/>
          <w:iCs w:val="1"/>
          <w:color w:val="auto"/>
        </w:rPr>
        <w:t xml:space="preserve"> </w:t>
      </w:r>
      <w:r>
        <w:rPr>
          <w:rFonts w:ascii="Arial" w:cs="Arial" w:eastAsia="Arial" w:hAnsi="Arial"/>
          <w:sz w:val="17"/>
          <w:szCs w:val="17"/>
          <w:color w:val="auto"/>
        </w:rPr>
        <w:t>$0.01 per share, and 3,000,000 shares of Class B Voting Common Stock, par value $0.01 per share. As of January 30, 2017, there were 51,321,915 shares of Class A Non-Voting Common Stock and 2,970,171 shares of Class B Voting Common Stock issued and outstanding.</w:t>
      </w:r>
    </w:p>
    <w:p>
      <w:pPr>
        <w:spacing w:after="0" w:line="12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Class A Non-Voting Common Stock will be entitled to vote on all matters submitted to a vote of the Company’s stockholders and will be entitled to one vote per share of Class A Non-Voting Common Stock held.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do not anticipate paying any cash dividends in the immediate future. Any future determination to pay cash dividends will be at the discretion of our Board of Directors.</w:t>
      </w:r>
    </w:p>
    <w:p>
      <w:pPr>
        <w:spacing w:after="0" w:line="124"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acts or omission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issue warrants for the purchase of our Class A Non-Voting Common Stock. 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warrants.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Non-Voting Common Stock Warrants</w:t>
      </w:r>
    </w:p>
    <w:p>
      <w:pPr>
        <w:spacing w:after="0" w:line="19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prospectus supplement relating to a particular issue of warrants to purchase our Class A Non-Voting Common Stock will describe the terms of the Class A Non-Voting Common Stock warrants, including the following:</w:t>
      </w:r>
    </w:p>
    <w:p>
      <w:pPr>
        <w:spacing w:after="0" w:line="14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Class A Non-Voting Common Stock that maybe purchased upon exercise of the warrants;</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Class A Non-Voting Common Stock that may be purchased upon exercise of a warrant and the price at which the shares may be purchased upon exercise;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71"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shares of Class A Non-Voting Common Stock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Until a warrant holder exercises such holder’s warrants to purchase Class A Non-Voting Common Stock, the holder will not have any rights as a holder of Class A Non-Voting Common Stock by virtue of the holder’s ownership of warrants.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STOCK PURCHASE CONTRACTS AND STOCK PURCHASE UNITS</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may issue stock purchase contracts, including contracts obligating holders to purchase from us and contracts obligating us to sell to the holders, a specified number of shares of Class A Non-Voting Common Stock or other securities at a future date or dates, which we refer to in this prospectus as “stock purchase contracts.” The price per share of the securities and the number of shares of the securities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warrants or other securities or debt obligations of third parties, including U.S. treasury securities, securing the holders’ obligations to purchase the securities under the stock purchase contracts, which we refer to in this prospectus as “stock purchase units.” The stock purchase contracts may require holders to secure their obligations under the stock purchase contracts in a specified manner. The stock purchase contracts also may require us to make periodic payments to the holders of the stock purchase units or vice versa, and those payments may be unsecured or refunded on some basis.</w:t>
      </w:r>
    </w:p>
    <w:p>
      <w:pPr>
        <w:spacing w:after="0" w:line="15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stock purchase contracts, and, if applicable, collateral or depositary arrangements, relating to the stock purchase contracts or stock purchase units, will be filed with the SEC in connection with the offering of stock purchase contracts or stock purchase units. The prospectus supplement relating to a particular issue of stock purchase contracts or stock purchase units will describe the terms of those stock purchase contracts or stock purchase units, including the following:</w:t>
      </w:r>
    </w:p>
    <w:p>
      <w:pPr>
        <w:spacing w:after="0" w:line="15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information we think important about the stock purchase contracts or the stock purchase units.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7"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sell or distribute the securities offered by this prospectus in one or more of the following ways:</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“at the market offerings” to or through a market maker or into an existing trading market, or a securities exchange or otherwise;</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 transaction not involving market makers or established trading markets, including direct sales or privately negotiated transactions;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sell some or all of the securities included in this prospectus through:</w:t>
      </w:r>
    </w:p>
    <w:p>
      <w:pPr>
        <w:spacing w:after="0" w:line="171" w:lineRule="exact"/>
        <w:rPr>
          <w:sz w:val="20"/>
          <w:szCs w:val="20"/>
          <w:color w:val="auto"/>
        </w:rPr>
      </w:pPr>
    </w:p>
    <w:p>
      <w:pPr>
        <w:ind w:left="660" w:right="4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addition, we may enter into option or other types of transactions that require us to deliver common shares to a broker-dealer, who will then resell or transfer the common shares under this prospectus. We may enter into hedging transactions with respect to our securities. For example, we may:</w:t>
      </w:r>
    </w:p>
    <w:p>
      <w:pPr>
        <w:spacing w:after="0" w:line="14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common shares by 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common shares short and redeliver the shares to close out short positions;</w:t>
      </w:r>
    </w:p>
    <w:p>
      <w:pPr>
        <w:spacing w:after="0" w:line="17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shares to a broker-dealer, who will then resell or transfer the common shares under this prospectus; or</w:t>
      </w:r>
    </w:p>
    <w:p>
      <w:pPr>
        <w:spacing w:after="0" w:line="142"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or pledge the common shares to a broker-dealer, who may sell the loaned shares or, in the event of default, sell the pledged shares.</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is currently no market for any of the securities included in this prospectus, other than the shares of Class A Non-Voting Common Stock listed on The NASDAQ Global Select Market. If the securities are traded after their initial issuance, they may trade at a discount from their initial offering price, depending on prevailing interest rates, the market for similar securities and other factors. While it is possible that an underwriter could inform us that it intends to make a market in the securities, such underwriter would not be obligated to do so, and any such market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making could be discontinued at any time without notice. Therefore, we cannot assure you as to whether an active trading market will develop for these other securities. We have no current plans for listing any such other securities on any securities exchange; any such listing with respect to any particular of such other securities will be described in the applicable prospectus supplement.</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4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At the time that any particular offering of securities is made, to the extent required by the Securities Act, a prospectus supplement will be distributed setting forth the terms of the offering, including the aggregate number of securities being offered, the purchase price of the securities, the initial offering price of the securities, the names of any underwriters, dealers or agents, any discounts, commissions and other items constituting compensation from us and any discounts, commissions or concessions allowed or reallowed or paid to dealers.</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underwriters are used in the sale, the underwriters will acquire the securities for their own account for resale to the public, either on a firm commitment basis or a best efforts basis. The underwriters may resell the securities from time-to-time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The underwriters may change from time-to-time any initial public offering price and any discounts or concessions allowed or reallowed or paid to dealers.</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also sell the securities through agents designated from time-to-time.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4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dealers are used in the sale of securities, we will sell the securities to them as principals. The dealers may then resell those securities to the public at varying prices determined by the dealers at the time of resale. We will include in the prospectus supplement the names of the dealers and the terms of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Securities may also be sold directly by us. In this case, no underwriters or agents would be involved.</w:t>
      </w:r>
    </w:p>
    <w:p>
      <w:pPr>
        <w:spacing w:after="0" w:line="171"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If a prospectus supplement so indicates, underwriters, brokers or dealers, in compliance with applicable law, may engage in transactions that stabilize, maintain or otherwise affect the market price of the securities at levels above those that might otherwise prevail in the open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will bear costs relating to all of the securities being registered under this registration statement of which this prospectus forms a part.</w:t>
      </w:r>
    </w:p>
    <w:p>
      <w:pPr>
        <w:spacing w:after="0" w:line="17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Any broker-dealers or other persons acting on our behalf that participate with us in the distribution of the securities may be deemed to be underwriters and any commissions received or profit realized by them on the resale of the securities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w:t>
      </w:r>
    </w:p>
    <w:p>
      <w:pPr>
        <w:spacing w:after="0" w:line="1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(the “FINRA”), the maximum commission or discount to be received by any FINRA member or independent broker/dealer may not be greater than 8% of the gross proceeds received by us for the sale of any securities being registered pursuant to SEC Rule 415 under the Securities Act.</w:t>
      </w:r>
    </w:p>
    <w:p>
      <w:pPr>
        <w:spacing w:after="0" w:line="14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7"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Except as set forth in the applicable prospectus supplement, Vinson &amp; Elkins L.L.P., Dallas, Texas, will pass upon the validity of the securities offered hereby.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as of September 30, 2016 and 2015 and for each of the two years in the period ended September 30, 2016, the adjustments to the 2014 financial statements to retrospectively report the results of Grupo Finmart within discontinued operations and management's assessment of the effectiveness of internal control over financial reporting as of September 30, 2016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consolidated statements of operations and comprehensive income, stockholders' equity, and cash flows of EZCORP, Inc. (the “Company”) for the year ended September 30, 2014 (the “2014 financial statements”) (before the effects of the retrospective adjustments to the 2014 financial statements for the adoption of ASU 2014-08) (not separately presented herein) have been audited by Deloitte &amp; Touche LLP, an independent registered public accounting firm, as stated in their report (which report expresses an unqualified opinion on the 2014 financial statements; includes an explanatory paragraph that the retrospective adjustments to the 2014 financial statements for the adoption of ASU 2014-08 were audited by other auditors; and includes an explanatory paragraph related to the restatement of the 2014 consolidated financial statements), which is incorporated in this Prospectus by reference from the Company's Annual Report on Form 10-K. The retrospective adjustments to the 2014 financial statements have been audited by BDO USA, LLP. The 2014 financial statements incorporated in this Prospectus by reference from the Company's Annual Report on Form 10-K have been so incorporated in reliance upon the reports of Deloitte &amp; Touche LLP and BDO USA, LLP given upon their authority as experts in accounting and auditing.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Other Expenses of Issuance and Distribution</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are the estimated expenses of the issuance and distribution of the securities being registered, other than selling or underwriting discounts and commissions, all of which are payable by EZCORP, Inc. (“EZCORP”).</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Registration fee</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$57,950</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Accountant’s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Printing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Legal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8"/>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20"/>
        </w:trPr>
        <w:tc>
          <w:tcPr>
            <w:tcW w:w="3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3340" w:type="dxa"/>
            <w:vAlign w:val="bottom"/>
            <w:tcBorders>
              <w:bottom w:val="single" w:sz="8" w:color="auto"/>
            </w:tcBorders>
          </w:tcPr>
          <w:p>
            <w:pPr>
              <w:spacing w:after="0"/>
              <w:rPr>
                <w:sz w:val="17"/>
                <w:szCs w:val="17"/>
                <w:color w:val="auto"/>
              </w:rPr>
            </w:pPr>
          </w:p>
        </w:tc>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2" w:lineRule="exact"/>
        <w:rPr>
          <w:sz w:val="20"/>
          <w:szCs w:val="20"/>
          <w:color w:val="auto"/>
        </w:rPr>
      </w:pPr>
    </w:p>
    <w:p>
      <w:pPr>
        <w:ind w:left="500" w:hanging="478"/>
        <w:spacing w:after="0" w:line="262" w:lineRule="auto"/>
        <w:tabs>
          <w:tab w:leader="none" w:pos="500" w:val="left"/>
        </w:tabs>
        <w:numPr>
          <w:ilvl w:val="0"/>
          <w:numId w:val="26"/>
        </w:numPr>
        <w:rPr>
          <w:rFonts w:ascii="Arial" w:cs="Arial" w:eastAsia="Arial" w:hAnsi="Arial"/>
          <w:sz w:val="25"/>
          <w:szCs w:val="25"/>
          <w:color w:val="auto"/>
        </w:rPr>
      </w:pPr>
      <w:r>
        <w:rPr>
          <w:rFonts w:ascii="Arial" w:cs="Arial" w:eastAsia="Arial" w:hAnsi="Arial"/>
          <w:sz w:val="18"/>
          <w:szCs w:val="18"/>
          <w:color w:val="auto"/>
        </w:rPr>
        <w:t>These fees are calculated based on the number of issuances or amount of securities offered, and accordingly, these fees cannot be estimated at this time.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Indemnification of Directors and Officers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8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ectPr>
          <w:pgSz w:w="11900" w:h="16838" w:orient="portrait"/>
          <w:cols w:equalWidth="0" w:num="1">
            <w:col w:w="11400"/>
          </w:cols>
          <w:pgMar w:left="240" w:top="287" w:right="259" w:bottom="1440" w:gutter="0" w:footer="0" w:header="0"/>
        </w:sectPr>
      </w:pPr>
    </w:p>
    <w:p>
      <w:pPr>
        <w:spacing w:after="0" w:line="15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40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87"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3"/>
          <w:szCs w:val="13"/>
          <w:color w:val="auto"/>
        </w:rPr>
        <w:t>(a)</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3"/>
          <w:szCs w:val="13"/>
          <w:color w:val="auto"/>
        </w:rPr>
        <w:t>(b)</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23.3</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3"/>
          <w:szCs w:val="13"/>
          <w:color w:val="auto"/>
        </w:rPr>
        <w:t>(b)</w:t>
      </w:r>
    </w:p>
    <w:p>
      <w:pPr>
        <w:spacing w:after="0" w:line="5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9"/>
          <w:szCs w:val="19"/>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046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588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Specimen of Class A Non-Voting Common Stock certificate (incorporated by reference to Exhibit 4.1 to the Company’s Registration Statement on Form S-1 effective August 23, 1991, Commission File No. 33-41317)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between EZCORP, Inc. and Trustee to be named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Opinion of Vinson &amp; Elkins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Deloitte &amp; Touche,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Vinson &amp; Elkins L.L.P. (included in Exhibit 5.1)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(set forth on signature page)</w:t>
      </w:r>
    </w:p>
    <w:p>
      <w:pPr>
        <w:spacing w:after="0" w:line="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Form T-1 Statement of Eligibility and Qualification under the Trust Indenture Act of 1939 of the Trustee under the Indenture</w:t>
      </w:r>
    </w:p>
    <w:p>
      <w:pPr>
        <w:spacing w:after="0" w:line="200" w:lineRule="exact"/>
        <w:rPr>
          <w:sz w:val="20"/>
          <w:szCs w:val="20"/>
          <w:color w:val="auto"/>
        </w:rPr>
      </w:pPr>
    </w:p>
    <w:p>
      <w:pPr>
        <w:sectPr>
          <w:pgSz w:w="11900" w:h="16838" w:orient="portrait"/>
          <w:cols w:equalWidth="0" w:num="2">
            <w:col w:w="1080" w:space="600"/>
            <w:col w:w="9720"/>
          </w:cols>
          <w:pgMar w:left="240" w:top="287" w:right="259" w:bottom="1440" w:gutter="0" w:footer="0" w:header="0"/>
          <w:type w:val="continuous"/>
        </w:sectPr>
      </w:pPr>
    </w:p>
    <w:p>
      <w:pPr>
        <w:spacing w:after="0" w:line="26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 Undertakings</w:t>
      </w:r>
    </w:p>
    <w:p>
      <w:pPr>
        <w:spacing w:after="0" w:line="193"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hanging="655"/>
        <w:spacing w:after="0" w:line="252" w:lineRule="auto"/>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87"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960" w:right="200" w:hanging="655"/>
        <w:spacing w:after="0" w:line="262"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2" w:lineRule="exact"/>
        <w:rPr>
          <w:sz w:val="20"/>
          <w:szCs w:val="20"/>
          <w:color w:val="auto"/>
        </w:rPr>
      </w:pPr>
    </w:p>
    <w:p>
      <w:pPr>
        <w:ind w:left="1300" w:right="40"/>
        <w:spacing w:after="0" w:line="254" w:lineRule="auto"/>
        <w:rPr>
          <w:sz w:val="20"/>
          <w:szCs w:val="20"/>
          <w:color w:val="auto"/>
        </w:rPr>
      </w:pPr>
      <w:r>
        <w:rPr>
          <w:rFonts w:ascii="Arial" w:cs="Arial" w:eastAsia="Arial" w:hAnsi="Arial"/>
          <w:sz w:val="18"/>
          <w:szCs w:val="18"/>
          <w:color w:val="auto"/>
        </w:rPr>
        <w:t>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0" w:lineRule="exact"/>
        <w:rPr>
          <w:sz w:val="20"/>
          <w:szCs w:val="20"/>
          <w:color w:val="auto"/>
        </w:rPr>
      </w:pPr>
    </w:p>
    <w:p>
      <w:pPr>
        <w:ind w:left="1300" w:right="160" w:hanging="644"/>
        <w:spacing w:after="0" w:line="256"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left="1300" w:right="480" w:hanging="644"/>
        <w:spacing w:after="0" w:line="26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71" w:lineRule="exact"/>
        <w:rPr>
          <w:rFonts w:ascii="Arial" w:cs="Arial" w:eastAsia="Arial" w:hAnsi="Arial"/>
          <w:sz w:val="18"/>
          <w:szCs w:val="18"/>
          <w:color w:val="auto"/>
        </w:rPr>
      </w:pPr>
    </w:p>
    <w:p>
      <w:pPr>
        <w:ind w:left="1960" w:right="380" w:hanging="655"/>
        <w:spacing w:after="0" w:line="291"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0" w:lineRule="exact"/>
        <w:rPr>
          <w:rFonts w:ascii="Arial" w:cs="Arial" w:eastAsia="Arial" w:hAnsi="Arial"/>
          <w:sz w:val="17"/>
          <w:szCs w:val="17"/>
          <w:color w:val="auto"/>
        </w:rPr>
      </w:pPr>
    </w:p>
    <w:p>
      <w:pPr>
        <w:ind w:left="1960" w:hanging="605"/>
        <w:spacing w:after="0" w:line="251"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6" w:lineRule="exact"/>
        <w:rPr>
          <w:rFonts w:ascii="Arial" w:cs="Arial" w:eastAsia="Arial" w:hAnsi="Arial"/>
          <w:sz w:val="18"/>
          <w:szCs w:val="18"/>
          <w:color w:val="auto"/>
        </w:rPr>
      </w:pPr>
    </w:p>
    <w:p>
      <w:pPr>
        <w:ind w:left="1300" w:right="300" w:hanging="644"/>
        <w:spacing w:after="0" w:line="25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5" w:lineRule="exact"/>
        <w:rPr>
          <w:sz w:val="20"/>
          <w:szCs w:val="20"/>
          <w:color w:val="auto"/>
        </w:rPr>
      </w:pPr>
    </w:p>
    <w:p>
      <w:pPr>
        <w:ind w:left="1960" w:right="380" w:hanging="655"/>
        <w:spacing w:after="0" w:line="262"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8"/>
          <w:szCs w:val="18"/>
          <w:color w:val="auto"/>
        </w:rPr>
      </w:pPr>
    </w:p>
    <w:p>
      <w:pPr>
        <w:ind w:left="1960" w:right="180" w:hanging="655"/>
        <w:spacing w:after="0" w:line="262"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2" w:lineRule="exact"/>
        <w:rPr>
          <w:rFonts w:ascii="Arial" w:cs="Arial" w:eastAsia="Arial" w:hAnsi="Arial"/>
          <w:sz w:val="18"/>
          <w:szCs w:val="18"/>
          <w:color w:val="auto"/>
        </w:rPr>
      </w:pPr>
    </w:p>
    <w:p>
      <w:pPr>
        <w:ind w:left="1960" w:right="560" w:hanging="655"/>
        <w:spacing w:after="0" w:line="262"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287"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960" w:hanging="655"/>
        <w:spacing w:after="0"/>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160" w:hanging="652"/>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Arial" w:cs="Arial" w:eastAsia="Arial" w:hAnsi="Arial"/>
          <w:sz w:val="18"/>
          <w:szCs w:val="18"/>
          <w:color w:val="auto"/>
        </w:rPr>
      </w:pPr>
    </w:p>
    <w:p>
      <w:pPr>
        <w:ind w:left="660" w:right="40" w:hanging="652"/>
        <w:spacing w:after="0" w:line="25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to the extent that the securities are offered to existing security holders pursuant to warrants or rights and any securities not taken by security 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54" w:lineRule="exact"/>
        <w:rPr>
          <w:rFonts w:ascii="Arial" w:cs="Arial" w:eastAsia="Arial" w:hAnsi="Arial"/>
          <w:sz w:val="18"/>
          <w:szCs w:val="18"/>
          <w:color w:val="auto"/>
        </w:rPr>
      </w:pPr>
    </w:p>
    <w:p>
      <w:pPr>
        <w:jc w:val="both"/>
        <w:ind w:left="660" w:right="320" w:hanging="652"/>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47" w:lineRule="exact"/>
        <w:rPr>
          <w:rFonts w:ascii="Arial" w:cs="Arial" w:eastAsia="Arial" w:hAnsi="Arial"/>
          <w:sz w:val="18"/>
          <w:szCs w:val="18"/>
          <w:color w:val="auto"/>
        </w:rPr>
      </w:pPr>
    </w:p>
    <w:p>
      <w:pPr>
        <w:ind w:left="660" w:hanging="652"/>
        <w:spacing w:after="0" w:line="25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registrants pursuant to the provisions described under Item 15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registrants is against public policy as expressed in the Securities Act and will be governed by the final adjudication of such issue.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287"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Rollingwood, State of Texas, on February 3, 2017.</w:t>
      </w:r>
    </w:p>
    <w:p>
      <w:pPr>
        <w:spacing w:after="0" w:line="16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39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23495</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Stuart I. Grimshaw, Chief Executive Officer</w:t>
      </w:r>
    </w:p>
    <w:p>
      <w:pPr>
        <w:spacing w:after="0" w:line="38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14" w:lineRule="exact"/>
        <w:rPr>
          <w:sz w:val="20"/>
          <w:szCs w:val="20"/>
          <w:color w:val="auto"/>
        </w:rPr>
      </w:pPr>
    </w:p>
    <w:p>
      <w:pPr>
        <w:ind w:left="1540"/>
        <w:spacing w:after="0"/>
        <w:tabs>
          <w:tab w:leader="none" w:pos="5660" w:val="left"/>
          <w:tab w:leader="none" w:pos="94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80"/>
          </w:cols>
          <w:pgMar w:left="240" w:top="2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Stuart I. Grimshaw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Mark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Mark Ashby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David McGuire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Lachlan P. Given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Matthew W. Appel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Santiago Creel Miranda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Santiago Creel Miranda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Peter Cumins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Chief Executive Officer and Director</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Chief Financial Officer</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Deputy Chief Financial Officer and</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Executive Chairman of the Board</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470" w:lineRule="exact"/>
        <w:rPr>
          <w:sz w:val="20"/>
          <w:szCs w:val="20"/>
          <w:color w:val="auto"/>
        </w:rPr>
      </w:pPr>
    </w:p>
    <w:p>
      <w:pPr>
        <w:sectPr>
          <w:pgSz w:w="11900" w:h="16838" w:orient="portrait"/>
          <w:cols w:equalWidth="0" w:num="2">
            <w:col w:w="3320" w:space="720"/>
            <w:col w:w="7240"/>
          </w:cols>
          <w:pgMar w:left="240" w:top="28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80"/>
          </w:cols>
          <w:pgMar w:left="240" w:top="287" w:right="37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84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Pablo Lagos Espinosa</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Pablo Lagos Espinosa</w:t>
            </w:r>
          </w:p>
        </w:tc>
        <w:tc>
          <w:tcPr>
            <w:tcW w:w="2840" w:type="dxa"/>
            <w:vAlign w:val="bottom"/>
          </w:tcPr>
          <w:p>
            <w:pPr>
              <w:spacing w:after="0"/>
              <w:rPr>
                <w:sz w:val="20"/>
                <w:szCs w:val="20"/>
                <w:color w:val="auto"/>
              </w:rPr>
            </w:pPr>
          </w:p>
        </w:tc>
      </w:tr>
      <w:tr>
        <w:trPr>
          <w:trHeight w:val="931"/>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Thomas C. Roberts</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Thomas C. Roberts</w:t>
            </w:r>
          </w:p>
        </w:tc>
        <w:tc>
          <w:tcPr>
            <w:tcW w:w="2840" w:type="dxa"/>
            <w:vAlign w:val="bottom"/>
          </w:tcPr>
          <w:p>
            <w:pPr>
              <w:spacing w:after="0"/>
              <w:rPr>
                <w:sz w:val="20"/>
                <w:szCs w:val="20"/>
                <w:color w:val="auto"/>
              </w:rPr>
            </w:pPr>
          </w:p>
        </w:tc>
      </w:tr>
      <w:tr>
        <w:trPr>
          <w:trHeight w:val="931"/>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Joseph L. Rotunda</w:t>
            </w:r>
          </w:p>
        </w:tc>
        <w:tc>
          <w:tcPr>
            <w:tcW w:w="2840" w:type="dxa"/>
            <w:vAlign w:val="bottom"/>
          </w:tcPr>
          <w:p>
            <w:pPr>
              <w:ind w:left="260"/>
              <w:spacing w:after="0"/>
              <w:rPr>
                <w:sz w:val="20"/>
                <w:szCs w:val="20"/>
                <w:color w:val="auto"/>
              </w:rPr>
            </w:pPr>
            <w:r>
              <w:rPr>
                <w:rFonts w:ascii="Arial" w:cs="Arial" w:eastAsia="Arial" w:hAnsi="Arial"/>
                <w:sz w:val="16"/>
                <w:szCs w:val="16"/>
                <w:color w:val="auto"/>
              </w:rPr>
              <w:t>Chief Operating Officer and 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Joseph L. Rotunda</w:t>
            </w:r>
          </w:p>
        </w:tc>
        <w:tc>
          <w:tcPr>
            <w:tcW w:w="2840" w:type="dxa"/>
            <w:vAlign w:val="bottom"/>
          </w:tcPr>
          <w:p>
            <w:pPr>
              <w:spacing w:after="0"/>
              <w:rPr>
                <w:sz w:val="20"/>
                <w:szCs w:val="20"/>
                <w:color w:val="auto"/>
              </w:rPr>
            </w:pPr>
          </w:p>
        </w:tc>
      </w:tr>
    </w:tbl>
    <w:p>
      <w:pPr>
        <w:spacing w:after="0" w:line="181" w:lineRule="exact"/>
        <w:rPr>
          <w:sz w:val="20"/>
          <w:szCs w:val="20"/>
          <w:color w:val="auto"/>
        </w:rPr>
      </w:pPr>
    </w:p>
    <w:p>
      <w:pPr>
        <w:ind w:left="5580" w:right="1880" w:hanging="5572"/>
        <w:spacing w:after="0" w:line="731" w:lineRule="auto"/>
        <w:tabs>
          <w:tab w:leader="none" w:pos="3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Executed on behalf of the Director by Thomas H. Welch, Jr., attorney-in-fact. 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ectPr>
          <w:pgSz w:w="11900" w:h="16838" w:orient="portrait"/>
          <w:cols w:equalWidth="0" w:num="2">
            <w:col w:w="8300" w:space="720"/>
            <w:col w:w="1240"/>
          </w:cols>
          <w:pgMar w:left="240" w:top="270" w:right="13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19050</wp:posOffset>
            </wp:positionV>
            <wp:extent cx="840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8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4"/>
          <w:szCs w:val="14"/>
          <w:color w:val="auto"/>
        </w:rPr>
        <w:t>(a)</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4"/>
          <w:szCs w:val="14"/>
          <w:color w:val="auto"/>
        </w:rPr>
        <w:t>(b)</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23.3</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4"/>
          <w:szCs w:val="14"/>
          <w:color w:val="auto"/>
        </w:rPr>
        <w:t>(b)</w:t>
      </w:r>
    </w:p>
    <w:p>
      <w:pPr>
        <w:spacing w:after="0" w:line="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22"/>
          <w:szCs w:val="22"/>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294640</wp:posOffset>
            </wp:positionV>
            <wp:extent cx="10464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58832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Specimen of Class A Non-Voting Common Stock certificate (incorporated by reference to Exhibit 4.1 to the Company’s Registration Statement on Form S-1 effective August 23, 1991, Commission File No. 33-41317)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between EZCORP, Inc. and Trustee to be named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Opinion of Vinson &amp; Elkins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Deloitte &amp; Touche,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Vinson &amp; Elkins L.L.P. (included in Exhibit 5.1)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(set forth on signature page)</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Form T-1 Statement of Eligibility and Qualification under the Trust Indenture Act of 1939 of the Trustee under the Indenture</w:t>
      </w:r>
    </w:p>
    <w:p>
      <w:pPr>
        <w:spacing w:after="0" w:line="200" w:lineRule="exact"/>
        <w:rPr>
          <w:sz w:val="20"/>
          <w:szCs w:val="20"/>
          <w:color w:val="auto"/>
        </w:rPr>
      </w:pPr>
    </w:p>
    <w:p>
      <w:pPr>
        <w:sectPr>
          <w:pgSz w:w="11900" w:h="16838" w:orient="portrait"/>
          <w:cols w:equalWidth="0" w:num="2">
            <w:col w:w="1340" w:space="600"/>
            <w:col w:w="9200"/>
          </w:cols>
          <w:pgMar w:left="240" w:top="287" w:right="519" w:bottom="1440" w:gutter="0" w:footer="0" w:header="0"/>
        </w:sectPr>
      </w:pPr>
    </w:p>
    <w:p>
      <w:pPr>
        <w:spacing w:after="0" w:line="26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be filed in accordance with the requirements of Section 305(b)(2) of the Trust Indenture Act of 1939 and Rule 5b-3 thereunder.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287" w:right="519" w:bottom="1440" w:gutter="0" w:footer="0" w:header="0"/>
          <w:type w:val="continuous"/>
        </w:sectPr>
      </w:pPr>
    </w:p>
    <w:bookmarkStart w:id="29" w:name="page30"/>
    <w:bookmarkEnd w:id="29"/>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173990</wp:posOffset>
            </wp:positionV>
            <wp:extent cx="168973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8, 2017</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2500 Bee Cave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Building One,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Rollingwood, TX 78746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03"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We have acted as counsel for EZCORP,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respect to certain legal matters in connection with the preparation of a registration statement on Form S-3 and the Pre-Effective Amendment No. 1 to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with respect to the Company’s (i) debt securities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in one or more series, certain of which may be convertible or exchangeable into shares of Class A Non-Voting Common Stock, par value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(ii) shares of the Common Stock, (iii) warrants for the purchase of shares of the Common Stock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(iv) contracts to purchase shares of the Common Stock or other securities at a future date or dates (the “</w:t>
      </w:r>
      <w:r>
        <w:rPr>
          <w:rFonts w:ascii="Arial" w:cs="Arial" w:eastAsia="Arial" w:hAnsi="Arial"/>
          <w:sz w:val="18"/>
          <w:szCs w:val="18"/>
          <w:b w:val="1"/>
          <w:bCs w:val="1"/>
          <w:i w:val="1"/>
          <w:iCs w:val="1"/>
          <w:color w:val="auto"/>
        </w:rPr>
        <w:t>Stock 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 and (v) Stock Purchase Contracts issued as a part of units consisting of a Stock Purchase Contract and warrants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or debt obligations of third parties, including U.S. treasury securities, securing the holders’ obligations to purchase the securities under the Stock Purchase Contracts (the “</w:t>
      </w:r>
      <w:r>
        <w:rPr>
          <w:rFonts w:ascii="Arial" w:cs="Arial" w:eastAsia="Arial" w:hAnsi="Arial"/>
          <w:sz w:val="18"/>
          <w:szCs w:val="18"/>
          <w:b w:val="1"/>
          <w:bCs w:val="1"/>
          <w:i w:val="1"/>
          <w:iCs w:val="1"/>
          <w:color w:val="auto"/>
        </w:rPr>
        <w:t>Stock Purchase Units</w:t>
      </w:r>
      <w:r>
        <w:rPr>
          <w:rFonts w:ascii="Arial" w:cs="Arial" w:eastAsia="Arial" w:hAnsi="Arial"/>
          <w:sz w:val="18"/>
          <w:szCs w:val="18"/>
          <w:color w:val="auto"/>
        </w:rPr>
        <w:t>” and, together with the Debt Securities, the shares of the Common Stock, the Warrants and the Stock Purchase Contracts,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each on terms to be determined at the time of the offering thereof. The Securities may be issued from time to time pursuant to Rule 415 under the Securities Act.</w:t>
      </w:r>
    </w:p>
    <w:p>
      <w:pPr>
        <w:spacing w:after="0" w:line="213" w:lineRule="exact"/>
        <w:rPr>
          <w:sz w:val="20"/>
          <w:szCs w:val="20"/>
          <w:color w:val="auto"/>
        </w:rPr>
      </w:pPr>
    </w:p>
    <w:p>
      <w:pPr>
        <w:jc w:val="both"/>
        <w:ind w:left="4" w:firstLine="648"/>
        <w:spacing w:after="0" w:line="252" w:lineRule="auto"/>
        <w:rPr>
          <w:sz w:val="20"/>
          <w:szCs w:val="20"/>
          <w:color w:val="auto"/>
        </w:rPr>
      </w:pPr>
      <w:r>
        <w:rPr>
          <w:rFonts w:ascii="Arial" w:cs="Arial" w:eastAsia="Arial" w:hAnsi="Arial"/>
          <w:sz w:val="18"/>
          <w:szCs w:val="18"/>
          <w:color w:val="auto"/>
        </w:rPr>
        <w:t>In connection with the opinions expressed herein, we have examined, among other things, the (i) the Amended and Restated Certificate of Incorporation, as amended, and the Amended and Restated Bylaws of the Company, each as amended to the date hereof (collectively, the “</w:t>
      </w: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(ii) the Registration Statement, (iii) the form of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filed as an exhibit to the Registration Statement and (iv) the records of corporate proceedings that have occurred prior to the date hereof with respect to the Registration Statement.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 no independent investigation as to the facts set forth therein.</w:t>
      </w:r>
    </w:p>
    <w:p>
      <w:pPr>
        <w:spacing w:after="0" w:line="206"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18"/>
          <w:szCs w:val="18"/>
          <w:color w:val="auto"/>
        </w:rPr>
        <w:t>In connection with this opinion,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(other than on behalf of the Company) any document reviewed by us had authority to sign in such capacity; (vi) the Registration Statement, and any amendments thereto (including post-effective amendments), will have become effective and comply with all applicable laws; (vii) a prospectus supplement will have been prepared and filed with the Commission describing the Securities offered thereby; (viii) all Securities will be issued and sold in compliance with applicable federal and state securities laws and in the manner stated in the Registration Statement and the applicable prospectus supplement; (ix) any supplemental indenture relating to a series of Debt Securities to be issued under the Indenture will be duly authorized, executed and delivered by the parties thereto in substantially the form reviewed by us; (x) a definitive purchase, underwriting or similar agreement with respect to any Securities offered will have been duly authorized and validly executed and delivered by the Company and the other parties thereto; (xi) any Securities issuable upon conversion, exchange or exercise of any Security being offered will have been duly authorized, created and, if appropriate, reserved for issuance upon such conversion, exchange or exercise; and (xii) with respect to shares of the Common Stock offered, that there will be sufficient shares of the Common Stock authorized under the Charter Documents and not otherwise reserved for issuance.</w:t>
      </w:r>
    </w:p>
    <w:p>
      <w:pPr>
        <w:spacing w:after="0" w:line="21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jc w:val="both"/>
        <w:ind w:left="644" w:hanging="644"/>
        <w:spacing w:after="0" w:line="251"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the Debt Securities to be issued under the Indenture, when (a) the applicable Indenture relating to the Debt Securities have been duly qualified under the Trust Indenture Act of 1939, as amended; (b)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a duly constituted and acting committee thereof) has taken all necessary corporate action to approve the issuance and terms of any such Debt Securities, the terms of the offering thereof and related matters; (c) the terms of such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requirements or restrictions imposed by any court or governmental body having jurisdiction over the Company; (d) any shares of the Common Stock issuable upon the conversion of such Debt Securities, if applicable, have been duly and validly authorized for issuance; and (e) such Debt Securities have been duly executed and authenticated in accordance with the Indenture and issued and sold as contemplated in the applicable prospectus supplement and in accordance with the applicable definitive purchase, underwriting or similar agreement approved by the Board (or a duly constituted and acting committee thereof) and, upon payment of the consideration therefor provided for therein, such Debt Securities will be legally issued and will constitute valid and binding obligations of the Company enforceable against the Company in accordance with their terms and will be entitled to the benefits of the Indenture.</w:t>
      </w:r>
    </w:p>
    <w:p>
      <w:pPr>
        <w:spacing w:after="0" w:line="210" w:lineRule="exact"/>
        <w:rPr>
          <w:rFonts w:ascii="Arial" w:cs="Arial" w:eastAsia="Arial" w:hAnsi="Arial"/>
          <w:sz w:val="18"/>
          <w:szCs w:val="18"/>
          <w:color w:val="auto"/>
        </w:rPr>
      </w:pPr>
    </w:p>
    <w:p>
      <w:pPr>
        <w:jc w:val="both"/>
        <w:ind w:left="644" w:hanging="644"/>
        <w:spacing w:after="0" w:line="252"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shares of the Common Stock, when (a) the Board (or a duly constituted and acting committee thereof) has taken all necessary corporate action to approve the issuance and terms of the offering thereof and related matters; and (b) the shares of the Common Stock have been duly registered and delivered either (i) in accordance with the applicable definitive purchase, underwriting or similar agreement approved by the Board (or a duly constituted and acting committee thereof) upon payment of the consideration therefor (not less than the par value of the Common Stock) provided for therein, or (ii) upon conversion, exchange or exercise of any other Security in accordance with the terms of the Security or the instrument governing the Security providing for the conversion, exchange or exercise as approved by the Board (or a duly constituted and</w:t>
      </w:r>
    </w:p>
    <w:p>
      <w:pPr>
        <w:sectPr>
          <w:pgSz w:w="11900" w:h="16865" w:orient="portrait"/>
          <w:cols w:equalWidth="0" w:num="1">
            <w:col w:w="10764"/>
          </w:cols>
          <w:pgMar w:left="896" w:top="118" w:right="239" w:bottom="0" w:gutter="0" w:footer="0" w:header="0"/>
        </w:sectPr>
      </w:pPr>
    </w:p>
    <w:bookmarkStart w:id="30" w:name="page31"/>
    <w:bookmarkEnd w:id="30"/>
    <w:p>
      <w:pPr>
        <w:jc w:val="both"/>
        <w:ind w:left="1160"/>
        <w:spacing w:after="0" w:line="255" w:lineRule="auto"/>
        <w:rPr>
          <w:sz w:val="20"/>
          <w:szCs w:val="20"/>
          <w:color w:val="auto"/>
        </w:rPr>
      </w:pPr>
      <w:r>
        <w:rPr>
          <w:rFonts w:ascii="Arial" w:cs="Arial" w:eastAsia="Arial" w:hAnsi="Arial"/>
          <w:sz w:val="18"/>
          <w:szCs w:val="18"/>
          <w:color w:val="auto"/>
        </w:rPr>
        <w:t>acting committee thereof), for the consideration (not less than the par value of the Common Stock) approved by the Board (or a duly constituted and acting committee thereof), such shares of the Common Stock will be legally issued, fully paid and non-assessable.</w:t>
      </w:r>
    </w:p>
    <w:p>
      <w:pPr>
        <w:spacing w:after="0" w:line="204" w:lineRule="exact"/>
        <w:rPr>
          <w:sz w:val="20"/>
          <w:szCs w:val="20"/>
          <w:color w:val="auto"/>
        </w:rPr>
      </w:pPr>
    </w:p>
    <w:p>
      <w:pPr>
        <w:jc w:val="both"/>
        <w:ind w:left="1160" w:hanging="644"/>
        <w:spacing w:after="0" w:line="252"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the Warrants, when (i) the Board (or a duly constituted and acting committee thereof)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the Company and the warrant agent appointed by the Company;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a duly constituted and acting committee thereof) upon payment of the consideration therefor provided for therein, such Warrants will be legally issued.</w:t>
      </w:r>
    </w:p>
    <w:p>
      <w:pPr>
        <w:spacing w:after="0" w:line="206" w:lineRule="exact"/>
        <w:rPr>
          <w:rFonts w:ascii="Arial" w:cs="Arial" w:eastAsia="Arial" w:hAnsi="Arial"/>
          <w:sz w:val="18"/>
          <w:szCs w:val="18"/>
          <w:color w:val="auto"/>
        </w:rPr>
      </w:pPr>
    </w:p>
    <w:p>
      <w:pPr>
        <w:jc w:val="both"/>
        <w:ind w:left="1160" w:hanging="644"/>
        <w:spacing w:after="0" w:line="252"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Stock Purchase Contracts, when (i) the purchase agreement for the Stock Purchase Contracts has been duly authorized and validly executed by the parties thereto; (ii) the Board (or a duly constituted and acting committee thereof) has taken all necessary corporate action to approve and establish the terms of the Stock Purchase Contracts and to authorize and approve the issuance thereof, the terms of the offering and related matters; and (iii) the Stock Purchase Contracts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for therein, such Stock Purchase Contracts will be legally issued.</w:t>
      </w:r>
    </w:p>
    <w:p>
      <w:pPr>
        <w:spacing w:after="0" w:line="207" w:lineRule="exact"/>
        <w:rPr>
          <w:rFonts w:ascii="Arial" w:cs="Arial" w:eastAsia="Arial" w:hAnsi="Arial"/>
          <w:sz w:val="18"/>
          <w:szCs w:val="18"/>
          <w:color w:val="auto"/>
        </w:rPr>
      </w:pPr>
    </w:p>
    <w:p>
      <w:pPr>
        <w:jc w:val="both"/>
        <w:ind w:left="1160" w:hanging="644"/>
        <w:spacing w:after="0" w:line="252"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Stock Purchase Units, when (i) the purchase agreement for the Stock Purchase Units has been duly authorized and validly executed by the parties thereto; (ii) the Board (or a duly constituted and acting committee thereof) has taken all necessary corporate action to approve and establish the terms of the Stock Purchase Units and to authorize and approve the issuance thereof, the terms of the offering and related matters; and (iii) the Stock Purchase Units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therein, the Stock Purchase Units will be legally issued.</w:t>
      </w:r>
    </w:p>
    <w:p>
      <w:pPr>
        <w:spacing w:after="0" w:line="207" w:lineRule="exact"/>
        <w:rPr>
          <w:sz w:val="20"/>
          <w:szCs w:val="20"/>
          <w:color w:val="auto"/>
        </w:rPr>
      </w:pPr>
    </w:p>
    <w:p>
      <w:pPr>
        <w:jc w:val="both"/>
        <w:ind w:left="520" w:firstLine="648"/>
        <w:spacing w:after="0" w:line="252" w:lineRule="auto"/>
        <w:rPr>
          <w:sz w:val="20"/>
          <w:szCs w:val="20"/>
          <w:color w:val="auto"/>
        </w:rPr>
      </w:pPr>
      <w:r>
        <w:rPr>
          <w:rFonts w:ascii="Arial" w:cs="Arial" w:eastAsia="Arial" w:hAnsi="Arial"/>
          <w:sz w:val="18"/>
          <w:szCs w:val="18"/>
          <w:color w:val="auto"/>
        </w:rPr>
        <w:t>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209" w:lineRule="exact"/>
        <w:rPr>
          <w:sz w:val="20"/>
          <w:szCs w:val="20"/>
          <w:color w:val="auto"/>
        </w:rPr>
      </w:pPr>
    </w:p>
    <w:p>
      <w:pPr>
        <w:jc w:val="both"/>
        <w:ind w:left="520" w:firstLine="648"/>
        <w:spacing w:after="0" w:line="252" w:lineRule="auto"/>
        <w:rPr>
          <w:sz w:val="20"/>
          <w:szCs w:val="20"/>
          <w:color w:val="auto"/>
        </w:rPr>
      </w:pPr>
      <w:r>
        <w:rPr>
          <w:rFonts w:ascii="Arial" w:cs="Arial" w:eastAsia="Arial" w:hAnsi="Arial"/>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(ii) the enforceability of indemnification provisions to the extent they purport to relate to liabilities resulting from or based upon negligence or any violation of federal or state securities or blue sky laws, or (iii) the validity or enforceability of provisions that limit the obligation of a guarantor based on the potential unenforceability, invalidity or voidability of a guarantee under any applicable law, including, without limitation, any state or federal fraudulent transfer or fraudulent conveyance laws.</w:t>
      </w:r>
    </w:p>
    <w:p>
      <w:pPr>
        <w:spacing w:after="0" w:line="209" w:lineRule="exact"/>
        <w:rPr>
          <w:sz w:val="20"/>
          <w:szCs w:val="20"/>
          <w:color w:val="auto"/>
        </w:rPr>
      </w:pPr>
    </w:p>
    <w:p>
      <w:pPr>
        <w:jc w:val="both"/>
        <w:ind w:left="520" w:firstLine="648"/>
        <w:spacing w:after="0" w:line="254" w:lineRule="auto"/>
        <w:rPr>
          <w:sz w:val="20"/>
          <w:szCs w:val="20"/>
          <w:color w:val="auto"/>
        </w:rPr>
      </w:pPr>
      <w:r>
        <w:rPr>
          <w:rFonts w:ascii="Arial" w:cs="Arial" w:eastAsia="Arial" w:hAnsi="Arial"/>
          <w:sz w:val="18"/>
          <w:szCs w:val="18"/>
          <w:color w:val="auto"/>
        </w:rPr>
        <w:t>The foregoing opinions are limited to the laws of the State of New York,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w:t>
      </w:r>
    </w:p>
    <w:p>
      <w:pPr>
        <w:spacing w:after="0" w:line="204" w:lineRule="exact"/>
        <w:rPr>
          <w:sz w:val="20"/>
          <w:szCs w:val="20"/>
          <w:color w:val="auto"/>
        </w:rPr>
      </w:pPr>
    </w:p>
    <w:p>
      <w:pPr>
        <w:jc w:val="both"/>
        <w:ind w:left="520" w:firstLine="648"/>
        <w:spacing w:after="0" w:line="25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and the rules and regulations thereunder.</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280"/>
          </w:cols>
          <w:pgMar w:left="380" w:top="140" w:right="2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Vinson &amp; Elkins LLP Attorneys at Law</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Austin Beijing Dallas Dubai Hong Kong Houston London</w:t>
      </w:r>
    </w:p>
    <w:p>
      <w:pPr>
        <w:spacing w:after="0"/>
        <w:rPr>
          <w:sz w:val="20"/>
          <w:szCs w:val="20"/>
          <w:color w:val="auto"/>
        </w:rPr>
      </w:pPr>
      <w:r>
        <w:rPr>
          <w:rFonts w:ascii="Arial" w:cs="Arial" w:eastAsia="Arial" w:hAnsi="Arial"/>
          <w:sz w:val="10"/>
          <w:szCs w:val="10"/>
          <w:color w:val="auto"/>
        </w:rPr>
        <w:t>Moscow New York Palo Alto Richmond Riyadh San Francisco Taipei Tokyo Washington</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Trammell Crow Center, 2001 Ross Avenue, Suite 3700</w:t>
      </w:r>
    </w:p>
    <w:p>
      <w:pPr>
        <w:spacing w:after="0" w:line="230" w:lineRule="auto"/>
        <w:rPr>
          <w:sz w:val="20"/>
          <w:szCs w:val="20"/>
          <w:color w:val="auto"/>
        </w:rPr>
      </w:pPr>
      <w:r>
        <w:rPr>
          <w:rFonts w:ascii="Arial" w:cs="Arial" w:eastAsia="Arial" w:hAnsi="Arial"/>
          <w:sz w:val="11"/>
          <w:szCs w:val="11"/>
          <w:color w:val="auto"/>
        </w:rPr>
        <w:t>Dallas, TX 75201-2975</w:t>
      </w:r>
    </w:p>
    <w:p>
      <w:pPr>
        <w:spacing w:after="0"/>
        <w:rPr>
          <w:sz w:val="20"/>
          <w:szCs w:val="20"/>
          <w:color w:val="auto"/>
        </w:rPr>
      </w:pPr>
      <w:r>
        <w:rPr>
          <w:rFonts w:ascii="Arial" w:cs="Arial" w:eastAsia="Arial" w:hAnsi="Arial"/>
          <w:sz w:val="10"/>
          <w:szCs w:val="10"/>
          <w:b w:val="1"/>
          <w:bCs w:val="1"/>
          <w:color w:val="auto"/>
        </w:rPr>
        <w:t xml:space="preserve">Tel </w:t>
      </w:r>
      <w:r>
        <w:rPr>
          <w:rFonts w:ascii="Arial" w:cs="Arial" w:eastAsia="Arial" w:hAnsi="Arial"/>
          <w:sz w:val="10"/>
          <w:szCs w:val="10"/>
          <w:color w:val="auto"/>
        </w:rPr>
        <w:t>+1.214.220.7700</w:t>
      </w:r>
      <w:r>
        <w:rPr>
          <w:rFonts w:ascii="Arial" w:cs="Arial" w:eastAsia="Arial" w:hAnsi="Arial"/>
          <w:sz w:val="10"/>
          <w:szCs w:val="10"/>
          <w:b w:val="1"/>
          <w:bCs w:val="1"/>
          <w:color w:val="auto"/>
        </w:rPr>
        <w:t xml:space="preserve"> Fax </w:t>
      </w:r>
      <w:r>
        <w:rPr>
          <w:rFonts w:ascii="Arial" w:cs="Arial" w:eastAsia="Arial" w:hAnsi="Arial"/>
          <w:sz w:val="10"/>
          <w:szCs w:val="10"/>
          <w:color w:val="auto"/>
        </w:rPr>
        <w:t>+1.214.220.7716</w:t>
      </w:r>
      <w:r>
        <w:rPr>
          <w:rFonts w:ascii="Arial" w:cs="Arial" w:eastAsia="Arial" w:hAnsi="Arial"/>
          <w:sz w:val="10"/>
          <w:szCs w:val="10"/>
          <w:b w:val="1"/>
          <w:bCs w:val="1"/>
          <w:color w:val="auto"/>
        </w:rPr>
        <w:t xml:space="preserve"> www.velaw.com</w:t>
      </w:r>
    </w:p>
    <w:p>
      <w:pPr>
        <w:sectPr>
          <w:pgSz w:w="11900" w:h="16838" w:orient="portrait"/>
          <w:cols w:equalWidth="0" w:num="2">
            <w:col w:w="6340" w:space="720"/>
            <w:col w:w="4220"/>
          </w:cols>
          <w:pgMar w:left="380" w:top="140"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75"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 Ended 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Income (loss) from continuing</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operations before income taxes</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13,048</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(66,207)</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7,889</w:t>
            </w:r>
          </w:p>
        </w:tc>
        <w:tc>
          <w:tcPr>
            <w:tcW w:w="1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29,687</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146,139</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(Income) loss from investments in</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120" w:type="dxa"/>
            <w:vAlign w:val="bottom"/>
          </w:tcPr>
          <w:p>
            <w:pPr>
              <w:spacing w:after="0"/>
              <w:rPr>
                <w:sz w:val="16"/>
                <w:szCs w:val="16"/>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Distributed income from</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120" w:type="dxa"/>
            <w:vAlign w:val="bottom"/>
          </w:tcPr>
          <w:p>
            <w:pPr>
              <w:spacing w:after="0"/>
              <w:rPr>
                <w:sz w:val="16"/>
                <w:szCs w:val="16"/>
                <w:color w:val="auto"/>
              </w:rPr>
            </w:pP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5,129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10,632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5,560</w:t>
            </w:r>
          </w:p>
        </w:tc>
        <w:tc>
          <w:tcPr>
            <w:tcW w:w="0" w:type="dxa"/>
            <w:vAlign w:val="bottom"/>
          </w:tcPr>
          <w:p>
            <w:pPr>
              <w:spacing w:after="0"/>
              <w:rPr>
                <w:sz w:val="1"/>
                <w:szCs w:val="1"/>
                <w:color w:val="auto"/>
              </w:rPr>
            </w:pPr>
          </w:p>
        </w:tc>
      </w:tr>
      <w:tr>
        <w:trPr>
          <w:trHeight w:val="283"/>
        </w:trPr>
        <w:tc>
          <w:tcPr>
            <w:tcW w:w="2640" w:type="dxa"/>
            <w:vAlign w:val="bottom"/>
          </w:tcPr>
          <w:p>
            <w:pPr>
              <w:ind w:left="180"/>
              <w:spacing w:after="0"/>
              <w:rPr>
                <w:sz w:val="20"/>
                <w:szCs w:val="20"/>
                <w:color w:val="auto"/>
              </w:rPr>
            </w:pPr>
            <w:r>
              <w:rPr>
                <w:rFonts w:ascii="Arial" w:cs="Arial" w:eastAsia="Arial" w:hAnsi="Arial"/>
                <w:sz w:val="16"/>
                <w:szCs w:val="16"/>
                <w:color w:val="auto"/>
              </w:rPr>
              <w:t>Fixed charges</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8,667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48,074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86,724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75,743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51,749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31,103</w:t>
            </w:r>
          </w:p>
        </w:tc>
        <w:tc>
          <w:tcPr>
            <w:tcW w:w="0" w:type="dxa"/>
            <w:vAlign w:val="bottom"/>
          </w:tcPr>
          <w:p>
            <w:pPr>
              <w:spacing w:after="0"/>
              <w:rPr>
                <w:sz w:val="1"/>
                <w:szCs w:val="1"/>
                <w:color w:val="auto"/>
              </w:rPr>
            </w:pPr>
          </w:p>
        </w:tc>
      </w:tr>
      <w:tr>
        <w:trPr>
          <w:trHeight w:val="204"/>
        </w:trPr>
        <w:tc>
          <w:tcPr>
            <w:tcW w:w="2640" w:type="dxa"/>
            <w:vAlign w:val="bottom"/>
          </w:tcPr>
          <w:p>
            <w:pPr>
              <w:spacing w:after="0"/>
              <w:rPr>
                <w:sz w:val="20"/>
                <w:szCs w:val="20"/>
                <w:color w:val="auto"/>
              </w:rPr>
            </w:pPr>
            <w:r>
              <w:rPr>
                <w:rFonts w:ascii="Arial" w:cs="Arial" w:eastAsia="Arial" w:hAnsi="Arial"/>
                <w:sz w:val="16"/>
                <w:szCs w:val="16"/>
                <w:color w:val="auto"/>
              </w:rPr>
              <w:t>Total earnings available for fixed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tcPr>
          <w:p>
            <w:pPr>
              <w:jc w:val="right"/>
              <w:ind w:right="61"/>
              <w:spacing w:after="0"/>
              <w:rPr>
                <w:sz w:val="20"/>
                <w:szCs w:val="20"/>
                <w:color w:val="auto"/>
              </w:rPr>
            </w:pPr>
            <w:r>
              <w:rPr>
                <w:rFonts w:ascii="Arial" w:cs="Arial" w:eastAsia="Arial" w:hAnsi="Arial"/>
                <w:sz w:val="16"/>
                <w:szCs w:val="16"/>
                <w:color w:val="auto"/>
              </w:rPr>
              <w:t>21,390</w:t>
            </w:r>
          </w:p>
        </w:tc>
        <w:tc>
          <w:tcPr>
            <w:tcW w:w="10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50,889</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30,832</w:t>
            </w: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82,813</w:t>
            </w:r>
          </w:p>
        </w:tc>
        <w:tc>
          <w:tcPr>
            <w:tcW w:w="120" w:type="dxa"/>
            <w:vAlign w:val="bottom"/>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color w:val="auto"/>
              </w:rPr>
              <w:t>80,190</w:t>
            </w:r>
          </w:p>
        </w:tc>
        <w:tc>
          <w:tcPr>
            <w:tcW w:w="1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color w:val="auto"/>
              </w:rPr>
              <w:t>166,764</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20"/>
                <w:szCs w:val="20"/>
                <w:color w:val="auto"/>
              </w:rPr>
            </w:pPr>
            <w:r>
              <w:rPr>
                <w:rFonts w:ascii="Arial" w:cs="Arial" w:eastAsia="Arial" w:hAnsi="Arial"/>
                <w:sz w:val="16"/>
                <w:szCs w:val="16"/>
                <w:color w:val="auto"/>
              </w:rPr>
              <w:t>charges</w:t>
            </w:r>
          </w:p>
        </w:tc>
        <w:tc>
          <w:tcPr>
            <w:tcW w:w="1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Interest expense including</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amortization of discounts and</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capitalized expenses related to</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indebtedness (b)</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5,565</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33,444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42,202</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28,388</w:t>
            </w:r>
          </w:p>
        </w:tc>
        <w:tc>
          <w:tcPr>
            <w:tcW w:w="1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16,190</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Estimated interest portion of</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rental expense</w:t>
            </w:r>
          </w:p>
        </w:tc>
        <w:tc>
          <w:tcPr>
            <w:tcW w:w="120" w:type="dxa"/>
            <w:vAlign w:val="bottom"/>
          </w:tcPr>
          <w:p>
            <w:pPr>
              <w:spacing w:after="0"/>
              <w:rPr>
                <w:sz w:val="16"/>
                <w:szCs w:val="16"/>
                <w:color w:val="auto"/>
              </w:rPr>
            </w:pP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15,450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12,645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10,863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7,674</w:t>
            </w:r>
          </w:p>
        </w:tc>
        <w:tc>
          <w:tcPr>
            <w:tcW w:w="0" w:type="dxa"/>
            <w:vAlign w:val="bottom"/>
          </w:tcPr>
          <w:p>
            <w:pPr>
              <w:spacing w:after="0"/>
              <w:rPr>
                <w:sz w:val="1"/>
                <w:szCs w:val="1"/>
                <w:color w:val="auto"/>
              </w:rPr>
            </w:pPr>
          </w:p>
        </w:tc>
      </w:tr>
      <w:tr>
        <w:trPr>
          <w:trHeight w:val="283"/>
        </w:trPr>
        <w:tc>
          <w:tcPr>
            <w:tcW w:w="2640" w:type="dxa"/>
            <w:vAlign w:val="bottom"/>
          </w:tcPr>
          <w:p>
            <w:pPr>
              <w:ind w:left="180"/>
              <w:spacing w:after="0"/>
              <w:rPr>
                <w:sz w:val="20"/>
                <w:szCs w:val="20"/>
                <w:color w:val="auto"/>
              </w:rPr>
            </w:pPr>
            <w:r>
              <w:rPr>
                <w:rFonts w:ascii="Arial" w:cs="Arial" w:eastAsia="Arial" w:hAnsi="Arial"/>
                <w:sz w:val="16"/>
                <w:szCs w:val="16"/>
                <w:color w:val="auto"/>
              </w:rPr>
              <w:t>Losses under guarantees, net (c)</w:t>
            </w:r>
          </w:p>
        </w:tc>
        <w:tc>
          <w:tcPr>
            <w:tcW w:w="120" w:type="dxa"/>
            <w:vAlign w:val="bottom"/>
          </w:tcPr>
          <w:p>
            <w:pPr>
              <w:spacing w:after="0"/>
              <w:rPr>
                <w:sz w:val="24"/>
                <w:szCs w:val="2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29,072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34,710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24,696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24,171</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6"/>
                <w:szCs w:val="16"/>
                <w:color w:val="auto"/>
              </w:rPr>
              <w:t>Total fixed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8,667</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48,074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86,724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75,743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51,749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31,103</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b w:val="1"/>
                <w:bCs w:val="1"/>
                <w:color w:val="auto"/>
              </w:rPr>
              <w:t>Ratio of earnings to fixed</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2.47x</w:t>
            </w:r>
          </w:p>
        </w:tc>
        <w:tc>
          <w:tcPr>
            <w:tcW w:w="260" w:type="dxa"/>
            <w:vAlign w:val="bottom"/>
          </w:tcPr>
          <w:p>
            <w:pPr>
              <w:spacing w:after="0"/>
              <w:rPr>
                <w:sz w:val="24"/>
                <w:szCs w:val="24"/>
                <w:color w:val="auto"/>
              </w:rPr>
            </w:pPr>
          </w:p>
        </w:tc>
        <w:tc>
          <w:tcPr>
            <w:tcW w:w="98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1.06x</w:t>
            </w:r>
          </w:p>
        </w:tc>
        <w:tc>
          <w:tcPr>
            <w:tcW w:w="160" w:type="dxa"/>
            <w:vAlign w:val="bottom"/>
          </w:tcPr>
          <w:p>
            <w:pPr>
              <w:spacing w:after="0"/>
              <w:rPr>
                <w:sz w:val="24"/>
                <w:szCs w:val="2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(d)</w:t>
            </w:r>
          </w:p>
        </w:tc>
        <w:tc>
          <w:tcPr>
            <w:tcW w:w="240" w:type="dxa"/>
            <w:vAlign w:val="bottom"/>
          </w:tcPr>
          <w:p>
            <w:pPr>
              <w:spacing w:after="0"/>
              <w:rPr>
                <w:sz w:val="24"/>
                <w:szCs w:val="24"/>
                <w:color w:val="auto"/>
              </w:rPr>
            </w:pPr>
          </w:p>
        </w:tc>
        <w:tc>
          <w:tcPr>
            <w:tcW w:w="9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1.09x</w:t>
            </w:r>
          </w:p>
        </w:tc>
        <w:tc>
          <w:tcPr>
            <w:tcW w:w="300" w:type="dxa"/>
            <w:vAlign w:val="bottom"/>
          </w:tcPr>
          <w:p>
            <w:pPr>
              <w:spacing w:after="0"/>
              <w:rPr>
                <w:sz w:val="24"/>
                <w:szCs w:val="24"/>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1.55x</w:t>
            </w: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5.36x</w:t>
            </w:r>
          </w:p>
        </w:tc>
        <w:tc>
          <w:tcPr>
            <w:tcW w:w="0" w:type="dxa"/>
            <w:vAlign w:val="bottom"/>
          </w:tcPr>
          <w:p>
            <w:pPr>
              <w:spacing w:after="0"/>
              <w:rPr>
                <w:sz w:val="1"/>
                <w:szCs w:val="1"/>
                <w:color w:val="auto"/>
              </w:rPr>
            </w:pPr>
          </w:p>
        </w:tc>
      </w:tr>
      <w:tr>
        <w:trPr>
          <w:trHeight w:val="218"/>
        </w:trPr>
        <w:tc>
          <w:tcPr>
            <w:tcW w:w="2640" w:type="dxa"/>
            <w:vAlign w:val="bottom"/>
          </w:tcPr>
          <w:p>
            <w:pPr>
              <w:spacing w:after="0"/>
              <w:rPr>
                <w:sz w:val="20"/>
                <w:szCs w:val="20"/>
                <w:color w:val="auto"/>
              </w:rPr>
            </w:pPr>
            <w:r>
              <w:rPr>
                <w:rFonts w:ascii="Arial" w:cs="Arial" w:eastAsia="Arial" w:hAnsi="Arial"/>
                <w:sz w:val="16"/>
                <w:szCs w:val="16"/>
                <w:b w:val="1"/>
                <w:bCs w:val="1"/>
                <w:color w:val="auto"/>
              </w:rPr>
              <w:t>charges</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360045</wp:posOffset>
            </wp:positionV>
            <wp:extent cx="591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are presented as recast to exclude the results of operations discontinued in fiscal 2016 and prior.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was no significant interest associated with uncertain tax positions for any period presented.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are presented net of recoveries of previous losses.</w:t>
      </w:r>
    </w:p>
    <w:p>
      <w:pPr>
        <w:spacing w:after="0" w:line="55" w:lineRule="exact"/>
        <w:rPr>
          <w:rFonts w:ascii="Arial" w:cs="Arial" w:eastAsia="Arial" w:hAnsi="Arial"/>
          <w:sz w:val="14"/>
          <w:szCs w:val="14"/>
          <w:color w:val="auto"/>
        </w:rPr>
      </w:pPr>
    </w:p>
    <w:p>
      <w:pPr>
        <w:ind w:left="340" w:right="200" w:hanging="332"/>
        <w:spacing w:after="0" w:line="25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ratio as computed for fiscal 2015 was less than 1.0 as earnings were not adequate to cover fixed charges. Additional earnings of approximately $56 million would have been necessary to bring the ratio to 1.0.</w:t>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this Pre-Effective Amendment No. 1 to Registration Statement No. 333-202626 on Form S-3 of our reports dated December 14, 2016, relating to the consolidated financial statements and the effectiveness of EZCORP, Inc.’s internal control over financial reporting appearing in the Company’s Annual Report on Form 10 -K for the year ended September 30, 2016. We also have audited the retrospective adjustments for the 2014 financial statements related to the discontinued operations of Grupo Finmart.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2017</w:t>
      </w:r>
    </w:p>
    <w:p>
      <w:pPr>
        <w:sectPr>
          <w:pgSz w:w="11900" w:h="16838" w:orient="portrait"/>
          <w:cols w:equalWidth="0" w:num="1">
            <w:col w:w="11420"/>
          </w:cols>
          <w:pgMar w:left="240" w:top="1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consent to the incorporation by reference in this Amendment No. 1 to Registration No. 333-202626 on Form S-3 of our report dated November 26, 2014 (November 9, 2015 as to the effects of the restatement discussed in Note 22; December 23, 2015 as to Note 3 (relating to the adjustments for discontinued operations arising in 2015) and Note 18 (relating to the change in reportable segments in 2015); December 13, 2016 as to the effects of the restatement discussed in Note 2.), relating to the consolidated statements of operations, comprehensive loss, stockholders’ equity and cash flows for the year ended September 30, 2014 (the “2014 financial statements”) (before the retrospective adjustments to the 2014 financial statements for the adoption of ASU 2014-08 ) (not presented herein) of EZCORP, Inc. and subsidiaries (which report expresses an unqualified opinion; includes an explanatory paragraph that the retrospective adjustments to the 2014 financial statements for the adoption of ASU 2014-08 were audited by other auditors; and includes an explanatory paragraph related to the restatement of the 2014 consolidated financial statements), appearing in the Annual Report on Form 10-K of EZCORP, Inc. for the year ended September 30, 2016,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2017</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lvl w:ilvl="1">
      <w:lvlJc w:val="left"/>
      <w:lvlText w:val="(%2)"/>
      <w:numFmt w:val="decimal"/>
      <w:start w:val="2"/>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lvl w:ilvl="1">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3"/>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2"/>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lvl w:ilvl="1">
      <w:lvlJc w:val="left"/>
      <w:lvlText w:val="(%2)"/>
      <w:numFmt w:val="lowerLetter"/>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2"/>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3006C83E"/>
    <w:multiLevelType w:val="hybridMultilevel"/>
    <w:lvl w:ilvl="0">
      <w:lvlJc w:val="left"/>
      <w:lvlText w:val="(%1)"/>
      <w:numFmt w:val="lowerRoman"/>
      <w:start w:val="3"/>
    </w:lvl>
  </w:abstractNum>
  <w:abstractNum w:abstractNumId="29">
    <w:nsid w:val="614FD4A1"/>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2"/>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lowerLetter"/>
      <w:start w:val="1"/>
    </w:lvl>
    <w:lvl w:ilvl="1">
      <w:lvlJc w:val="left"/>
      <w:lvlText w:val="(%2)"/>
      <w:numFmt w:val="lowerRoman"/>
      <w:start w:val="4"/>
    </w:lvl>
  </w:abstractNum>
  <w:abstractNum w:abstractNumId="32">
    <w:nsid w:val="440BADFC"/>
    <w:multiLevelType w:val="hybridMultilevel"/>
    <w:lvl w:ilvl="0">
      <w:lvlJc w:val="left"/>
      <w:lvlText w:val="(%1)"/>
      <w:numFmt w:val="lowerLetter"/>
      <w:start w:val="2"/>
    </w:lvl>
    <w:lvl w:ilvl="1">
      <w:lvlJc w:val="left"/>
      <w:lvlText w:val="%2"/>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3"/>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2020-01-16T06:20:05Z</dcterms:created>
  <dcterms:modified xsi:type="dcterms:W3CDTF">2020-01-16T06:20:05Z</dcterms:modified>
</cp:coreProperties>
</file>