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757555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left="360" w:right="2560"/>
        <w:spacing w:after="0" w:line="367" w:lineRule="auto"/>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 Date of Report (Date of earliest event reported): January 12, 2015</w:t>
      </w:r>
    </w:p>
    <w:p>
      <w:pPr>
        <w:spacing w:after="0" w:line="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1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329"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8"/>
                <w:szCs w:val="18"/>
                <w:b w:val="1"/>
                <w:bCs w:val="1"/>
                <w:color w:val="auto"/>
              </w:rPr>
              <w:t>74-2540145</w:t>
            </w:r>
          </w:p>
        </w:tc>
      </w:tr>
      <w:tr>
        <w:trPr>
          <w:trHeight w:val="178"/>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8"/>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1901 Capital Parkway, Austin, Texas 78746</w:t>
            </w:r>
          </w:p>
        </w:tc>
        <w:tc>
          <w:tcPr>
            <w:tcW w:w="1460" w:type="dxa"/>
            <w:vAlign w:val="bottom"/>
          </w:tcPr>
          <w:p>
            <w:pPr>
              <w:spacing w:after="0"/>
              <w:rPr>
                <w:sz w:val="24"/>
                <w:szCs w:val="24"/>
                <w:color w:val="auto"/>
              </w:rPr>
            </w:pPr>
          </w:p>
        </w:tc>
      </w:tr>
      <w:tr>
        <w:trPr>
          <w:trHeight w:val="328"/>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60" w:type="dxa"/>
            <w:vAlign w:val="bottom"/>
          </w:tcPr>
          <w:p>
            <w:pPr>
              <w:spacing w:after="0"/>
              <w:rPr>
                <w:sz w:val="24"/>
                <w:szCs w:val="24"/>
                <w:color w:val="auto"/>
              </w:rPr>
            </w:pPr>
          </w:p>
        </w:tc>
      </w:tr>
      <w:tr>
        <w:trPr>
          <w:trHeight w:val="375"/>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w:t>
            </w:r>
          </w:p>
        </w:tc>
        <w:tc>
          <w:tcPr>
            <w:tcW w:w="1460" w:type="dxa"/>
            <w:vAlign w:val="bottom"/>
          </w:tcPr>
          <w:p>
            <w:pPr>
              <w:spacing w:after="0"/>
              <w:rPr>
                <w:sz w:val="24"/>
                <w:szCs w:val="24"/>
                <w:color w:val="auto"/>
              </w:rPr>
            </w:pPr>
          </w:p>
        </w:tc>
      </w:tr>
    </w:tbl>
    <w:p>
      <w:pPr>
        <w:spacing w:after="0" w:line="34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227" w:right="359" w:bottom="1440" w:gutter="0" w:footer="0" w:header="0"/>
        </w:sectPr>
      </w:pPr>
    </w:p>
    <w:bookmarkStart w:id="1" w:name="page2"/>
    <w:bookmarkEnd w:id="1"/>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05" w:lineRule="exact"/>
        <w:rPr>
          <w:sz w:val="20"/>
          <w:szCs w:val="20"/>
          <w:color w:val="auto"/>
        </w:rPr>
      </w:pPr>
    </w:p>
    <w:p>
      <w:pPr>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appointed Matthew W. Appel to serve as a director until the next annual meeting of the Company's stockholders and his successor is elected and qualified or, if earlier, until his resignation or removal. Mr. Appel's appointment is effective January 12, 2015. A copy of the Company's press release announcing this appointment is attached as Exhibit 99.1.</w:t>
      </w:r>
    </w:p>
    <w:p>
      <w:pPr>
        <w:spacing w:after="0" w:line="122" w:lineRule="exact"/>
        <w:rPr>
          <w:rFonts w:ascii="Times New Roman" w:cs="Times New Roman" w:eastAsia="Times New Roman" w:hAnsi="Times New Roman"/>
          <w:sz w:val="18"/>
          <w:szCs w:val="18"/>
          <w:color w:val="auto"/>
        </w:rPr>
      </w:pPr>
    </w:p>
    <w:p>
      <w:pPr>
        <w:ind w:left="66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also appointed Mr. Appel to serve as Chair of the Board’s Audit Committee. Thomas C. Roberts, the current Chair of the Audit Committee, will continue to serve as a member of the Audit Committee.</w:t>
      </w:r>
    </w:p>
    <w:p>
      <w:pPr>
        <w:spacing w:after="0" w:line="107" w:lineRule="exact"/>
        <w:rPr>
          <w:rFonts w:ascii="Times New Roman" w:cs="Times New Roman" w:eastAsia="Times New Roman" w:hAnsi="Times New Roman"/>
          <w:sz w:val="18"/>
          <w:szCs w:val="18"/>
          <w:color w:val="auto"/>
        </w:rPr>
      </w:pPr>
    </w:p>
    <w:p>
      <w:pPr>
        <w:ind w:left="66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director, Mr. Appel will participate in the standard compensation plan for non-employee directors, which is described in the Company's Annual Report on Form 10-K for the fiscal year ended September 30, 2014 (under "Part III — Item 11, Executive Compensation — Director Compensation"). Pursuant to that plan, non-employee directors receive an annual retainer fee ($80,000 for fiscal 2015, with additional amounts of $27,500 and $15,000 being paid to the chair of the Audit Committee and the chair of the Compensation Committee, respectively) and an annual grant of restricted stock (16,000 shares for fiscal 2015). The annual cash retainer fee is paid quarterly, and the annual restricted stock awards are generally made on or about October 1 of each year.</w:t>
      </w:r>
    </w:p>
    <w:p>
      <w:pPr>
        <w:spacing w:after="0" w:line="133" w:lineRule="exact"/>
        <w:rPr>
          <w:rFonts w:ascii="Times New Roman" w:cs="Times New Roman" w:eastAsia="Times New Roman" w:hAnsi="Times New Roman"/>
          <w:sz w:val="18"/>
          <w:szCs w:val="18"/>
          <w:color w:val="auto"/>
        </w:rPr>
      </w:pPr>
    </w:p>
    <w:p>
      <w:pPr>
        <w:ind w:left="66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Appel will receive $26,875 on or about January 15, 2015, representing the pro rata portion of the fiscal 2015 annual retainer fee (including the additional amount for serving as Chair of the Audit Committee), and thereafter will receive directors fees on a quarterly basis as described above. Mr. Appel will also receive a grant of 14,000 shares of restricted stock, representing his fiscal 2015 grant.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71" w:lineRule="exact"/>
        <w:rPr>
          <w:sz w:val="20"/>
          <w:szCs w:val="20"/>
          <w:color w:val="auto"/>
        </w:rPr>
      </w:pPr>
    </w:p>
    <w:p>
      <w:pPr>
        <w:ind w:left="240"/>
        <w:spacing w:after="0"/>
        <w:tabs>
          <w:tab w:leader="none" w:pos="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January 15, 2015 announcing the appointment of Matthew W. Appel to the Board of Directors.</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Times New Roman" w:cs="Times New Roman" w:eastAsia="Times New Roman" w:hAnsi="Times New Roman"/>
          <w:sz w:val="18"/>
          <w:szCs w:val="18"/>
          <w:color w:val="auto"/>
        </w:rPr>
        <w:t>Date:</w:t>
        <w:tab/>
        <w:t>January 15,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34290</wp:posOffset>
            </wp:positionV>
            <wp:extent cx="2804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General Counsel and Secretary</w:t>
      </w:r>
    </w:p>
    <w:p>
      <w:pPr>
        <w:sectPr>
          <w:pgSz w:w="11900" w:h="16838" w:orient="portrait"/>
          <w:cols w:equalWidth="0" w:num="1">
            <w:col w:w="11360"/>
          </w:cols>
          <w:pgMar w:left="240" w:top="90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6"/>
        </w:trPr>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480" w:type="dxa"/>
            <w:vAlign w:val="bottom"/>
          </w:tcPr>
          <w:p>
            <w:pPr>
              <w:spacing w:after="0"/>
              <w:rPr>
                <w:sz w:val="24"/>
                <w:szCs w:val="24"/>
                <w:color w:val="auto"/>
              </w:rPr>
            </w:pPr>
          </w:p>
        </w:tc>
      </w:tr>
      <w:tr>
        <w:trPr>
          <w:trHeight w:val="238"/>
        </w:trPr>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80" w:type="dxa"/>
            <w:vAlign w:val="bottom"/>
            <w:tcBorders>
              <w:bottom w:val="single" w:sz="8" w:color="auto"/>
            </w:tcBorders>
          </w:tcPr>
          <w:p>
            <w:pPr>
              <w:spacing w:after="0"/>
              <w:rPr>
                <w:sz w:val="2"/>
                <w:szCs w:val="2"/>
                <w:color w:val="auto"/>
              </w:rPr>
            </w:pPr>
          </w:p>
        </w:tc>
      </w:tr>
      <w:tr>
        <w:trPr>
          <w:trHeight w:val="56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dated January 15, 2015 announcing the appointment of Matthew W. Appel to the Board of Directors.</w:t>
            </w:r>
          </w:p>
        </w:tc>
      </w:tr>
    </w:tbl>
    <w:p>
      <w:pPr>
        <w:sectPr>
          <w:pgSz w:w="11900" w:h="16838" w:orient="portrait"/>
          <w:cols w:equalWidth="0" w:num="1">
            <w:col w:w="11420"/>
          </w:cols>
          <w:pgMar w:left="240" w:top="90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791845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EZCORP ADDS NEW BOARD MEMBER</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AUSTIN, Texas </w:t>
      </w:r>
      <w:r>
        <w:rPr>
          <w:rFonts w:ascii="Times New Roman" w:cs="Times New Roman" w:eastAsia="Times New Roman" w:hAnsi="Times New Roman"/>
          <w:sz w:val="18"/>
          <w:szCs w:val="18"/>
          <w:color w:val="auto"/>
        </w:rPr>
        <w:t>(January 15, 2015)</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EZCORP, Inc. (NASDAQ: EZPW), a leading provider of easy cash solutions for consumers, today announced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Matthew W. Appel has joined EZCORP’s Board of Directors effective January 12, 2015, and has been named Chair of the Audit Committee.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Appel spent 37 years in finance, administration and operations roles with a variety of companies, most recently Zale Corporation, a NYSE listed jewelry retailer, where he served as Chief Financial Officer from May 2009 to May 2011 and Chief Administrative Officer from May 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 President, BPO Management; and held a variety of finance and operations roles from 1984 to 2003 at Tenneco Inc., Affiliated Computer Services, Inc. and PricewaterhouseCoopers. Mr. Appel began his professional career with Arthur Andersen &amp; Company, working there from 1977 to 1984.</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Appel received an MBA in Accounting from the Rutgers University Graduate School of Business in 1977 and a Business Administration degree from Rutgers College in 1976. Mr. Appel is a Certified Public Accountant and a Certified Management Accountant.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delighted to welcome Matt to the Board,” said Stuart I. Grimshaw, Executive Chairman of the Board of EZCORP. “His strong credentials as a financial expert will greatly enhance the overall quality of our Audit Committee. In addition, Matt brings exceptional operations and business process acumen to our Board. We look forward to his contributions, not only from a financial and audit perspective, but also on strategic and operational matters.”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C. Roberts, who is currently the Chair of the Audit Committee, will remain as a member of the Audit Committee and will assist Mr. Appel in his transition into the Chair role.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EZCORP</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EZCORP is a leader in delivering easy cash solutions to our customers across channels, products, services and markets. With approximately 7,300 team members and approximately 1,400 locations and branches, we give our customers multiple ways to access instant cash, including pawn loans and consumer loans in the United States, Mexico and Canada, and fee-based credit services to customers seeking loans. At our pawn and buy/sell stores, we also sell merchandise, primarily collateral forfeited from pawn lending operations and used merchandise purchased from customers.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750 stores that provide personal financial services and sell pre-owned merchandise.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latest information on EZCORP, please visit our website at: </w:t>
      </w:r>
      <w:r>
        <w:rPr>
          <w:rFonts w:ascii="Times New Roman" w:cs="Times New Roman" w:eastAsia="Times New Roman" w:hAnsi="Times New Roman"/>
          <w:sz w:val="18"/>
          <w:szCs w:val="18"/>
          <w:u w:val="single" w:color="auto"/>
          <w:color w:val="0000FF"/>
        </w:rPr>
        <w:t>http://investors.ezcorp.com/</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Trinske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EZCORP,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(512) 314-2220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Investor_Relations@ezcorp.com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http://investors.ezcorp.com/</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2020-01-22T04:59:19Z</dcterms:created>
  <dcterms:modified xsi:type="dcterms:W3CDTF">2020-01-22T04:59:19Z</dcterms:modified>
</cp:coreProperties>
</file>