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3"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93"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3, 2020 (September 1, 2020)</w:t>
      </w:r>
    </w:p>
    <w:p>
      <w:pPr>
        <w:spacing w:after="0" w:line="7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EZCORP,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54"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0-19424</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8"/>
                <w:szCs w:val="18"/>
                <w:b w:val="1"/>
                <w:bCs w:val="1"/>
                <w:color w:val="auto"/>
                <w:w w:val="98"/>
              </w:rPr>
              <w:t>74-2540145</w:t>
            </w:r>
          </w:p>
        </w:tc>
      </w:tr>
      <w:tr>
        <w:trPr>
          <w:trHeight w:val="178"/>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6"/>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2500 Bee Cave Road, Bldg One, Suite 200, Rollingwood, Texas 78746</w:t>
            </w:r>
          </w:p>
        </w:tc>
        <w:tc>
          <w:tcPr>
            <w:tcW w:w="1420" w:type="dxa"/>
            <w:vAlign w:val="bottom"/>
          </w:tcPr>
          <w:p>
            <w:pPr>
              <w:spacing w:after="0"/>
              <w:rPr>
                <w:sz w:val="24"/>
                <w:szCs w:val="24"/>
                <w:color w:val="auto"/>
              </w:rPr>
            </w:pPr>
          </w:p>
        </w:tc>
      </w:tr>
      <w:tr>
        <w:trPr>
          <w:trHeight w:val="190"/>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20" w:type="dxa"/>
            <w:vAlign w:val="bottom"/>
          </w:tcPr>
          <w:p>
            <w:pPr>
              <w:spacing w:after="0"/>
              <w:rPr>
                <w:sz w:val="16"/>
                <w:szCs w:val="16"/>
                <w:color w:val="auto"/>
              </w:rPr>
            </w:pPr>
          </w:p>
        </w:tc>
      </w:tr>
      <w:tr>
        <w:trPr>
          <w:trHeight w:val="375"/>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(512) 314-3400</w:t>
            </w:r>
          </w:p>
        </w:tc>
        <w:tc>
          <w:tcPr>
            <w:tcW w:w="1420" w:type="dxa"/>
            <w:vAlign w:val="bottom"/>
          </w:tcPr>
          <w:p>
            <w:pPr>
              <w:spacing w:after="0"/>
              <w:rPr>
                <w:sz w:val="24"/>
                <w:szCs w:val="24"/>
                <w:color w:val="auto"/>
              </w:rPr>
            </w:pPr>
          </w:p>
        </w:tc>
      </w:tr>
      <w:tr>
        <w:trPr>
          <w:trHeight w:val="283"/>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tc>
        <w:tc>
          <w:tcPr>
            <w:tcW w:w="1420" w:type="dxa"/>
            <w:vAlign w:val="bottom"/>
          </w:tcPr>
          <w:p>
            <w:pPr>
              <w:spacing w:after="0"/>
              <w:rPr>
                <w:sz w:val="24"/>
                <w:szCs w:val="24"/>
                <w:color w:val="auto"/>
              </w:rPr>
            </w:pPr>
          </w:p>
        </w:tc>
      </w:tr>
    </w:tbl>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5"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7"/>
        </w:trPr>
        <w:tc>
          <w:tcPr>
            <w:tcW w:w="4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227"/>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EZPW</w:t>
            </w:r>
          </w:p>
        </w:tc>
        <w:tc>
          <w:tcPr>
            <w:tcW w:w="1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NASDAQ Stock Market</w:t>
            </w:r>
          </w:p>
        </w:tc>
        <w:tc>
          <w:tcPr>
            <w:tcW w:w="28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8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74"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8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699770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Item 5.02 — Departure of Directors or Certain Officers; Election of Directors; Appointment of Certain Officers; Compensatory Arrangements of Certain Officers</w:t>
      </w:r>
    </w:p>
    <w:p>
      <w:pPr>
        <w:spacing w:after="0" w:line="11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(b)(c)</w:t>
        <w:tab/>
        <w:t>Timothy K. Jugmans has been appointed Interim Chief Financial Officer (principal financial officer), effective September 1, 2020.</w:t>
      </w:r>
    </w:p>
    <w:p>
      <w:pPr>
        <w:spacing w:after="0" w:line="198"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color w:val="auto"/>
        </w:rPr>
        <w:t>Mr. Jugmans, age 44, has been serving as the Company’s Vice President, Treasury and M&amp;A since December 2016, having served as a consultant to the Company performing similar duties since March 2015. From January 2015 to December 2016, Mr. Jugmans was a principal of Selene Partners Inc., a financial consulting firm providing strategic advice and other business services to a variety of clients, including the Company and Morgan Schiff &amp; Co., Inc. Morgan Schiff &amp; Co., Inc. is a boutique investment banking services company wholly owned by Phillip E. Cohen, the beneficial owner of all of the Company’s Class B Voting Common Stock. Mr. Jugmans served as the Chief Financial Officer of Morgan Schiff &amp; Co., Inc. from April 2013 to December 2014, and was Chief Financial Officer of ShippingEasy, Inc. from July 2011 to April 2013. From April 2005 to June 2012, Mr. Jugmans was a Corporate Advisor at Lexicon Partners Pty Limited, an independent corporate advisory and consulting firm based in Sydney, Australia. He served in various analyst and senior analyst positions at boutique investment banks for seven years prior to that. Mr. Jugmans currently has no affiliation or relationship with Mr. Cohen (other than through his Company role) or any of Mr. Cohen’s non-EZCORP companies.</w:t>
      </w:r>
    </w:p>
    <w:p>
      <w:pPr>
        <w:spacing w:after="0" w:line="154" w:lineRule="exact"/>
        <w:rPr>
          <w:sz w:val="20"/>
          <w:szCs w:val="20"/>
          <w:color w:val="auto"/>
        </w:rPr>
      </w:pPr>
    </w:p>
    <w:p>
      <w:pPr>
        <w:ind w:left="660" w:right="100"/>
        <w:spacing w:after="0" w:line="312" w:lineRule="auto"/>
        <w:rPr>
          <w:sz w:val="20"/>
          <w:szCs w:val="20"/>
          <w:color w:val="auto"/>
        </w:rPr>
      </w:pPr>
      <w:r>
        <w:rPr>
          <w:rFonts w:ascii="Times New Roman" w:cs="Times New Roman" w:eastAsia="Times New Roman" w:hAnsi="Times New Roman"/>
          <w:sz w:val="17"/>
          <w:szCs w:val="17"/>
          <w:color w:val="auto"/>
        </w:rPr>
        <w:t>Mr. Jugmans received a Bachelor of Business degree, with a major in Finance and a minor in Mathematics, from the University of Technology in Sydney. He serves as a non-executive board member of Ratecity Pty Ltd., which operates one of Australia’s leading financial comparison sites.</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Interim Chief Financial Officer, Mr. Jugmans will receive the following compensation:</w:t>
      </w:r>
    </w:p>
    <w:p>
      <w:pPr>
        <w:spacing w:after="0" w:line="198" w:lineRule="exact"/>
        <w:rPr>
          <w:sz w:val="20"/>
          <w:szCs w:val="20"/>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base salary of $370,000.</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short-term incentive (STI) bonus target of 60% of base salary. The STI bonus for fiscal 2020 will be prorated for time in position.</w:t>
      </w:r>
    </w:p>
    <w:p>
      <w:pPr>
        <w:spacing w:after="0" w:line="196" w:lineRule="exact"/>
        <w:rPr>
          <w:rFonts w:ascii="Times New Roman" w:cs="Times New Roman" w:eastAsia="Times New Roman" w:hAnsi="Times New Roman"/>
          <w:sz w:val="17"/>
          <w:szCs w:val="17"/>
          <w:color w:val="auto"/>
        </w:rPr>
      </w:pPr>
    </w:p>
    <w:p>
      <w:pPr>
        <w:ind w:left="1300" w:right="180" w:hanging="320"/>
        <w:spacing w:after="0" w:line="266" w:lineRule="auto"/>
        <w:tabs>
          <w:tab w:leader="none" w:pos="12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long-term incentive (LTI) award target of 80% of base salary. Currently, the Company’s LTI awards are made in the form of performance-based restricted stock units that vest at the end of a three-year performance period subject to the achievement of specified performance goals based on net income and earnings per share.</w:t>
      </w:r>
    </w:p>
    <w:p>
      <w:pPr>
        <w:spacing w:after="0" w:line="148"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benefits generally made available to the Company’s executive officers, including severance of twelve months’ base salary on termination without cause.</w:t>
      </w:r>
    </w:p>
    <w:p>
      <w:pPr>
        <w:spacing w:after="0" w:line="121"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Mr. Jugmans succeeds Jason A. Kulas, who joined the Company as President and Chief Financial Officer in February 2020 and was promoted to Chief Executive Officer in July 2020.</w:t>
      </w: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EZCORP, INC.</w:t>
      </w:r>
    </w:p>
    <w:p>
      <w:pPr>
        <w:spacing w:after="0" w:line="117" w:lineRule="exact"/>
        <w:rPr>
          <w:sz w:val="20"/>
          <w:szCs w:val="20"/>
          <w:color w:val="auto"/>
        </w:rPr>
      </w:pPr>
    </w:p>
    <w:p>
      <w:pPr>
        <w:ind w:left="60"/>
        <w:spacing w:after="0"/>
        <w:tabs>
          <w:tab w:leader="none" w:pos="680" w:val="left"/>
          <w:tab w:leader="none" w:pos="6060" w:val="left"/>
          <w:tab w:leader="none" w:pos="6900" w:val="left"/>
        </w:tabs>
        <w:rPr>
          <w:sz w:val="20"/>
          <w:szCs w:val="20"/>
          <w:color w:val="auto"/>
        </w:rPr>
      </w:pPr>
      <w:r>
        <w:rPr>
          <w:rFonts w:ascii="Times New Roman" w:cs="Times New Roman" w:eastAsia="Times New Roman" w:hAnsi="Times New Roman"/>
          <w:sz w:val="18"/>
          <w:szCs w:val="18"/>
          <w:color w:val="auto"/>
        </w:rPr>
        <w:t>Date:</w:t>
        <w:tab/>
        <w:t>September 3,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34290</wp:posOffset>
            </wp:positionV>
            <wp:extent cx="27349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34945" cy="8890"/>
                    </a:xfrm>
                    <a:prstGeom prst="rect">
                      <a:avLst/>
                    </a:prstGeom>
                    <a:noFill/>
                  </pic:spPr>
                </pic:pic>
              </a:graphicData>
            </a:graphic>
          </wp:anchor>
        </w:drawing>
      </w:r>
    </w:p>
    <w:p>
      <w:pPr>
        <w:spacing w:after="0" w:line="5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Thomas H. Welch, Jr.</w:t>
      </w:r>
    </w:p>
    <w:p>
      <w:pPr>
        <w:spacing w:after="0" w:line="63"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Chief Legal Officer and Secretary</w:t>
      </w:r>
    </w:p>
    <w:sectPr>
      <w:pgSz w:w="11900" w:h="16838" w:orient="portrait"/>
      <w:cols w:equalWidth="0" w:num="1">
        <w:col w:w="11200"/>
      </w:cols>
      <w:pgMar w:left="320" w:top="104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2020-09-03T15:15:47Z</dcterms:created>
  <dcterms:modified xsi:type="dcterms:W3CDTF">2020-09-03T15:15:47Z</dcterms:modified>
</cp:coreProperties>
</file>