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CHISM DANIEL M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1901 CAPITAL PKWY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Assistant Secretary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11/16/2009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8"/>
        <w:gridCol w:w="904"/>
        <w:gridCol w:w="774"/>
        <w:gridCol w:w="600"/>
        <w:gridCol w:w="346"/>
        <w:gridCol w:w="837"/>
        <w:gridCol w:w="446"/>
        <w:gridCol w:w="751"/>
        <w:gridCol w:w="1150"/>
        <w:gridCol w:w="988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11/16/2009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2,500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55,750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11/16/2009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1,500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15.25</w:t>
            </w:r>
            <w:r>
              <w:rPr/>
              <w:t xml:space="preserve"> 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54,250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Non-Derivative Securities Beneficially Owned includes 9,250 unvested Restricted Stock Awards. The Total Non-Derivative Securities Beneficially Owned does not include 1,200 Derivative Securities currently held by Reporting Person.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Laura Jones Attorny-in-Fact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11/16/2009</w:t>
            </w:r>
          </w:p>
        </w:tc>
      </w:tr>
      <w:tr>
        <w:trPr/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19755" TargetMode="External"/><Relationship Id="rId4" Type="http://schemas.openxmlformats.org/officeDocument/2006/relationships/hyperlink" Target="http://www.sec.gov/cgi-bin/browse-edgar?action=getcompany&amp;CIK=00008765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561</Words>
  <CharactersWithSpaces>3591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