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16,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16, 2022, EZCORP, Inc. ("EZCORP") issued a press release announcing its results of operations and financial condition for the full year and quarter ended September 30, 2022. A copy of that press release is attached as Exhibit 99.1.</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Change in Control Severance Plan</w:t>
      </w:r>
    </w:p>
    <w:p>
      <w:pPr>
        <w:spacing w:after="0" w:line="17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 xml:space="preserve">On November 15, 2022, the Board of Directors approved and adopted the EZCORP, Inc. Change in Control Severance Plan (the "CIC Severance Plan"), under which certain of the Company's executives (including the continuing executive officers other than Phillip E. Cohen, Executive Chairman and controlling shareholder) will be entitled to receive certain severance benefits. The severance benefits would be available to any executive participating in the CIC Severance Plan if (1) the executive's employment is either terminated by the Company for any reason other than "Cause" or terminated by the executive for "Good Reason" </w:t>
      </w:r>
      <w:r>
        <w:rPr>
          <w:rFonts w:ascii="Times New Roman" w:cs="Times New Roman" w:eastAsia="Times New Roman" w:hAnsi="Times New Roman"/>
          <w:sz w:val="18"/>
          <w:szCs w:val="18"/>
          <w:i w:val="1"/>
          <w:iCs w:val="1"/>
          <w:u w:val="single" w:color="auto"/>
          <w:color w:val="auto"/>
        </w:rPr>
        <w:t>and</w:t>
      </w:r>
      <w:r>
        <w:rPr>
          <w:rFonts w:ascii="Times New Roman" w:cs="Times New Roman" w:eastAsia="Times New Roman" w:hAnsi="Times New Roman"/>
          <w:sz w:val="18"/>
          <w:szCs w:val="18"/>
          <w:color w:val="auto"/>
        </w:rPr>
        <w:t xml:space="preserve"> (2) such termination of employment occurs within two years after a "Change in Control" of the Company or prior to, but in connection with, a potential Change in Control. Such a termination of employment is referred to in the CIC Severance Plan as a "Qualifying Termination."</w:t>
      </w:r>
    </w:p>
    <w:p>
      <w:pPr>
        <w:spacing w:after="0" w:line="135"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If an executive experiences a Qualifying Termination, then they will be entitled to receive an amount equal to the executive's "Applicable Multiple" multiplied by the sum of (1) the executive's annual base salary plus (2) the executive's annual incentive bonus assuming such bonus was paid at the "Target Amount" designated in the applicable bonus plan. In addition, the executive will be entitled to receive a pro rated portion of their annual incentive bonus (calculated at Target Amount) for the year in which the termination of employment occurs, and will be entitled to continued healthcare, dental and life insurance benefits for the number of years equal to their Applicable Multiple.</w:t>
      </w:r>
    </w:p>
    <w:p>
      <w:pPr>
        <w:spacing w:after="0" w:line="129"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Board of Directors also adopted, and the Company’s Voting Stockholder approved, amendments to the Company’s 2022 Long-Term Incentive Plan and all outstanding long-term incentive equity awards to provide that all of the holder’s outstanding unvested equity awards will become fully vested upon the occurrence of a Qualifying Termination (assuming, in the case of performance-based awards, all related performance goals or other vesting criteria are achieved at target levels).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defined terms used in the CIC Severance Plan:</w:t>
      </w:r>
    </w:p>
    <w:p>
      <w:pPr>
        <w:spacing w:after="0" w:line="169" w:lineRule="exact"/>
        <w:rPr>
          <w:sz w:val="20"/>
          <w:szCs w:val="20"/>
          <w:color w:val="auto"/>
        </w:rPr>
      </w:pPr>
    </w:p>
    <w:p>
      <w:pPr>
        <w:ind w:left="1300" w:right="20" w:hanging="644"/>
        <w:spacing w:after="0" w:line="257"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 With respect to any executive, includes (1) the executive's willful failure to perform their duties or the willful engagement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misconduct in the performance of such duties, (2) the executive's willful failure to comply with any valid and legal directive of their superior, (3) the executive's conviction, or entering into a plea of either guilty or nolo contendere to, any felony or any misdemeanor involving material acts of moral turpitude, embezzlement, theft or other similar act, (4) the executive's willful and material violation of any policy of the Company (including the Company's Code of Conduct) or (5) the executive's willful and material violation of the restrictive covenant agreement between the executive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 w:name="page3"/>
    <w:bookmarkEnd w:id="2"/>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 The occurrence of any of the following events:</w:t>
      </w:r>
    </w:p>
    <w:p>
      <w:pPr>
        <w:spacing w:after="0" w:line="173" w:lineRule="exact"/>
        <w:rPr>
          <w:rFonts w:ascii="Times New Roman" w:cs="Times New Roman" w:eastAsia="Times New Roman" w:hAnsi="Times New Roman"/>
          <w:sz w:val="18"/>
          <w:szCs w:val="18"/>
          <w:color w:val="auto"/>
        </w:rPr>
      </w:pPr>
    </w:p>
    <w:p>
      <w:pPr>
        <w:ind w:left="1304" w:right="100" w:hanging="656"/>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entity or group becomes the beneficial owner of 50% or more of the combined voting power of the outstanding Company voting securities;</w:t>
      </w:r>
    </w:p>
    <w:p>
      <w:pPr>
        <w:spacing w:after="0" w:line="107" w:lineRule="exact"/>
        <w:rPr>
          <w:rFonts w:ascii="Times New Roman" w:cs="Times New Roman" w:eastAsia="Times New Roman" w:hAnsi="Times New Roman"/>
          <w:sz w:val="18"/>
          <w:szCs w:val="18"/>
          <w:color w:val="auto"/>
        </w:rPr>
      </w:pPr>
    </w:p>
    <w:p>
      <w:pPr>
        <w:ind w:left="1304" w:right="20" w:hanging="656"/>
        <w:spacing w:after="0" w:line="258"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similar transaction involving the Company, a sale or other disposition of all or substantially all the assets of the Company or the acquisition by the Company of assets or securities of another entity, unless in any such case, the persons who were the beneficial owners of the Company's voting securities immediately prior to such transaction beneficially own more than 50% of the outstanding voting securities of the entity resulting from such transaction; or</w:t>
      </w:r>
    </w:p>
    <w:p>
      <w:pPr>
        <w:spacing w:after="0" w:line="129"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171" w:lineRule="exact"/>
        <w:rPr>
          <w:sz w:val="20"/>
          <w:szCs w:val="20"/>
          <w:color w:val="auto"/>
        </w:rPr>
      </w:pPr>
    </w:p>
    <w:p>
      <w:pPr>
        <w:ind w:left="644" w:right="280"/>
        <w:spacing w:after="0" w:line="266" w:lineRule="auto"/>
        <w:rPr>
          <w:sz w:val="20"/>
          <w:szCs w:val="20"/>
          <w:color w:val="auto"/>
        </w:rPr>
      </w:pPr>
      <w:r>
        <w:rPr>
          <w:rFonts w:ascii="Times New Roman" w:cs="Times New Roman" w:eastAsia="Times New Roman" w:hAnsi="Times New Roman"/>
          <w:sz w:val="18"/>
          <w:szCs w:val="18"/>
          <w:color w:val="auto"/>
        </w:rPr>
        <w:t>Notwithstanding the foregoing, any acquisition or beneficial ownership of outstanding Company voting securities by, or transfer of outstanding Company voting securities to, Mr. Cohen or any of his heirs or any entity owned or controlled by Mr. Cohen or any of his heirs, shall not constitute a Change in Control.</w:t>
      </w:r>
    </w:p>
    <w:p>
      <w:pPr>
        <w:spacing w:after="0" w:line="120" w:lineRule="exact"/>
        <w:rPr>
          <w:sz w:val="20"/>
          <w:szCs w:val="20"/>
          <w:color w:val="auto"/>
        </w:rPr>
      </w:pPr>
    </w:p>
    <w:p>
      <w:pPr>
        <w:ind w:left="644" w:right="80" w:hanging="644"/>
        <w:spacing w:after="0" w:line="256" w:lineRule="auto"/>
        <w:tabs>
          <w:tab w:leader="none" w:pos="6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 With respect to any executive, any of the following actions taken without the executive's written consent: (1)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is assigned duties materially inconsistent with the executive's position, duties, responsibilities and status preceding the Change in Control; (2) the executive's position, authority, duties or responsibilities are materially diminished from those in effect prior to the Change in Control; (3) a material reduction in the executive's compensation opportunity; (4) the Company requires the executive to perform their duties beyond a 50-mile radius from the location of the executive's employment prior to the Change in Control; (5) the Company fails to obtain a satisfactory agreement from any successor to assume and perform the CIC Severance Plan; or (6) any other action or inaction that constitutes a material breach by the Company of the CIC Severance Plan with respect to such executive.</w:t>
      </w:r>
    </w:p>
    <w:p>
      <w:pPr>
        <w:spacing w:after="0" w:line="131"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The participants in the CIC Severance Plan will include (1) any person, other than Mr. Cohen, who is serving as an executive officer of the Company (unless the Board of Directors specifically specifies that such person will not be a participant) and (2) any other Company employee who has been designated by the Board of Directors as a participant.</w:t>
      </w:r>
    </w:p>
    <w:p>
      <w:pPr>
        <w:spacing w:after="0" w:line="12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CIC Severance Plan will expire on the third anniversary of the effective date (i.e., November 15, 2025) unless (1) a Change in Control has occurred prior to that time or (2) the Board of Directors specifically elects to extend the CIC Severance Plan for an additional period not to exceed three years. In addition, the Board of Directors may amend, modify, suspend or terminate the CIC Severance Plan at any time; provided, however, that any such amendment, modification, suspension or termination made in anticipation of a Change in Control or within two years after the occurrence of a Change in Control may not adversely affect the rights of any participant under the CIC Severance Plan.</w:t>
      </w:r>
    </w:p>
    <w:p>
      <w:pPr>
        <w:spacing w:after="0" w:line="129"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7"/>
          <w:szCs w:val="17"/>
          <w:color w:val="auto"/>
        </w:rPr>
        <w:t>Each of the continuing Named Executive Officers (other than Mr. Cohen and Thomas H. Welch, Jr., who is retiring from the Company effective December 31, 2022) is a participant in the CIC Severance Plan with an Applicable Multiple of 2. Other executive officers have an Applicable Multiple of 1.5. For a description of the amounts of severance benefits that would have been payable under the CIC Severance Plan to each of the Named Executive Officers if a Qualifying Termination had occurred on September 30, 2022, see the “Part III, Item 11 — Executive Compensation</w:t>
      </w:r>
    </w:p>
    <w:p>
      <w:pPr>
        <w:spacing w:after="0" w:line="3"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 Other Benefits and Perquisites — Certain Termination and Change in Control Benefits” in the Company’s Annual Report on Form 10-K for the year ended September 30, 2022 (the “Fiscal 2022 Form 10-K).</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copy of the CIC Severance Plan is filed as Exhibit 10.6 to the Fiscal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105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15, 2022, the sole holder of the Company’s Class B Voting Common Stock (the “Voting Stockholder”) approved certain amendments to the 2022 Long-Term Incentive Plan (applicable to long-term incentive equity awards issued from and after January 31, 2022) and the 2010 Long-Term Incentive Plan (applicable to currently outstanding long-term incentive equity awards that were issued on or before December 31, 2021) to conform the provisions of such plans to the CIC Severance Plan and to provide for acceleration of vesting upon the occurrence of a Qualifying Termination for all future and currently outstanding long-term incentive equity awards (as discussed above). A copy of the Amended and Restated 2022 Long-Term Incentive Plan is filed as Exhibit 10.5 to the Fiscal 2022 Form 10-K, and a copy of the Amendment to the 2010 Long-Term Incentive Plan is filed as Exhibit 10.7 to the Fiscal 2022 Form 10-K.</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November 15, 2022, there were 2,970,171 shares of the Company’s Class B Voting Common Stock outstanding, all of which are held by MS Pawn Limited Partnership (the Voting Stockholder).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November 17, 2022) will be posted in the Investor Relations section of the company’s website at www.ezcorp.com.</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116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16, 2022, announcing EZCORP, Inc.’s results of operations and financial condition for the quarter ended September 30, 2022.</w:t>
      </w:r>
    </w:p>
    <w:p>
      <w:pPr>
        <w:spacing w:after="0" w:line="1" w:lineRule="exact"/>
        <w:rPr>
          <w:sz w:val="20"/>
          <w:szCs w:val="20"/>
          <w:color w:val="auto"/>
        </w:rPr>
      </w:pPr>
    </w:p>
    <w:p>
      <w:pPr>
        <w:ind w:left="720" w:right="1240" w:hanging="525"/>
        <w:spacing w:after="0" w:line="242"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r:id="rId11">
        <w:r>
          <w:rPr>
            <w:rFonts w:ascii="Times New Roman" w:cs="Times New Roman" w:eastAsia="Times New Roman" w:hAnsi="Times New Roman"/>
            <w:sz w:val="18"/>
            <w:szCs w:val="18"/>
            <w:u w:val="single" w:color="auto"/>
            <w:color w:val="0000FF"/>
          </w:rPr>
          <w:t>EZCORP, Inc. Change in Control Severance Plan, effective November 15, 2022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Company’s Annual Report on Form 10-K for the year ended September 30, 2022)</w:t>
        </w:r>
      </w:hyperlink>
    </w:p>
    <w:p>
      <w:pPr>
        <w:spacing w:after="0" w:line="1" w:lineRule="exact"/>
        <w:rPr>
          <w:sz w:val="20"/>
          <w:szCs w:val="20"/>
          <w:color w:val="auto"/>
        </w:rPr>
      </w:pPr>
    </w:p>
    <w:p>
      <w:pPr>
        <w:ind w:left="720" w:right="1080" w:hanging="525"/>
        <w:spacing w:after="0" w:line="242"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99.3</w:t>
      </w:r>
      <w:r>
        <w:rPr>
          <w:sz w:val="20"/>
          <w:szCs w:val="20"/>
          <w:color w:val="auto"/>
        </w:rPr>
        <w:tab/>
      </w:r>
      <w:hyperlink r:id="rId12">
        <w:r>
          <w:rPr>
            <w:rFonts w:ascii="Times New Roman" w:cs="Times New Roman" w:eastAsia="Times New Roman" w:hAnsi="Times New Roman"/>
            <w:sz w:val="18"/>
            <w:szCs w:val="18"/>
            <w:u w:val="single" w:color="auto"/>
            <w:color w:val="0000FF"/>
          </w:rPr>
          <w:t>Amended and Restated EZCORP, Inc. 2022 Long-Term Incentive Plan, effective November 15, 2022 (incorporated by reference to</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Exhibit 10.5 to the Company’s Annual Report on Form 10-K for the year ended September 30, 2022)</w:t>
        </w:r>
      </w:hyperlink>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99.4</w:t>
      </w:r>
      <w:r>
        <w:rPr>
          <w:sz w:val="20"/>
          <w:szCs w:val="20"/>
          <w:color w:val="auto"/>
        </w:rPr>
        <w:tab/>
      </w:r>
      <w:hyperlink r:id="rId13">
        <w:r>
          <w:rPr>
            <w:rFonts w:ascii="Times New Roman" w:cs="Times New Roman" w:eastAsia="Times New Roman" w:hAnsi="Times New Roman"/>
            <w:sz w:val="17"/>
            <w:szCs w:val="17"/>
            <w:u w:val="single" w:color="auto"/>
            <w:color w:val="0000FF"/>
          </w:rPr>
          <w:t>Amendment to EZCORP, Inc. 2010 Long-Term Incentive Plan, effective November 15, 2022 (incorporated by reference to Exhibit</w:t>
        </w:r>
      </w:hyperlink>
    </w:p>
    <w:p>
      <w:pPr>
        <w:spacing w:after="0" w:line="1"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10.7 to the Company’s Annual Report on Form 10-K for the year ended September 30, 2022)</w:t>
        </w:r>
      </w:hyperlink>
    </w:p>
    <w:p>
      <w:pPr>
        <w:spacing w:after="0" w:line="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2022</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4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40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049" w:right="339" w:bottom="1440" w:gutter="0" w:footer="0" w:header="0"/>
        </w:sectPr>
      </w:pPr>
    </w:p>
    <w:bookmarkStart w:id="4" w:name="page5"/>
    <w:bookmarkEnd w:id="4"/>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Reports Fourth Quarter and Full Year 2022 Results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Record Year End Pawn Loans Outstanding Driving Revenue and Earnings Growth</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Austin, Texas (November 16, 2022)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fourth quarter and full year ended September 30, 2022.</w:t>
      </w:r>
    </w:p>
    <w:p>
      <w:pPr>
        <w:spacing w:after="0" w:line="10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HIGHLIGHTS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Pawn loans outstanding (PLO) up 19% to a record-high of $210.0 million.</w:t>
      </w:r>
    </w:p>
    <w:p>
      <w:pPr>
        <w:spacing w:after="0" w:line="171" w:lineRule="exact"/>
        <w:rPr>
          <w:rFonts w:ascii="Arial" w:cs="Arial" w:eastAsia="Arial" w:hAnsi="Arial"/>
          <w:sz w:val="18"/>
          <w:szCs w:val="18"/>
          <w:color w:val="auto"/>
        </w:rPr>
      </w:pPr>
    </w:p>
    <w:p>
      <w:pPr>
        <w:ind w:left="660" w:right="200" w:hanging="328"/>
        <w:spacing w:after="0" w:line="23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increased 21% for the quarter and for the full year, while gross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15% for the quarter and 18% for the full year.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targeted range at 37% for the quarter and 38% for the full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for the quarter was $7.3 million, an increase of $5.8 million, and $50.2 million for the year, an increase of $41.5 million.</w:t>
      </w:r>
    </w:p>
    <w:p>
      <w:pPr>
        <w:spacing w:after="0" w:line="171" w:lineRule="exact"/>
        <w:rPr>
          <w:rFonts w:ascii="Arial" w:cs="Arial" w:eastAsia="Arial" w:hAnsi="Arial"/>
          <w:sz w:val="18"/>
          <w:szCs w:val="18"/>
          <w:color w:val="auto"/>
        </w:rPr>
      </w:pPr>
    </w:p>
    <w:p>
      <w:pPr>
        <w:jc w:val="both"/>
        <w:ind w:left="660" w:right="120" w:hanging="328"/>
        <w:spacing w:after="0" w:line="23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of $0.11 for the quarter was up from $0.03 and for the year was $0.70 up significantly from $0.15. On an adjusted basis</w:t>
      </w:r>
      <w:r>
        <w:rPr>
          <w:rFonts w:ascii="Arial" w:cs="Arial" w:eastAsia="Arial" w:hAnsi="Arial"/>
          <w:sz w:val="23"/>
          <w:szCs w:val="23"/>
          <w:color w:val="auto"/>
          <w:vertAlign w:val="superscript"/>
        </w:rPr>
        <w:t>2</w:t>
      </w:r>
      <w:r>
        <w:rPr>
          <w:rFonts w:ascii="Arial" w:cs="Arial" w:eastAsia="Arial" w:hAnsi="Arial"/>
          <w:sz w:val="18"/>
          <w:szCs w:val="18"/>
          <w:color w:val="auto"/>
        </w:rPr>
        <w:t>, diluted earnings per share for the quarter was $0.15, compared to $0.11, and for the year was $0.75, compared to $0.38.</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on earning assets (ROEA) remains strong at 155% for the quarter and 167% for the full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23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Chief Executive Officer Lachie Given stated, “We continue to execute on our three-year strategic plan and closed the fiscal year with another outstanding quarter. PLO hit a record high driving increases in pawn service charges. Strong sales margins with a relentless focus on optimizing store operating costs translated into a significant increase in earnings for the fourth quarter and full year. Inflation and other economic pressures have had a significant impact on our customers' finances, and we are able to help them by providing a unique and essential service to address their short-term cash needs. In addition, we provide an environmentally friendly retail experience at our neighborhood re-commerce stores for our expanding customer base of environmentally and cost-conscious consumers.</w:t>
      </w:r>
    </w:p>
    <w:p>
      <w:pPr>
        <w:spacing w:after="0" w:line="20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“During the fourth quarter, we opened 16 de novo stores in Latin America bringing the total for 2022 to 28. In the US, we acquired three stores during fiscal 2022 and another nine stores in the Houston, Texas area after the end of the year. The rollout of the EZ+ Rewards program continues to be a success, now yielding 1.9 million members across all geographies.</w:t>
      </w:r>
    </w:p>
    <w:p>
      <w:pPr>
        <w:spacing w:after="0" w:line="18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are pleased that our strong cash flow and balance sheet has enabled us to return value to shareholders through share repurchases of $3.0 million as of November 15.</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quarter we celebrated a team member appreciation week, created engagement action plans on both the enterprise level and team level, and conducted leadership workshop sessions to improve bench strength. We believe we have the best, most passionate, productive team members and we are focused on recruitment, retention and incentivization. They are responsible for delivering the operating performance that underpins our strong financial results,” concluded Given.</w:t>
      </w:r>
    </w:p>
    <w:p>
      <w:pPr>
        <w:sectPr>
          <w:pgSz w:w="11900" w:h="16838" w:orient="portrait"/>
          <w:cols w:equalWidth="0" w:num="1">
            <w:col w:w="11200"/>
          </w:cols>
          <w:pgMar w:left="320" w:top="1440"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CONSOLIDATED RESULTS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2</w:t>
            </w:r>
          </w:p>
        </w:tc>
        <w:tc>
          <w:tcPr>
            <w:tcW w:w="840" w:type="dxa"/>
            <w:vAlign w:val="bottom"/>
            <w:tcBorders>
              <w:bottom w:val="single" w:sz="8" w:color="auto"/>
            </w:tcBorders>
          </w:tcPr>
          <w:p>
            <w:pPr>
              <w:spacing w:after="0"/>
              <w:rPr>
                <w:sz w:val="21"/>
                <w:szCs w:val="2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48"/>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192.4</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192.4</w:t>
            </w:r>
          </w:p>
        </w:tc>
      </w:tr>
      <w:tr>
        <w:trPr>
          <w:trHeight w:val="217"/>
        </w:trPr>
        <w:tc>
          <w:tcPr>
            <w:tcW w:w="5700" w:type="dxa"/>
            <w:vAlign w:val="bottom"/>
          </w:tcPr>
          <w:p>
            <w:pPr>
              <w:spacing w:after="0" w:line="218"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119.3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502"/>
        </w:trPr>
        <w:tc>
          <w:tcPr>
            <w:tcW w:w="5700" w:type="dxa"/>
            <w:vAlign w:val="bottom"/>
          </w:tcPr>
          <w:p>
            <w:pPr>
              <w:spacing w:after="0"/>
              <w:rPr>
                <w:sz w:val="20"/>
                <w:szCs w:val="20"/>
                <w:color w:val="auto"/>
              </w:rPr>
            </w:pPr>
            <w:r>
              <w:rPr>
                <w:rFonts w:ascii="Arial" w:cs="Arial" w:eastAsia="Arial" w:hAnsi="Arial"/>
                <w:sz w:val="16"/>
                <w:szCs w:val="16"/>
                <w:b w:val="1"/>
                <w:bCs w:val="1"/>
                <w:color w:val="auto"/>
              </w:rPr>
              <w:t>Twelve Months Ended September 30</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39"/>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886.2</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729.6</w:t>
            </w:r>
          </w:p>
        </w:tc>
        <w:tc>
          <w:tcPr>
            <w:tcW w:w="44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887.4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729.6</w:t>
            </w:r>
          </w:p>
        </w:tc>
      </w:tr>
      <w:tr>
        <w:trPr>
          <w:trHeight w:val="226"/>
        </w:trPr>
        <w:tc>
          <w:tcPr>
            <w:tcW w:w="5700" w:type="dxa"/>
            <w:vAlign w:val="bottom"/>
          </w:tcPr>
          <w:p>
            <w:pPr>
              <w:spacing w:after="0" w:line="226"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449.5</w:t>
            </w:r>
          </w:p>
        </w:tc>
        <w:tc>
          <w:tcPr>
            <w:tcW w:w="44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528.7</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449.5</w:t>
            </w: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66.4</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68.2</w:t>
            </w:r>
          </w:p>
        </w:tc>
      </w:tr>
    </w:tbl>
    <w:p>
      <w:pPr>
        <w:spacing w:after="0" w:line="226" w:lineRule="exact"/>
        <w:rPr>
          <w:sz w:val="20"/>
          <w:szCs w:val="20"/>
          <w:color w:val="auto"/>
        </w:rPr>
      </w:pPr>
    </w:p>
    <w:p>
      <w:pPr>
        <w:ind w:left="660" w:right="24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were $0.11 for the fourth quarter, up from $0.03. On an adjusted basis, diluted earnings per share were $0.15, up from $0.11. For the full year, diluted earnings per share was $0.70, compared to $0.15. On an adjusted basis, diluted earnings per share for the year were $0.75, compared to $0.38.</w:t>
      </w:r>
    </w:p>
    <w:p>
      <w:pPr>
        <w:spacing w:after="0" w:line="107" w:lineRule="exact"/>
        <w:rPr>
          <w:rFonts w:ascii="Arial" w:cs="Arial" w:eastAsia="Arial" w:hAnsi="Arial"/>
          <w:sz w:val="18"/>
          <w:szCs w:val="18"/>
          <w:color w:val="auto"/>
        </w:rPr>
      </w:pPr>
    </w:p>
    <w:p>
      <w:pPr>
        <w:jc w:val="both"/>
        <w:ind w:left="660" w:right="360" w:hanging="328"/>
        <w:spacing w:after="0" w:line="268"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fourth quarter, income before taxes improved to $13.2 million from $4.5 million, while adjusted EBITDA increased 33% to $24.6 million. For the full year, income before taxes improved to $67.7 million from $16.1 million and adjusted EBITDA increased 66% to $112.9 million.</w:t>
      </w:r>
    </w:p>
    <w:p>
      <w:pPr>
        <w:spacing w:after="0" w:line="116" w:lineRule="exact"/>
        <w:rPr>
          <w:rFonts w:ascii="Arial" w:cs="Arial" w:eastAsia="Arial" w:hAnsi="Arial"/>
          <w:sz w:val="18"/>
          <w:szCs w:val="18"/>
          <w:color w:val="auto"/>
        </w:rPr>
      </w:pPr>
    </w:p>
    <w:p>
      <w:pPr>
        <w:ind w:left="660" w:right="540" w:hanging="328"/>
        <w:spacing w:after="0" w:line="23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PLO increased 19% to $210.0 million, up $34.1 million. On a same-store basis</w:t>
      </w:r>
      <w:r>
        <w:rPr>
          <w:rFonts w:ascii="Arial" w:cs="Arial" w:eastAsia="Arial" w:hAnsi="Arial"/>
          <w:sz w:val="23"/>
          <w:szCs w:val="23"/>
          <w:color w:val="auto"/>
          <w:vertAlign w:val="superscript"/>
        </w:rPr>
        <w:t>3</w:t>
      </w:r>
      <w:r>
        <w:rPr>
          <w:rFonts w:ascii="Arial" w:cs="Arial" w:eastAsia="Arial" w:hAnsi="Arial"/>
          <w:sz w:val="18"/>
          <w:szCs w:val="18"/>
          <w:color w:val="auto"/>
        </w:rPr>
        <w:t>, PLO increased 19% to its highest level due to increased loan demand reflecting continuing recovery above pre-COVID levels.</w:t>
      </w:r>
    </w:p>
    <w:p>
      <w:pPr>
        <w:spacing w:after="0" w:line="140" w:lineRule="exact"/>
        <w:rPr>
          <w:rFonts w:ascii="Arial" w:cs="Arial" w:eastAsia="Arial" w:hAnsi="Arial"/>
          <w:sz w:val="18"/>
          <w:szCs w:val="18"/>
          <w:color w:val="auto"/>
        </w:rPr>
      </w:pPr>
    </w:p>
    <w:p>
      <w:pPr>
        <w:ind w:left="660" w:right="40" w:hanging="328"/>
        <w:spacing w:after="0" w:line="318" w:lineRule="auto"/>
        <w:tabs>
          <w:tab w:leader="none" w:pos="669"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fourth quarter, total revenues increased 21% and gross profit increased 15%, reflecting improved pawn service charge (PSC) revenue and merchandise sales gross profit. Similarly for the full year, total revenues increased 21% and gross profit increased 18%.</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PSC increased 21% in the fourth quarter and 23% for the year as a result of higher average PLO.</w:t>
      </w:r>
    </w:p>
    <w:p>
      <w:pPr>
        <w:spacing w:after="0" w:line="171" w:lineRule="exact"/>
        <w:rPr>
          <w:rFonts w:ascii="Arial" w:cs="Arial" w:eastAsia="Arial" w:hAnsi="Arial"/>
          <w:sz w:val="18"/>
          <w:szCs w:val="18"/>
          <w:color w:val="auto"/>
        </w:rPr>
      </w:pPr>
    </w:p>
    <w:p>
      <w:pPr>
        <w:ind w:left="660" w:right="340" w:hanging="328"/>
        <w:spacing w:after="0" w:line="268"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targeted range at 37%, reflecting our commitment to improving the core business by decreasing aged general merchandise (less than 1% of total general merchandise inventory) and focusing on selling inventory in the first 90 days. For the full year, merchandise sales gross profit margin was 38%, compared to 42%.</w:t>
      </w:r>
    </w:p>
    <w:p>
      <w:pPr>
        <w:spacing w:after="0" w:line="116" w:lineRule="exact"/>
        <w:rPr>
          <w:rFonts w:ascii="Arial" w:cs="Arial" w:eastAsia="Arial" w:hAnsi="Arial"/>
          <w:sz w:val="18"/>
          <w:szCs w:val="18"/>
          <w:color w:val="auto"/>
        </w:rPr>
      </w:pPr>
    </w:p>
    <w:p>
      <w:pPr>
        <w:ind w:left="660" w:right="120" w:hanging="328"/>
        <w:spacing w:after="0" w:line="28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inventory increased 37%, reflecting a return towards normalized inventory levels. Inventory turnover remained strong at 2.6x for the quarter, down from 2.8x and decreased from 2.9x to 2.8x for the year.</w:t>
      </w:r>
    </w:p>
    <w:p>
      <w:pPr>
        <w:spacing w:after="0" w:line="98"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fourth quarter, store expenses increased 8%, primarily due to increased labor in-line with store activity and rent associated with lease renewals. On a same-store basis, store expenses increased 7%. In addition, general and administrative expenses increased 14%, primarily due to asset write-downs associated with IT infrastructure migration and corporate office sublease. For the full year, store expenses increased 8%, primarily due to increased labor in-line with store activity and rent associated with lease renewals. On a same-store basis, store expenses increased 4%. In addition, general and administrative expenses for the year increased 14%, primarily due to asset write-downs associated with IT infrastructure migration and corporate office sublease, litigation accrual, increased labor and software licensing costs.</w:t>
      </w:r>
    </w:p>
    <w:p>
      <w:pPr>
        <w:spacing w:after="0" w:line="128" w:lineRule="exact"/>
        <w:rPr>
          <w:rFonts w:ascii="Arial" w:cs="Arial" w:eastAsia="Arial" w:hAnsi="Arial"/>
          <w:sz w:val="18"/>
          <w:szCs w:val="18"/>
          <w:color w:val="auto"/>
        </w:rPr>
      </w:pPr>
    </w:p>
    <w:p>
      <w:pPr>
        <w:ind w:left="660" w:right="100" w:hanging="328"/>
        <w:spacing w:after="0" w:line="28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was $206.0 million, down 19% year-over-year. The decrease is primarily due to the increase in PLO and inventory, the acquisition of new stores, and strategic investments.</w:t>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PLO continued to increase, ending the year at $163.5 million, up 20% and on a same store basis.</w:t>
      </w:r>
    </w:p>
    <w:p>
      <w:pPr>
        <w:spacing w:after="0" w:line="171" w:lineRule="exact"/>
        <w:rPr>
          <w:rFonts w:ascii="Arial" w:cs="Arial" w:eastAsia="Arial" w:hAnsi="Arial"/>
          <w:sz w:val="18"/>
          <w:szCs w:val="18"/>
          <w:color w:val="auto"/>
        </w:rPr>
      </w:pPr>
    </w:p>
    <w:p>
      <w:pPr>
        <w:ind w:left="660" w:right="160" w:hanging="328"/>
        <w:spacing w:after="0" w:line="268"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fourth quarter, total revenue was up 25% and gross profit increased 18%, reflecting increasing PSC, higher sales and improved merchandise sales gross profit. For the full year, total revenues increased 19% and gross profit increased 16%, reflecting higher average PLO for the year driving higher PSC.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increased 25% in the fourth quarter and 22% for the year as a result of higher average PLO.</w:t>
      </w:r>
    </w:p>
    <w:p>
      <w:pPr>
        <w:spacing w:after="0" w:line="171" w:lineRule="exact"/>
        <w:rPr>
          <w:rFonts w:ascii="Arial" w:cs="Arial" w:eastAsia="Arial" w:hAnsi="Arial"/>
          <w:sz w:val="18"/>
          <w:szCs w:val="18"/>
          <w:color w:val="auto"/>
        </w:rPr>
      </w:pPr>
    </w:p>
    <w:p>
      <w:pPr>
        <w:ind w:left="660" w:hanging="328"/>
        <w:spacing w:after="0" w:line="268"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fourth quarter, merchandise sales gross margin decreased to 40% from 43%. For the year, merchandise sales gross profit gross margins decreased 300 bps to 41%, reflecting a focus on improving retailing and lower levels of aged general merchandise inventory (which continues to be less than 1% of total merchandise inventory).</w:t>
      </w:r>
    </w:p>
    <w:p>
      <w:pPr>
        <w:spacing w:after="0" w:line="116" w:lineRule="exact"/>
        <w:rPr>
          <w:rFonts w:ascii="Arial" w:cs="Arial" w:eastAsia="Arial" w:hAnsi="Arial"/>
          <w:sz w:val="18"/>
          <w:szCs w:val="18"/>
          <w:color w:val="auto"/>
        </w:rPr>
      </w:pPr>
    </w:p>
    <w:p>
      <w:pPr>
        <w:ind w:left="660" w:right="80" w:hanging="328"/>
        <w:spacing w:after="0" w:line="287"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inventory increased 40% reflecting a return towards normalized inventory levels. Inventory turnover decreased to 2.5x from 2.7x in the quarter and decreased to 2.6x from 2.7x for the year.</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fourth quarter, store expenses increased 9%, primarily due to increased labor in-line with store activity and rent associated with lease renewals. Similarly for the full year, store expenses increased 5% (4% on a same store basis).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Segment contribution increased 49% to $31.0 million in the fourth quarter and increased 51% to $129.1 million for the year.</w:t>
      </w:r>
    </w:p>
    <w:p>
      <w:pPr>
        <w:spacing w:after="0" w:line="171" w:lineRule="exact"/>
        <w:rPr>
          <w:rFonts w:ascii="Arial" w:cs="Arial" w:eastAsia="Arial" w:hAnsi="Arial"/>
          <w:sz w:val="18"/>
          <w:szCs w:val="18"/>
          <w:color w:val="auto"/>
        </w:rPr>
      </w:pPr>
    </w:p>
    <w:p>
      <w:pPr>
        <w:ind w:left="660" w:right="80" w:hanging="328"/>
        <w:spacing w:after="0" w:line="287"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Segment store count decreased by one store due to the net impact of the acquisition of three stores and consolidation of four stores during the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240" w:hanging="328"/>
        <w:spacing w:after="0" w:line="28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PLO improved to $46.6 million, up 17% (15% on constant currency basis). On a same store basis, PLO increased 15% (13% on a constant currency basis).</w:t>
      </w:r>
    </w:p>
    <w:p>
      <w:pPr>
        <w:spacing w:after="0" w:line="98" w:lineRule="exact"/>
        <w:rPr>
          <w:rFonts w:ascii="Arial" w:cs="Arial" w:eastAsia="Arial" w:hAnsi="Arial"/>
          <w:sz w:val="18"/>
          <w:szCs w:val="18"/>
          <w:color w:val="auto"/>
        </w:rPr>
      </w:pPr>
    </w:p>
    <w:p>
      <w:pPr>
        <w:jc w:val="both"/>
        <w:ind w:left="660" w:right="40" w:hanging="328"/>
        <w:spacing w:after="0" w:line="26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total revenue was up 13% and on a constant currency basis, while gross profit increased 8% and on a constant currency basis. For the year, total revenues were up 30% and on a constant currency basis, while gross profit increased by 23% and on a constant currency basis.</w:t>
      </w:r>
    </w:p>
    <w:p>
      <w:pPr>
        <w:spacing w:after="0" w:line="116" w:lineRule="exact"/>
        <w:rPr>
          <w:rFonts w:ascii="Arial" w:cs="Arial" w:eastAsia="Arial" w:hAnsi="Arial"/>
          <w:sz w:val="18"/>
          <w:szCs w:val="18"/>
          <w:color w:val="auto"/>
        </w:rPr>
      </w:pPr>
    </w:p>
    <w:p>
      <w:pPr>
        <w:ind w:left="660" w:right="360" w:hanging="328"/>
        <w:spacing w:after="0" w:line="28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PSC increased to $21.5 million, up 8% (9% on a constant currency basis) as a result of higher average PLO. Similarly for the full year, PSC increased 26% and on a constant currency basis.</w:t>
      </w:r>
    </w:p>
    <w:p>
      <w:pPr>
        <w:spacing w:after="0" w:line="98" w:lineRule="exact"/>
        <w:rPr>
          <w:rFonts w:ascii="Arial" w:cs="Arial" w:eastAsia="Arial" w:hAnsi="Arial"/>
          <w:sz w:val="18"/>
          <w:szCs w:val="18"/>
          <w:color w:val="auto"/>
        </w:rPr>
      </w:pPr>
    </w:p>
    <w:p>
      <w:pPr>
        <w:ind w:left="660" w:right="280" w:hanging="328"/>
        <w:spacing w:after="0" w:line="26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Merchandise sales gross margin decreased in the fourth quarter from 34% to 31%, and for the year it decreased 500 bps to 30%, reflecting a return to more normalized margins. Aged general merchandise inventory increased to 1.9% from 0.3% of total merchandise inventory.</w:t>
      </w:r>
    </w:p>
    <w:p>
      <w:pPr>
        <w:spacing w:after="0" w:line="130" w:lineRule="exact"/>
        <w:rPr>
          <w:rFonts w:ascii="Arial" w:cs="Arial" w:eastAsia="Arial" w:hAnsi="Arial"/>
          <w:sz w:val="18"/>
          <w:szCs w:val="18"/>
          <w:color w:val="auto"/>
        </w:rPr>
      </w:pPr>
    </w:p>
    <w:p>
      <w:pPr>
        <w:ind w:left="660" w:right="200" w:hanging="328"/>
        <w:spacing w:after="0" w:line="276" w:lineRule="auto"/>
        <w:tabs>
          <w:tab w:leader="none" w:pos="662" w:val="left"/>
        </w:tabs>
        <w:numPr>
          <w:ilvl w:val="0"/>
          <w:numId w:val="10"/>
        </w:numPr>
        <w:rPr>
          <w:rFonts w:ascii="Arial" w:cs="Arial" w:eastAsia="Arial" w:hAnsi="Arial"/>
          <w:sz w:val="20"/>
          <w:szCs w:val="20"/>
          <w:color w:val="auto"/>
        </w:rPr>
      </w:pPr>
      <w:r>
        <w:rPr>
          <w:rFonts w:ascii="Arial" w:cs="Arial" w:eastAsia="Arial" w:hAnsi="Arial"/>
          <w:sz w:val="18"/>
          <w:szCs w:val="18"/>
          <w:color w:val="auto"/>
        </w:rPr>
        <w:t>Net inventory increased 28% (26% on a constant currency basis) reflecting a return towards normalized inventory levels. Inventory turnover remains strong at 3.1x, down from 3.3x for the quarter and decreased for the year to 3.5x from 3.7x.</w:t>
      </w:r>
    </w:p>
    <w:p>
      <w:pPr>
        <w:spacing w:after="0" w:line="104" w:lineRule="exact"/>
        <w:rPr>
          <w:rFonts w:ascii="Arial" w:cs="Arial" w:eastAsia="Arial" w:hAnsi="Arial"/>
          <w:sz w:val="20"/>
          <w:szCs w:val="20"/>
          <w:color w:val="auto"/>
        </w:rPr>
      </w:pPr>
    </w:p>
    <w:p>
      <w:pPr>
        <w:ind w:left="660" w:hanging="328"/>
        <w:spacing w:after="0" w:line="262"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store expenses increased 5% (6% on a constant currency basis) primarily due to increased labor in-line with store activity. Same-store expenses increased $0.7 million or 3% (5% on a constant currency basis). For the year, store expenses increased 18% (18% on a constant currency basis) primarily due to increased labor in-line with store activity and rent associated with lease renewals and annual inflation adjustments. Same-store expenses increased 5% and on a constant currency basis).</w:t>
      </w:r>
    </w:p>
    <w:p>
      <w:pPr>
        <w:spacing w:after="0" w:line="122" w:lineRule="exact"/>
        <w:rPr>
          <w:rFonts w:ascii="Arial" w:cs="Arial" w:eastAsia="Arial" w:hAnsi="Arial"/>
          <w:sz w:val="18"/>
          <w:szCs w:val="18"/>
          <w:color w:val="auto"/>
        </w:rPr>
      </w:pPr>
    </w:p>
    <w:p>
      <w:pPr>
        <w:ind w:left="660" w:right="420" w:hanging="328"/>
        <w:spacing w:after="0" w:line="262"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fourth quarter, segment contribution increased to $6.7 million, up 9% (10% on a constant currency basis). For the year, segment contribution was up 39% to $24.1 million (40% increase to $24.2 million on a constant currency basis). On an adjusted basis, segment contribution for the fourth quarter was $6.7 million, flat from prior year, and the increase for the year was 33% to $24.2 million.</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store count increased by 28 de novo stores opened during the year.</w:t>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right="940"/>
        <w:spacing w:after="0" w:line="318" w:lineRule="auto"/>
        <w:rPr>
          <w:sz w:val="20"/>
          <w:szCs w:val="20"/>
          <w:color w:val="auto"/>
        </w:rPr>
      </w:pPr>
      <w:r>
        <w:rPr>
          <w:rFonts w:ascii="Arial" w:cs="Arial" w:eastAsia="Arial" w:hAnsi="Arial"/>
          <w:sz w:val="17"/>
          <w:szCs w:val="17"/>
          <w:color w:val="auto"/>
        </w:rPr>
        <w:t>EZCORP’s Annual Report on Form 10-K for the year ended September 30, 2022 has been filed with the Securities and Exchange Commission. The report is available in the Investor Relations section of the Company’s website at http://investors.ezcorp.com.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1"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EZCORP will host a conference call on Thursday, November 17, 2022, at 7:00 am Central Time to discuss Fourth Quarter and Full Year Fiscal 2022 results. Analysts and institutional investors may participate on the conference call by dialing (844) 200-6205, Conference ID: 977401, or internationally by dialing (929) 526-1599. The conference call will be webcast simultaneously to the public through this</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thousands and, as a result, may not agree to the percentages calculated from numbers in millions.</w:t>
      </w:r>
    </w:p>
    <w:p>
      <w:pPr>
        <w:spacing w:after="0" w:line="23"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”We have relabeled "net revenues" to "gross profit" throughout our filings, which we believe will improve comparability across industries and companies. This change is effective for this and future filings.</w:t>
      </w:r>
    </w:p>
    <w:p>
      <w:pPr>
        <w:ind w:right="40"/>
        <w:spacing w:after="0" w:line="257" w:lineRule="auto"/>
        <w:rPr>
          <w:sz w:val="20"/>
          <w:szCs w:val="20"/>
          <w:color w:val="auto"/>
        </w:rPr>
      </w:pPr>
      <w:r>
        <w:rPr>
          <w:rFonts w:ascii="Times New Roman" w:cs="Times New Roman" w:eastAsia="Times New Roman" w:hAnsi="Times New Roman"/>
          <w:sz w:val="9"/>
          <w:szCs w:val="9"/>
          <w:i w:val="1"/>
          <w:iCs w:val="1"/>
          <w:color w:val="auto"/>
        </w:rPr>
        <w:t>2</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3</w:t>
      </w:r>
      <w:r>
        <w:rPr>
          <w:rFonts w:ascii="Times New Roman" w:cs="Times New Roman" w:eastAsia="Times New Roman" w:hAnsi="Times New Roman"/>
          <w:sz w:val="14"/>
          <w:szCs w:val="14"/>
          <w:i w:val="1"/>
          <w:iCs w:val="1"/>
          <w:color w:val="auto"/>
        </w:rPr>
        <w:t>”Same 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8"/>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left="499"/>
              <w:spacing w:after="0"/>
              <w:rPr>
                <w:sz w:val="20"/>
                <w:szCs w:val="20"/>
                <w:color w:val="auto"/>
              </w:rPr>
            </w:pPr>
            <w:r>
              <w:rPr>
                <w:rFonts w:ascii="Arial" w:cs="Arial" w:eastAsia="Arial" w:hAnsi="Arial"/>
                <w:sz w:val="16"/>
                <w:szCs w:val="16"/>
                <w:color w:val="auto"/>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133,276</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111,982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532,886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442,798</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12,231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26,025</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87,866</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72,840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320,865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260,196</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233,407</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192,444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886,225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729,551</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83,858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329,382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257,218</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11,949</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137,600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528,147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449,485</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95,473</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357,417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330,837</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17,855</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56,495</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9,370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30,672</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10"/>
        </w:trPr>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122,716</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453,225</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418,316</w:t>
            </w:r>
          </w:p>
        </w:tc>
      </w:tr>
      <w:tr>
        <w:trPr>
          <w:trHeight w:val="210"/>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14,884</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74,922</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31,169</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2,321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22,177</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(3,803)</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13,161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16,062</w:t>
            </w:r>
          </w:p>
        </w:tc>
      </w:tr>
      <w:tr>
        <w:trPr>
          <w:trHeight w:val="21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5,824</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17,553</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r>
      <w:tr>
        <w:trPr>
          <w:trHeight w:val="21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7,337</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8,612</w:t>
            </w:r>
          </w:p>
        </w:tc>
      </w:tr>
      <w:tr>
        <w:trPr>
          <w:trHeight w:val="417"/>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56,598</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56,057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56,498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55,744</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82,539</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82,400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55,949</w:t>
            </w:r>
          </w:p>
        </w:tc>
      </w:tr>
    </w:tbl>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4"/>
        </w:trPr>
        <w:tc>
          <w:tcPr>
            <w:tcW w:w="824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206,028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209"/>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644,163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c>
          <w:tcPr>
            <w:tcW w:w="0" w:type="dxa"/>
            <w:vAlign w:val="bottom"/>
          </w:tcPr>
          <w:p>
            <w:pPr>
              <w:spacing w:after="0"/>
              <w:rPr>
                <w:sz w:val="1"/>
                <w:szCs w:val="1"/>
                <w:color w:val="auto"/>
              </w:rPr>
            </w:pP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37,724</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Right-of-use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285,758</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1,347,878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r>
        <w:trPr>
          <w:trHeight w:val="309"/>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84,509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12,557</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c>
          <w:tcPr>
            <w:tcW w:w="0" w:type="dxa"/>
            <w:vAlign w:val="bottom"/>
          </w:tcPr>
          <w:p>
            <w:pPr>
              <w:spacing w:after="0"/>
              <w:rPr>
                <w:sz w:val="1"/>
                <w:szCs w:val="1"/>
                <w:color w:val="auto"/>
              </w:rPr>
            </w:pPr>
          </w:p>
        </w:tc>
      </w:tr>
      <w:tr>
        <w:trPr>
          <w:trHeight w:val="209"/>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155,088</w:t>
            </w:r>
          </w:p>
        </w:tc>
        <w:tc>
          <w:tcPr>
            <w:tcW w:w="0" w:type="dxa"/>
            <w:vAlign w:val="bottom"/>
          </w:tcPr>
          <w:p>
            <w:pPr>
              <w:spacing w:after="0"/>
              <w:rPr>
                <w:sz w:val="1"/>
                <w:szCs w:val="1"/>
                <w:color w:val="auto"/>
              </w:rPr>
            </w:pP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0" w:type="dxa"/>
            <w:vAlign w:val="bottom"/>
          </w:tcPr>
          <w:p>
            <w:pPr>
              <w:spacing w:after="0"/>
              <w:rPr>
                <w:sz w:val="1"/>
                <w:szCs w:val="1"/>
                <w:color w:val="auto"/>
              </w:rPr>
            </w:pPr>
          </w:p>
        </w:tc>
      </w:tr>
      <w:tr>
        <w:trPr>
          <w:trHeight w:val="209"/>
        </w:trPr>
        <w:tc>
          <w:tcPr>
            <w:tcW w:w="82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c>
          <w:tcPr>
            <w:tcW w:w="0" w:type="dxa"/>
            <w:vAlign w:val="bottom"/>
          </w:tcPr>
          <w:p>
            <w:pPr>
              <w:spacing w:after="0"/>
              <w:rPr>
                <w:sz w:val="1"/>
                <w:szCs w:val="1"/>
                <w:color w:val="auto"/>
              </w:rPr>
            </w:pPr>
          </w:p>
        </w:tc>
      </w:tr>
      <w:tr>
        <w:trPr>
          <w:trHeight w:val="215"/>
        </w:trPr>
        <w:tc>
          <w:tcPr>
            <w:tcW w:w="824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tcPr>
          <w:p>
            <w:pPr>
              <w:ind w:left="480"/>
              <w:spacing w:after="0" w:line="164" w:lineRule="exact"/>
              <w:rPr>
                <w:sz w:val="20"/>
                <w:szCs w:val="20"/>
                <w:color w:val="auto"/>
              </w:rPr>
            </w:pPr>
            <w:r>
              <w:rPr>
                <w:rFonts w:ascii="Arial" w:cs="Arial" w:eastAsia="Arial" w:hAnsi="Arial"/>
                <w:sz w:val="16"/>
                <w:szCs w:val="16"/>
                <w:color w:val="auto"/>
              </w:rPr>
              <w:t>Class A Non-voting Common Stock, par value $0.01 per share; shares authorized: 100 million; issued and</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outstanding: 53,454,885 as of September 30, 2022; 53,086,438 as of September 30, 2021; and 53,086,438</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8240" w:type="dxa"/>
            <w:vAlign w:val="bottom"/>
          </w:tcPr>
          <w:p>
            <w:pPr>
              <w:ind w:left="480"/>
              <w:spacing w:after="0"/>
              <w:rPr>
                <w:sz w:val="20"/>
                <w:szCs w:val="20"/>
                <w:color w:val="auto"/>
              </w:rPr>
            </w:pPr>
            <w:r>
              <w:rPr>
                <w:rFonts w:ascii="Arial" w:cs="Arial" w:eastAsia="Arial" w:hAnsi="Arial"/>
                <w:sz w:val="16"/>
                <w:szCs w:val="16"/>
                <w:color w:val="auto"/>
              </w:rPr>
              <w:t>as of September 30, 2021</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40" w:type="dxa"/>
            <w:vAlign w:val="bottom"/>
          </w:tcPr>
          <w:p>
            <w:pPr>
              <w:ind w:left="480"/>
              <w:spacing w:after="0" w:line="164" w:lineRule="exact"/>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8240" w:type="dxa"/>
            <w:vAlign w:val="bottom"/>
          </w:tcPr>
          <w:p>
            <w:pPr>
              <w:ind w:left="480"/>
              <w:spacing w:after="0"/>
              <w:rPr>
                <w:sz w:val="20"/>
                <w:szCs w:val="20"/>
                <w:color w:val="auto"/>
              </w:rPr>
            </w:pPr>
            <w:r>
              <w:rPr>
                <w:rFonts w:ascii="Arial" w:cs="Arial" w:eastAsia="Arial" w:hAnsi="Arial"/>
                <w:sz w:val="16"/>
                <w:szCs w:val="16"/>
                <w:color w:val="auto"/>
              </w:rPr>
              <w:t>and outstanding: 2,970,171</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345,330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403,312</w:t>
            </w:r>
          </w:p>
        </w:tc>
        <w:tc>
          <w:tcPr>
            <w:tcW w:w="0" w:type="dxa"/>
            <w:vAlign w:val="bottom"/>
          </w:tcPr>
          <w:p>
            <w:pPr>
              <w:spacing w:after="0"/>
              <w:rPr>
                <w:sz w:val="1"/>
                <w:szCs w:val="1"/>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402,006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692,231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1,347,878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50,160</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8,612</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32,140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30,672</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1,433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13,797</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52,201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48,480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4,945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3,283</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2,511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(8,003)</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5,053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3,946</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(7,332)</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(15,341)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3,238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7,373</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(65,141)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(54,209)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3,359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2,180</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3,366</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66,535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46,438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(740,057)</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(601,638)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410,523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351,092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274,423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208,551</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(31,895)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(23,601)</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(19,015)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Issuance of note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(6,927)</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(113,283)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(84,611)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(15,414)</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(2,832)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(16,253)</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(49,255)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(48,929)</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263,624</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312,553</w:t>
            </w:r>
          </w:p>
        </w:tc>
      </w:tr>
      <w:tr>
        <w:trPr>
          <w:trHeight w:val="21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214,369</w:t>
            </w:r>
          </w:p>
        </w:tc>
        <w:tc>
          <w:tcPr>
            <w:tcW w:w="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263,624</w:t>
            </w:r>
          </w:p>
        </w:tc>
      </w:tr>
    </w:tbl>
    <w:p>
      <w:pPr>
        <w:sectPr>
          <w:pgSz w:w="11900" w:h="16838" w:orient="portrait"/>
          <w:cols w:equalWidth="0" w:num="1">
            <w:col w:w="11240"/>
          </w:cols>
          <w:pgMar w:left="320" w:top="125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9"/>
          </w:tcPr>
          <w:p>
            <w:pPr>
              <w:ind w:left="1080"/>
              <w:spacing w:after="0"/>
              <w:rPr>
                <w:sz w:val="20"/>
                <w:szCs w:val="20"/>
                <w:color w:val="auto"/>
              </w:rPr>
            </w:pPr>
            <w:r>
              <w:rPr>
                <w:rFonts w:ascii="Arial" w:cs="Arial" w:eastAsia="Arial" w:hAnsi="Arial"/>
                <w:sz w:val="16"/>
                <w:szCs w:val="16"/>
                <w:b w:val="1"/>
                <w:bCs w:val="1"/>
                <w:color w:val="auto"/>
              </w:rPr>
              <w:t>Three Months Ended September 30,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95,811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133,276</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133,276</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12,231</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87,866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87,866</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233,407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233,407</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83,858</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137,600</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95,473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17,855</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Gain on sale or disposal of assets</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9"/>
          </w:tcPr>
          <w:p>
            <w:pPr>
              <w:ind w:left="1080"/>
              <w:spacing w:after="0"/>
              <w:rPr>
                <w:sz w:val="20"/>
                <w:szCs w:val="20"/>
                <w:color w:val="auto"/>
              </w:rPr>
            </w:pPr>
            <w:r>
              <w:rPr>
                <w:rFonts w:ascii="Arial" w:cs="Arial" w:eastAsia="Arial" w:hAnsi="Arial"/>
                <w:sz w:val="16"/>
                <w:szCs w:val="16"/>
                <w:b w:val="1"/>
                <w:bCs w:val="1"/>
                <w:color w:val="auto"/>
              </w:rPr>
              <w:t>Three Months Ended September 30, 2021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80,950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31,032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111,982</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111,982</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7,518</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72,840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72,840</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192,444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192,444</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66,346</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119,326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119,326</w:t>
            </w:r>
          </w:p>
        </w:tc>
        <w:tc>
          <w:tcPr>
            <w:tcW w:w="0" w:type="dxa"/>
            <w:vAlign w:val="bottom"/>
          </w:tcPr>
          <w:p>
            <w:pPr>
              <w:spacing w:after="0"/>
              <w:rPr>
                <w:sz w:val="1"/>
                <w:szCs w:val="1"/>
                <w:color w:val="auto"/>
              </w:rPr>
            </w:pPr>
          </w:p>
        </w:tc>
      </w:tr>
      <w:tr>
        <w:trPr>
          <w:trHeight w:val="163"/>
        </w:trPr>
        <w:tc>
          <w:tcPr>
            <w:tcW w:w="29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88,576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88,576</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15,625</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Gain on sale of disposal of assets</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(1,394)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Twelve Months Ended September 30, 2022</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4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391,958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140,928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532,886</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532,886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32,033</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240,982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320,865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320,865</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658,762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227,352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886,225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886,225</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230,241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329,382</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22,755</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405,766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122,270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528,147</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357,417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64,342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32,140</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Gain on sale or disposal of assets</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9,972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129,051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154,943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154,943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67,713</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32" w:right="6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Twelve Months Ended September 30, 2021</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24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341,495</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101,303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442,798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442,798</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196,721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63,475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260,196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260,196</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553,581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175,550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729,551</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191,039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66,179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257,218</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349,541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99,524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449,485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449,485</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253,344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330,837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330,837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56,495</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30,672</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22,177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(3,803)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85,520</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(91,147)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16,062</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30" w:right="6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45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8"/>
              </w:rPr>
              <w:t>EZCORP, Inc.</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456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rPr>
              <w:t>STORE COUNT ACTIVITY</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4560" w:type="dxa"/>
            <w:vAlign w:val="bottom"/>
            <w:gridSpan w:val="3"/>
          </w:tcPr>
          <w:p>
            <w:pPr>
              <w:jc w:val="center"/>
              <w:ind w:right="720"/>
              <w:spacing w:after="0"/>
              <w:rPr>
                <w:sz w:val="20"/>
                <w:szCs w:val="20"/>
                <w:color w:val="auto"/>
              </w:rPr>
            </w:pPr>
            <w:r>
              <w:rPr>
                <w:rFonts w:ascii="Arial" w:cs="Arial" w:eastAsia="Arial" w:hAnsi="Arial"/>
                <w:sz w:val="16"/>
                <w:szCs w:val="16"/>
                <w:color w:val="auto"/>
              </w:rPr>
              <w:t>(Unaudited)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September 30, 2022</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June 30, 2022</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2022</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580"/>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September 30, 2021</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June 30, 2021</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2021</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55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Twelve Months Ended September 30, 2022</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2022</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548"/>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Twelve Months Ended September 30, 2021</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2020</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September 30, 2021</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2022 and 2021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4"/>
            <w:vMerge w:val="restart"/>
          </w:tcPr>
          <w:p>
            <w:pPr>
              <w:ind w:left="600"/>
              <w:spacing w:after="0"/>
              <w:rPr>
                <w:sz w:val="20"/>
                <w:szCs w:val="20"/>
                <w:color w:val="auto"/>
              </w:rPr>
            </w:pPr>
            <w:r>
              <w:rPr>
                <w:rFonts w:ascii="Arial" w:cs="Arial" w:eastAsia="Arial" w:hAnsi="Arial"/>
                <w:sz w:val="16"/>
                <w:szCs w:val="16"/>
                <w:b w:val="1"/>
                <w:bCs w:val="1"/>
                <w:color w:val="auto"/>
              </w:rPr>
              <w:t>September 30,</w:t>
            </w: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00" w:type="dxa"/>
            <w:vAlign w:val="bottom"/>
            <w:gridSpan w:val="4"/>
            <w:vMerge w:val="continue"/>
          </w:tcPr>
          <w:p>
            <w:pPr>
              <w:spacing w:after="0"/>
              <w:rPr>
                <w:sz w:val="18"/>
                <w:szCs w:val="18"/>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2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56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48"/>
        </w:trPr>
        <w:tc>
          <w:tcPr>
            <w:tcW w:w="5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20"/>
              <w:spacing w:after="0"/>
              <w:rPr>
                <w:sz w:val="20"/>
                <w:szCs w:val="20"/>
                <w:color w:val="auto"/>
              </w:rPr>
            </w:pPr>
            <w:r>
              <w:rPr>
                <w:rFonts w:ascii="Arial" w:cs="Arial" w:eastAsia="Arial" w:hAnsi="Arial"/>
                <w:sz w:val="16"/>
                <w:szCs w:val="16"/>
                <w:color w:val="auto"/>
              </w:rPr>
              <w:t>2022 Q4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8"/>
              </w:rPr>
              <w:t>5.9</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Tax impact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 Q4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5"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20"/>
              <w:spacing w:after="0"/>
              <w:rPr>
                <w:sz w:val="20"/>
                <w:szCs w:val="20"/>
                <w:color w:val="auto"/>
              </w:rPr>
            </w:pPr>
            <w:r>
              <w:rPr>
                <w:rFonts w:ascii="Arial" w:cs="Arial" w:eastAsia="Arial" w:hAnsi="Arial"/>
                <w:sz w:val="16"/>
                <w:szCs w:val="16"/>
                <w:color w:val="auto"/>
              </w:rPr>
              <w:t>2022 Full Year 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886.2</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Litigation Accrual</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CCV Adjustment for Impairment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Tax Impact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and other impact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 Full Year 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20"/>
              <w:spacing w:after="0"/>
              <w:rPr>
                <w:sz w:val="20"/>
                <w:szCs w:val="20"/>
                <w:color w:val="auto"/>
              </w:rPr>
            </w:pPr>
            <w:r>
              <w:rPr>
                <w:rFonts w:ascii="Arial" w:cs="Arial" w:eastAsia="Arial" w:hAnsi="Arial"/>
                <w:sz w:val="16"/>
                <w:szCs w:val="16"/>
                <w:color w:val="auto"/>
              </w:rPr>
              <w:t>2021 Q4 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center"/>
              <w:ind w:left="5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center"/>
              <w:ind w:left="4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Acquisition expenses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center"/>
              <w:ind w:left="5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left="4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Peru Reserve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center"/>
              <w:ind w:left="5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center"/>
              <w:ind w:left="39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 cash Interest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 Q4 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20"/>
              <w:spacing w:after="0"/>
              <w:rPr>
                <w:sz w:val="20"/>
                <w:szCs w:val="20"/>
                <w:color w:val="auto"/>
              </w:rPr>
            </w:pPr>
            <w:r>
              <w:rPr>
                <w:rFonts w:ascii="Arial" w:cs="Arial" w:eastAsia="Arial" w:hAnsi="Arial"/>
                <w:sz w:val="16"/>
                <w:szCs w:val="16"/>
                <w:color w:val="auto"/>
              </w:rPr>
              <w:t>2021 Full Year 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Acquisition expenses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Peru Reserve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FY20 Contract write-off over-accrual</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 cash net interest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 Full Year 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8"/>
                <w:szCs w:val="18"/>
                <w:color w:val="auto"/>
              </w:rPr>
            </w:pPr>
          </w:p>
        </w:tc>
        <w:tc>
          <w:tcPr>
            <w:tcW w:w="23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155"/>
        </w:trPr>
        <w:tc>
          <w:tcPr>
            <w:tcW w:w="5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Percentage</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886.2</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528.1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8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emdash "/>
      <w:numFmt w:val="bullet"/>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jpeg"/><Relationship Id="rId11" Type="http://schemas.openxmlformats.org/officeDocument/2006/relationships/hyperlink" Target="https://www.sec.gov/Archives/edgar/data/876523/000087652322000071/a2022-q410xkex10606x2achan.htm" TargetMode="External"/><Relationship Id="rId12" Type="http://schemas.openxmlformats.org/officeDocument/2006/relationships/hyperlink" Target="https://www.sec.gov/Archives/edgar/data/876523/000087652322000071/a2022-q410xkex10506x2b2022.htm" TargetMode="External"/><Relationship Id="rId13" Type="http://schemas.openxmlformats.org/officeDocument/2006/relationships/hyperlink" Target="https://www.sec.gov/Archives/edgar/data/876523/000087652322000071/a2022-q410xkex10706x2c2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2022-11-16T16:33:40Z</dcterms:created>
  <dcterms:modified xsi:type="dcterms:W3CDTF">2022-11-16T16:33:40Z</dcterms:modified>
</cp:coreProperties>
</file>