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Bluntzer Rick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1901 CAPITAL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3"/>
        <w:spacing w:after="0"/>
        <w:rPr>
          <w:sz w:val="20"/>
          <w:szCs w:val="20"/>
          <w:color w:val="auto"/>
        </w:rPr>
      </w:pPr>
      <w:r>
        <w:rPr>
          <w:rFonts w:ascii="Arial" w:cs="Arial" w:eastAsia="Arial" w:hAnsi="Arial"/>
          <w:sz w:val="17"/>
          <w:szCs w:val="17"/>
          <w:color w:val="0000FF"/>
        </w:rPr>
        <w:t>Sr VP Communcations &amp; Affairs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4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78746</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9"/>
              </w:rPr>
              <w:t>Non-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27,500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02/18/2014</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27,500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7"/>
              </w:rPr>
              <w:t>Voting</w:t>
            </w:r>
          </w:p>
        </w:tc>
        <w:tc>
          <w:tcPr>
            <w:tcW w:w="560" w:type="dxa"/>
            <w:vAlign w:val="bottom"/>
            <w:vMerge w:val="continue"/>
          </w:tcPr>
          <w:p>
            <w:pPr>
              <w:spacing w:after="0"/>
              <w:rPr>
                <w:sz w:val="12"/>
                <w:szCs w:val="12"/>
                <w:color w:val="auto"/>
              </w:rPr>
            </w:pPr>
          </w:p>
        </w:tc>
        <w:tc>
          <w:tcPr>
            <w:tcW w:w="72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27,500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or the equivalent value in cash. The Compensation Committee of the Board of Directors, in its sole and absolute discretion, will determine whether to settle vested units in stock or in cash.</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units will vest on each October 1 of 2014, 2015, and 2016, subject to the attainment of specified performance goals.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Laura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02/20/2014</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7534"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2020-01-26T01:36:52Z</dcterms:created>
  <dcterms:modified xsi:type="dcterms:W3CDTF">2020-01-26T01:36:52Z</dcterms:modified>
</cp:coreProperties>
</file>