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314"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12b-25</w:t>
      </w:r>
    </w:p>
    <w:p>
      <w:pPr>
        <w:spacing w:after="0" w:line="339"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NOTIFICATION OF LATE FILING</w:t>
      </w:r>
    </w:p>
    <w:p>
      <w:pPr>
        <w:spacing w:after="0" w:line="200" w:lineRule="exact"/>
        <w:rPr>
          <w:sz w:val="24"/>
          <w:szCs w:val="24"/>
          <w:color w:val="auto"/>
        </w:rPr>
      </w:pPr>
    </w:p>
    <w:p>
      <w:pPr>
        <w:spacing w:after="0" w:line="304"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SEC File Number: 001-19424</w:t>
      </w:r>
    </w:p>
    <w:p>
      <w:pPr>
        <w:spacing w:after="0" w:line="333"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CUSIP Number: 302301106</w:t>
      </w:r>
    </w:p>
    <w:p>
      <w:pPr>
        <w:sectPr>
          <w:pgSz w:w="11900" w:h="16838" w:orient="portrait"/>
          <w:cols w:equalWidth="0" w:num="1">
            <w:col w:w="11060"/>
          </w:cols>
          <w:pgMar w:left="240" w:top="841"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40"/>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o Form 10-K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o Form 20-F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 Form 11-K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x Form 10-Q</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 Form 10-D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o Form N-SAR</w:t>
      </w:r>
    </w:p>
    <w:p>
      <w:pPr>
        <w:spacing w:after="0" w:line="196" w:lineRule="exact"/>
        <w:rPr>
          <w:sz w:val="24"/>
          <w:szCs w:val="24"/>
          <w:color w:val="auto"/>
        </w:rPr>
      </w:pPr>
    </w:p>
    <w:p>
      <w:pPr>
        <w:sectPr>
          <w:pgSz w:w="11900" w:h="16838" w:orient="portrait"/>
          <w:cols w:equalWidth="0" w:num="7">
            <w:col w:w="1000" w:space="720"/>
            <w:col w:w="1140" w:space="720"/>
            <w:col w:w="920" w:space="700"/>
            <w:col w:w="940" w:space="640"/>
            <w:col w:w="940" w:space="640"/>
            <w:col w:w="940" w:space="640"/>
            <w:col w:w="1120"/>
          </w:cols>
          <w:pgMar w:left="240" w:top="841" w:right="5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o Form N-CSR</w:t>
      </w:r>
    </w:p>
    <w:p>
      <w:pPr>
        <w:sectPr>
          <w:pgSz w:w="11900" w:h="16838" w:orient="portrait"/>
          <w:cols w:equalWidth="0" w:num="1">
            <w:col w:w="11060"/>
          </w:cols>
          <w:pgMar w:left="240" w:top="841" w:right="599" w:bottom="1440" w:gutter="0" w:footer="0" w:header="0"/>
          <w:type w:val="continuous"/>
        </w:sect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For Period Ended: June 30, 2015</w:t>
      </w:r>
    </w:p>
    <w:p>
      <w:pPr>
        <w:spacing w:after="0" w:line="17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10-K</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20-F</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11-F</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10-Q</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N-SAR</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7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ectPr>
          <w:pgSz w:w="11900" w:h="16838" w:orient="portrait"/>
          <w:cols w:equalWidth="0" w:num="1">
            <w:col w:w="11060"/>
          </w:cols>
          <w:pgMar w:left="240" w:top="841" w:right="5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Full Name of Registrant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Former Name if Applicable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1901 Capital Parkway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Texas 78746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 State and Zip Code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66040</wp:posOffset>
            </wp:positionV>
            <wp:extent cx="8890" cy="1080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080770"/>
                    </a:xfrm>
                    <a:prstGeom prst="rect">
                      <a:avLst/>
                    </a:prstGeom>
                    <a:noFill/>
                  </pic:spPr>
                </pic:pic>
              </a:graphicData>
            </a:graphic>
          </wp:anchor>
        </w:drawing>
      </w:r>
    </w:p>
    <w:p>
      <w:pPr>
        <w:spacing w:after="0" w:line="96" w:lineRule="exact"/>
        <w:rPr>
          <w:sz w:val="20"/>
          <w:szCs w:val="20"/>
          <w:color w:val="auto"/>
        </w:rPr>
      </w:pPr>
    </w:p>
    <w:p>
      <w:pPr>
        <w:ind w:left="720" w:hanging="44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subject annual report, semi-annual report, transition report on Form 10-K, Form 20-F, Form 11-K, Form N-SAR or Form N-CSR, or portion</w:t>
      </w:r>
    </w:p>
    <w:p>
      <w:pPr>
        <w:ind w:left="40"/>
        <w:spacing w:after="0"/>
        <w:tabs>
          <w:tab w:leader="none" w:pos="260" w:val="left"/>
          <w:tab w:leader="none" w:pos="700" w:val="left"/>
        </w:tabs>
        <w:rPr>
          <w:sz w:val="20"/>
          <w:szCs w:val="20"/>
          <w:color w:val="auto"/>
        </w:rPr>
      </w:pPr>
      <w:r>
        <w:rPr>
          <w:rFonts w:ascii="Arial" w:cs="Arial" w:eastAsia="Arial" w:hAnsi="Arial"/>
          <w:sz w:val="29"/>
          <w:szCs w:val="29"/>
          <w:color w:val="auto"/>
          <w:vertAlign w:val="subscript"/>
        </w:rPr>
        <w:t>o</w:t>
      </w:r>
      <w:r>
        <w:rPr>
          <w:sz w:val="20"/>
          <w:szCs w:val="20"/>
          <w:color w:val="auto"/>
        </w:rPr>
        <w:tab/>
      </w:r>
      <w:r>
        <w:rPr>
          <w:rFonts w:ascii="Arial" w:cs="Arial" w:eastAsia="Arial" w:hAnsi="Arial"/>
          <w:sz w:val="29"/>
          <w:szCs w:val="29"/>
          <w:color w:val="auto"/>
          <w:vertAlign w:val="subscript"/>
        </w:rPr>
        <w:t>(b)</w:t>
      </w:r>
      <w:r>
        <w:rPr>
          <w:sz w:val="20"/>
          <w:szCs w:val="20"/>
          <w:color w:val="auto"/>
        </w:rPr>
        <w:tab/>
      </w:r>
      <w:r>
        <w:rPr>
          <w:rFonts w:ascii="Arial" w:cs="Arial" w:eastAsia="Arial" w:hAnsi="Arial"/>
          <w:sz w:val="16"/>
          <w:szCs w:val="16"/>
          <w:color w:val="auto"/>
        </w:rPr>
        <w:t>thereof, will be filed on or before the fifteenth calendar day following the prescribed due date; or the subject quarterly report or transition report on</w:t>
      </w:r>
    </w:p>
    <w:p>
      <w:pPr>
        <w:spacing w:after="0" w:line="1" w:lineRule="exact"/>
        <w:rPr>
          <w:sz w:val="20"/>
          <w:szCs w:val="20"/>
          <w:color w:val="auto"/>
        </w:rPr>
      </w:pPr>
    </w:p>
    <w:p>
      <w:pPr>
        <w:ind w:left="720" w:right="80"/>
        <w:spacing w:after="0" w:line="259" w:lineRule="auto"/>
        <w:rPr>
          <w:sz w:val="20"/>
          <w:szCs w:val="20"/>
          <w:color w:val="auto"/>
        </w:rPr>
      </w:pPr>
      <w:r>
        <w:rPr>
          <w:rFonts w:ascii="Arial" w:cs="Arial" w:eastAsia="Arial" w:hAnsi="Arial"/>
          <w:sz w:val="18"/>
          <w:szCs w:val="18"/>
          <w:color w:val="auto"/>
        </w:rPr>
        <w:t>Form 10-Q or subject distribution report on Form 10-D, or portion thereof, will be filed on or before the fifth calendar day following the prescribed due date; and</w:t>
      </w:r>
    </w:p>
    <w:p>
      <w:pPr>
        <w:spacing w:after="0" w:line="145" w:lineRule="exact"/>
        <w:rPr>
          <w:sz w:val="20"/>
          <w:szCs w:val="20"/>
          <w:color w:val="auto"/>
        </w:rPr>
      </w:pPr>
    </w:p>
    <w:p>
      <w:pPr>
        <w:ind w:left="720" w:hanging="44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July 17, 2015, EZCORP, Inc. ("we" or the "Company") disclosed that:</w:t>
      </w:r>
    </w:p>
    <w:p>
      <w:pPr>
        <w:spacing w:after="0" w:line="171"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restate our previously issued financial statements for fiscal 2014 (including the interim periods within that year) and the first quarter of fiscal 2015 to correct the way we accounted for Grupo Finmart structured assets sales; and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continuing our quantification and evaluation of other accounting issues in our Grupo Finmart loan portfolio and have not yet determined whether additional reporting periods have been affected.</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See our Current Report on Form 8-K dated July 17, 2015. We are delaying the filing of our Quarterly Report on Form 10-Q for the third quarter of fiscal 2015 (ended June 30, 2015) until we have completed the review and analysis of the matters identified above, have determined the impact on our current and historical financial statements and have evaluated the significance of the identified control deficiencies. We expect to file our delinquent Quarterly Reports upon completion of that review (including a review of the results by the Company's current and predecessor independent registered public accounting firms) and after the current independent registered public accounting firm has completed its required quarterly review.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175" w:lineRule="exact"/>
        <w:rPr>
          <w:sz w:val="20"/>
          <w:szCs w:val="20"/>
          <w:color w:val="auto"/>
        </w:rPr>
      </w:pPr>
    </w:p>
    <w:p>
      <w:pPr>
        <w:ind w:left="620" w:hanging="58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Thomas H. Welch, Jr.</w:t>
            </w:r>
          </w:p>
        </w:tc>
        <w:tc>
          <w:tcPr>
            <w:tcW w:w="3540" w:type="dxa"/>
            <w:vAlign w:val="bottom"/>
          </w:tcPr>
          <w:p>
            <w:pPr>
              <w:ind w:left="4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314-3400</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(Area Code)</w:t>
            </w:r>
          </w:p>
        </w:tc>
        <w:tc>
          <w:tcPr>
            <w:tcW w:w="3520" w:type="dxa"/>
            <w:vAlign w:val="bottom"/>
          </w:tcPr>
          <w:p>
            <w:pPr>
              <w:ind w:left="20"/>
              <w:spacing w:after="0"/>
              <w:rPr>
                <w:sz w:val="20"/>
                <w:szCs w:val="20"/>
                <w:color w:val="auto"/>
              </w:rPr>
            </w:pPr>
            <w:r>
              <w:rPr>
                <w:rFonts w:ascii="Arial" w:cs="Arial" w:eastAsia="Arial" w:hAnsi="Arial"/>
                <w:sz w:val="18"/>
                <w:szCs w:val="18"/>
                <w:color w:val="auto"/>
              </w:rPr>
              <w:t>(Telephone Number)</w:t>
            </w:r>
          </w:p>
        </w:tc>
      </w:tr>
    </w:tbl>
    <w:p>
      <w:pPr>
        <w:spacing w:after="0" w:line="175" w:lineRule="exact"/>
        <w:rPr>
          <w:sz w:val="20"/>
          <w:szCs w:val="20"/>
          <w:color w:val="auto"/>
        </w:rPr>
      </w:pPr>
    </w:p>
    <w:p>
      <w:pPr>
        <w:ind w:left="500" w:right="80" w:hanging="465"/>
        <w:spacing w:after="0" w:line="291"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w:t>
      </w:r>
    </w:p>
    <w:p>
      <w:pPr>
        <w:ind w:left="500"/>
        <w:spacing w:after="0"/>
        <w:tabs>
          <w:tab w:leader="none" w:pos="2340" w:val="left"/>
        </w:tabs>
        <w:rPr>
          <w:sz w:val="20"/>
          <w:szCs w:val="20"/>
          <w:color w:val="auto"/>
        </w:rPr>
      </w:pPr>
      <w:r>
        <w:rPr>
          <w:rFonts w:ascii="Arial" w:cs="Arial" w:eastAsia="Arial" w:hAnsi="Arial"/>
          <w:sz w:val="18"/>
          <w:szCs w:val="18"/>
          <w:color w:val="auto"/>
        </w:rPr>
        <w:t xml:space="preserve">identify report(s). </w:t>
      </w:r>
      <w:r>
        <w:rPr>
          <w:rFonts w:ascii="Arial" w:cs="Arial" w:eastAsia="Arial" w:hAnsi="Arial"/>
          <w:sz w:val="16"/>
          <w:szCs w:val="16"/>
          <w:color w:val="auto"/>
        </w:rPr>
        <w:t>Yes o</w:t>
      </w:r>
      <w:r>
        <w:rPr>
          <w:sz w:val="20"/>
          <w:szCs w:val="20"/>
          <w:color w:val="auto"/>
        </w:rPr>
        <w:tab/>
      </w:r>
      <w:r>
        <w:rPr>
          <w:rFonts w:ascii="Arial" w:cs="Arial" w:eastAsia="Arial" w:hAnsi="Arial"/>
          <w:sz w:val="16"/>
          <w:szCs w:val="16"/>
          <w:color w:val="auto"/>
        </w:rPr>
        <w:t>No x</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has not filed its Quarterly Report on Form 10-Q for the second quarter of fiscal 2015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500" w:hanging="465"/>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corresponding period for the last fiscal year will be reflected by the</w:t>
      </w:r>
    </w:p>
    <w:p>
      <w:pPr>
        <w:spacing w:after="0" w:line="35" w:lineRule="exact"/>
        <w:rPr>
          <w:sz w:val="20"/>
          <w:szCs w:val="20"/>
          <w:color w:val="auto"/>
        </w:rPr>
      </w:pPr>
    </w:p>
    <w:p>
      <w:pPr>
        <w:ind w:left="500"/>
        <w:spacing w:after="0"/>
        <w:tabs>
          <w:tab w:leader="none" w:pos="6360" w:val="left"/>
        </w:tabs>
        <w:rPr>
          <w:sz w:val="20"/>
          <w:szCs w:val="20"/>
          <w:color w:val="auto"/>
        </w:rPr>
      </w:pPr>
      <w:r>
        <w:rPr>
          <w:rFonts w:ascii="Arial" w:cs="Arial" w:eastAsia="Arial" w:hAnsi="Arial"/>
          <w:sz w:val="17"/>
          <w:szCs w:val="17"/>
          <w:color w:val="auto"/>
        </w:rPr>
        <w:t xml:space="preserve">earnings statement to be included in the subject report or portion thereof? </w:t>
      </w:r>
      <w:r>
        <w:rPr>
          <w:rFonts w:ascii="Arial" w:cs="Arial" w:eastAsia="Arial" w:hAnsi="Arial"/>
          <w:sz w:val="15"/>
          <w:szCs w:val="15"/>
          <w:color w:val="auto"/>
        </w:rPr>
        <w:t>Yes x</w:t>
      </w:r>
      <w:r>
        <w:rPr>
          <w:sz w:val="20"/>
          <w:szCs w:val="20"/>
          <w:color w:val="auto"/>
        </w:rPr>
        <w:tab/>
      </w:r>
      <w:r>
        <w:rPr>
          <w:rFonts w:ascii="Arial" w:cs="Arial" w:eastAsia="Arial" w:hAnsi="Arial"/>
          <w:sz w:val="16"/>
          <w:szCs w:val="16"/>
          <w:color w:val="auto"/>
        </w:rPr>
        <w:t>No o</w:t>
      </w:r>
    </w:p>
    <w:p>
      <w:pPr>
        <w:spacing w:after="0" w:line="209" w:lineRule="exact"/>
        <w:rPr>
          <w:sz w:val="20"/>
          <w:szCs w:val="20"/>
          <w:color w:val="auto"/>
        </w:rPr>
      </w:pPr>
    </w:p>
    <w:p>
      <w:pPr>
        <w:ind w:left="500" w:right="58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report the following operating results when we file our Quarterly Report on Form 10-Q for the third quarter of fiscal 2015:</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&amp; Canada Segment: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Total revenues of $171.2 million (7% decrease from the prior-year quarter) — The overall decrease in total revenues was mainly due to a</w:t>
      </w:r>
    </w:p>
    <w:p>
      <w:pPr>
        <w:sectPr>
          <w:pgSz w:w="11900" w:h="16838" w:orient="portrait"/>
          <w:cols w:equalWidth="0" w:num="1">
            <w:col w:w="11420"/>
          </w:cols>
          <w:pgMar w:left="240" w:top="742" w:right="239" w:bottom="0" w:gutter="0" w:footer="0" w:header="0"/>
        </w:sectPr>
      </w:pPr>
    </w:p>
    <w:bookmarkStart w:id="2" w:name="page3"/>
    <w:bookmarkEnd w:id="2"/>
    <w:p>
      <w:pPr>
        <w:ind w:left="968" w:right="180"/>
        <w:spacing w:after="0" w:line="277" w:lineRule="auto"/>
        <w:rPr>
          <w:sz w:val="20"/>
          <w:szCs w:val="20"/>
          <w:color w:val="auto"/>
        </w:rPr>
      </w:pPr>
      <w:r>
        <w:rPr>
          <w:rFonts w:ascii="Arial" w:cs="Arial" w:eastAsia="Arial" w:hAnsi="Arial"/>
          <w:sz w:val="18"/>
          <w:szCs w:val="18"/>
          <w:color w:val="auto"/>
        </w:rPr>
        <w:t>$9.2 million decrease in jewelry scrapping sales and a $3.8 million decrease in consumer loan fees and interest, partially offset by a $0.7 million increase in merchandise sales and pawn service charges.</w:t>
      </w:r>
    </w:p>
    <w:p>
      <w:pPr>
        <w:spacing w:after="0" w:line="116" w:lineRule="exact"/>
        <w:rPr>
          <w:sz w:val="20"/>
          <w:szCs w:val="20"/>
          <w:color w:val="auto"/>
        </w:rPr>
      </w:pPr>
    </w:p>
    <w:p>
      <w:pPr>
        <w:ind w:left="968" w:hanging="320"/>
        <w:spacing w:after="0" w:line="264" w:lineRule="auto"/>
        <w:tabs>
          <w:tab w:leader="none" w:pos="968" w:val="left"/>
        </w:tabs>
        <w:numPr>
          <w:ilvl w:val="1"/>
          <w:numId w:val="8"/>
        </w:numPr>
        <w:rPr>
          <w:rFonts w:ascii="Arial" w:cs="Arial" w:eastAsia="Arial" w:hAnsi="Arial"/>
          <w:sz w:val="18"/>
          <w:szCs w:val="18"/>
          <w:color w:val="auto"/>
        </w:rPr>
      </w:pPr>
      <w:r>
        <w:rPr>
          <w:rFonts w:ascii="Arial" w:cs="Arial" w:eastAsia="Arial" w:hAnsi="Arial"/>
          <w:sz w:val="18"/>
          <w:szCs w:val="18"/>
          <w:color w:val="auto"/>
        </w:rPr>
        <w:t>Segment contribution of $13.8 million (49% decrease from prior-year quarter) — This decrease was primarily due to an $11.0 million reduction in net revenues driven by decreases in merchandise sales gross profit, jewelry scrapping sales gross profit and consumer loan net revenue, combined with a $2.3 million increase in segment expenses.</w:t>
      </w:r>
    </w:p>
    <w:p>
      <w:pPr>
        <w:spacing w:after="0" w:line="127"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International Segment:</w:t>
      </w:r>
    </w:p>
    <w:p>
      <w:pPr>
        <w:spacing w:after="0" w:line="171" w:lineRule="exact"/>
        <w:rPr>
          <w:rFonts w:ascii="Arial" w:cs="Arial" w:eastAsia="Arial" w:hAnsi="Arial"/>
          <w:sz w:val="18"/>
          <w:szCs w:val="18"/>
          <w:color w:val="auto"/>
        </w:rPr>
      </w:pPr>
    </w:p>
    <w:p>
      <w:pPr>
        <w:ind w:left="968" w:right="100" w:hanging="320"/>
        <w:spacing w:after="0" w:line="277" w:lineRule="auto"/>
        <w:tabs>
          <w:tab w:leader="none" w:pos="968" w:val="left"/>
        </w:tabs>
        <w:numPr>
          <w:ilvl w:val="1"/>
          <w:numId w:val="8"/>
        </w:numPr>
        <w:rPr>
          <w:rFonts w:ascii="Arial" w:cs="Arial" w:eastAsia="Arial" w:hAnsi="Arial"/>
          <w:sz w:val="18"/>
          <w:szCs w:val="18"/>
          <w:color w:val="auto"/>
        </w:rPr>
      </w:pPr>
      <w:r>
        <w:rPr>
          <w:rFonts w:ascii="Arial" w:cs="Arial" w:eastAsia="Arial" w:hAnsi="Arial"/>
          <w:sz w:val="18"/>
          <w:szCs w:val="18"/>
          <w:color w:val="auto"/>
        </w:rPr>
        <w:t>Segment contribution of $1.8 million (14% decrease from prior-year quarter) — This decrease was due to a decrease in the net income of our unconsolidated affiliate, Cash Converters International Limited.</w:t>
      </w:r>
    </w:p>
    <w:p>
      <w:pPr>
        <w:spacing w:after="0" w:line="116" w:lineRule="exact"/>
        <w:rPr>
          <w:rFonts w:ascii="Arial" w:cs="Arial" w:eastAsia="Arial" w:hAnsi="Arial"/>
          <w:sz w:val="18"/>
          <w:szCs w:val="18"/>
          <w:color w:val="auto"/>
        </w:rPr>
      </w:pPr>
    </w:p>
    <w:p>
      <w:pPr>
        <w:ind w:left="328" w:right="40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expenses of $18.5 million (1% decrease from prior-year quarter) — This decrease was primarily due to a decrease in administrative expense and an increase in other income, partially offset by an increase in interest expense.</w:t>
      </w:r>
    </w:p>
    <w:p>
      <w:pPr>
        <w:sectPr>
          <w:pgSz w:w="11900" w:h="16838" w:orient="portrait"/>
          <w:cols w:equalWidth="0" w:num="1">
            <w:col w:w="10968"/>
          </w:cols>
          <w:pgMar w:left="572" w:top="125" w:right="359" w:bottom="1440" w:gutter="0" w:footer="0" w:header="0"/>
        </w:sectPr>
      </w:pPr>
    </w:p>
    <w:bookmarkStart w:id="3" w:name="page4"/>
    <w:bookmarkEnd w:id="3"/>
    <w:p>
      <w:pPr>
        <w:ind w:right="40"/>
        <w:spacing w:after="0" w:line="277" w:lineRule="auto"/>
        <w:rPr>
          <w:sz w:val="20"/>
          <w:szCs w:val="20"/>
          <w:color w:val="auto"/>
        </w:rPr>
      </w:pPr>
      <w:r>
        <w:rPr>
          <w:rFonts w:ascii="Arial" w:cs="Arial" w:eastAsia="Arial" w:hAnsi="Arial"/>
          <w:sz w:val="18"/>
          <w:szCs w:val="18"/>
          <w:color w:val="auto"/>
        </w:rPr>
        <w:t>Due to the matters described in Part III above, we are unable at this time to estimate the results of our Latin America segment, which includes Grupo Finmart, and therefore, are also unable to estimate consolidated results of operations or cash flows.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29, 2015, we filed a Current Report on Form 8-K disclosing selected information about the third quarter of fiscal 2015 to the extent it is unaffected by the Grupo Finmart review described in Part III above.</w:t>
      </w:r>
    </w:p>
    <w:p>
      <w:pPr>
        <w:sectPr>
          <w:pgSz w:w="11900" w:h="16838" w:orient="portrait"/>
          <w:cols w:equalWidth="0" w:num="1">
            <w:col w:w="11420"/>
          </w:cols>
          <w:pgMar w:left="240" w:top="74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EZCORP, Inc. has caused this notification to be signed on its behalf by the undersigned hereunto duly authorized.</w:t>
      </w:r>
    </w:p>
    <w:p>
      <w:pPr>
        <w:spacing w:after="0" w:line="171"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August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Senior Vice President and General Counsel</w:t>
      </w:r>
    </w:p>
    <w:sectPr>
      <w:pgSz w:w="11900" w:h="16838" w:orient="portrait"/>
      <w:cols w:equalWidth="0" w:num="1">
        <w:col w:w="10219"/>
      </w:cols>
      <w:pgMar w:left="240" w:top="7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3"/>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2020-01-24T05:30:34Z</dcterms:created>
  <dcterms:modified xsi:type="dcterms:W3CDTF">2020-01-24T05:30:34Z</dcterms:modified>
</cp:coreProperties>
</file>