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5,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5, 2021, EZCORP, Inc. ("EZCORP") issued a press release announcing its results of operations and financial condition for the year ended March 31, 2021. A copy of that press release is attached as Exhibit 99.1.</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copy of the presentation materials that management will review during the Company’s earnings conference call (to be held on May 6, 2021) will be posted in the Investor Relations section of the company’s website at www.ezcorp.com.</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720" w:right="840" w:hanging="687"/>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99.1 </w:t>
      </w:r>
      <w:hyperlink w:anchor="page3">
        <w:r>
          <w:rPr>
            <w:rFonts w:ascii="Arial" w:cs="Arial" w:eastAsia="Arial" w:hAnsi="Arial"/>
            <w:sz w:val="18"/>
            <w:szCs w:val="18"/>
            <w:u w:val="single" w:color="auto"/>
            <w:color w:val="0000FF"/>
          </w:rPr>
          <w:t>Press Release, dated May 5, 2021, announcing EZCORP, Inc.’s results of operations and financial condition for the quarter and year ended</w:t>
        </w:r>
      </w:hyperlink>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March 31, 2021.</w:t>
        </w:r>
      </w:hyperlink>
    </w:p>
    <w:p>
      <w:pPr>
        <w:ind w:left="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360" w:type="dxa"/>
            <w:vAlign w:val="bottom"/>
            <w:gridSpan w:val="2"/>
          </w:tcPr>
          <w:p>
            <w:pPr>
              <w:ind w:left="2220"/>
              <w:spacing w:after="0"/>
              <w:rPr>
                <w:sz w:val="20"/>
                <w:szCs w:val="20"/>
                <w:color w:val="auto"/>
              </w:rPr>
            </w:pPr>
            <w:r>
              <w:rPr>
                <w:rFonts w:ascii="Arial" w:cs="Arial" w:eastAsia="Arial" w:hAnsi="Arial"/>
                <w:sz w:val="18"/>
                <w:szCs w:val="18"/>
                <w:color w:val="auto"/>
              </w:rPr>
              <w:t>EZCORP, INC.</w:t>
            </w:r>
          </w:p>
        </w:tc>
      </w:tr>
      <w:tr>
        <w:trPr>
          <w:trHeight w:val="283"/>
        </w:trPr>
        <w:tc>
          <w:tcPr>
            <w:tcW w:w="3800" w:type="dxa"/>
            <w:vAlign w:val="bottom"/>
          </w:tcPr>
          <w:p>
            <w:pPr>
              <w:spacing w:after="0"/>
              <w:rPr>
                <w:sz w:val="20"/>
                <w:szCs w:val="20"/>
                <w:color w:val="auto"/>
              </w:rPr>
            </w:pPr>
            <w:r>
              <w:rPr>
                <w:rFonts w:ascii="Arial" w:cs="Arial" w:eastAsia="Arial" w:hAnsi="Arial"/>
                <w:sz w:val="18"/>
                <w:szCs w:val="18"/>
                <w:color w:val="auto"/>
              </w:rPr>
              <w:t>Date:   May 5, 2021</w:t>
            </w:r>
          </w:p>
        </w:tc>
        <w:tc>
          <w:tcPr>
            <w:tcW w:w="3040" w:type="dxa"/>
            <w:vAlign w:val="bottom"/>
          </w:tcPr>
          <w:p>
            <w:pPr>
              <w:ind w:left="222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A. Kulas</w:t>
            </w:r>
          </w:p>
        </w:tc>
      </w:tr>
      <w:tr>
        <w:trPr>
          <w:trHeight w:val="222"/>
        </w:trPr>
        <w:tc>
          <w:tcPr>
            <w:tcW w:w="38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Jason A. Kulas</w:t>
            </w:r>
          </w:p>
        </w:tc>
      </w:tr>
      <w:tr>
        <w:trPr>
          <w:trHeight w:val="230"/>
        </w:trPr>
        <w:tc>
          <w:tcPr>
            <w:tcW w:w="3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Executive Officer and Chief Financial Officer</w:t>
            </w:r>
          </w:p>
        </w:tc>
      </w:tr>
    </w:tbl>
    <w:p>
      <w:pPr>
        <w:sectPr>
          <w:pgSz w:w="11900" w:h="16838" w:orient="portrait"/>
          <w:cols w:equalWidth="0" w:num="1">
            <w:col w:w="11220"/>
          </w:cols>
          <w:pgMar w:left="320" w:top="1053" w:right="359" w:bottom="1440" w:gutter="0" w:footer="0" w:header="0"/>
        </w:sectPr>
      </w:pPr>
    </w:p>
    <w:bookmarkStart w:id="2" w:name="page3"/>
    <w:bookmarkEnd w:id="2"/>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Reports Second Quarter Fiscal 2021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Austin, Texas (May 5, 2021) — </w:t>
      </w:r>
      <w:r>
        <w:rPr>
          <w:rFonts w:ascii="Arial" w:cs="Arial" w:eastAsia="Arial" w:hAnsi="Arial"/>
          <w:sz w:val="18"/>
          <w:szCs w:val="18"/>
          <w:color w:val="auto"/>
        </w:rPr>
        <w:t>EZCORP, Inc. (NASDAQ: EZPW) today announced results for its second quarter ended March 31, 2021.</w:t>
      </w:r>
    </w:p>
    <w:p>
      <w:pPr>
        <w:spacing w:after="0" w:line="180"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i w:val="1"/>
          <w:iCs w:val="1"/>
          <w:color w:val="auto"/>
        </w:rPr>
        <w:t>All amounts in this release are in conformity with U.S. generally accepted accounting principles ("GAAP") unless otherwise noted. Comparisons shown in this release are to the same period in the prior year unless otherwise noted.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Chief Executive Officer Jason Kulas stated, “We remain focused on meeting our customers’ short-term cash needs and providing access to affordable pre-owned general merchandise and jewelry, and we believe we have the right people, platform, footprint and cost structure in place to continue to strengthen and grow our core pawn business. Key highlights for the second quarter of fiscal 2021 included GAAP earnings per share of $0.10 and adjusted EPS of $0.17. The adjusted EPS was steady on a year-over-year basis despite lower pawn loans outstanding, pawn service charges and merchandise sales related to COVID-19 and related stimulus program headwinds. Merchandise sales gross profit continued to grow driven by improving inventory turns and rising merchandise margins, and we made further progress on our expense reduction initiatives. Looking ahead, even assuming store-level costs trend higher consistent with increasing transaction activity, we remain well positioned to drive higher operating margins as revenue rebuilds reflecting ongoing cost savings and simplification efforts across the business.</w:t>
      </w: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near term, lingering impacts from the second stimulus package as well as an extended tax filing season have continued to temporarily reduce demand for pawn loans in the U.S., and in Latin America we continue to be challenged with constrained traffic, limited operating hours and increased remittances. That said, we remain confident pawn loans outstanding will rebuild given several ongoing initiatives. First, we continue to broaden customer engagement via our digital pawn servicing platform and expanded payment options. Second, our differentiated technology and data analytics capabilities are increasingly driving improving loan-to-value ratios and redemption rates. Third, we remain committed to optimizing team member development, productivity and retention through enhanced training and diversity and inclusion programs.</w:t>
      </w:r>
    </w:p>
    <w:p>
      <w:pPr>
        <w:spacing w:after="0" w:line="2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"Finally, we remain focused on increasingly leveraging our strong balance sheet to fund pawn loans outstanding growth and capitalize on strategic and financially accretive acquisitions to complement de novo store growth. We have opened 8 de novo stores in Latin America so far this year and recently completed the acquisition of 11 stores in the Houston, Texas metropolitan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SECOND QUARTER OF FISCAL 2021</w:t>
      </w:r>
    </w:p>
    <w:p>
      <w:pPr>
        <w:spacing w:after="0" w:line="169" w:lineRule="exact"/>
        <w:rPr>
          <w:sz w:val="20"/>
          <w:szCs w:val="20"/>
          <w:color w:val="auto"/>
        </w:rPr>
      </w:pPr>
    </w:p>
    <w:p>
      <w:pPr>
        <w:ind w:left="660" w:right="400" w:hanging="328"/>
        <w:spacing w:after="0" w:line="225"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was $0.10, compared to $(0.74) in the prior-year quarter.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earnings per share was $0.17, consistent with the prior-year quarter. Income before taxes increased by $40.9 million to $6.8 million.</w:t>
      </w:r>
    </w:p>
    <w:p>
      <w:pPr>
        <w:spacing w:after="0" w:line="162" w:lineRule="exact"/>
        <w:rPr>
          <w:rFonts w:ascii="Arial" w:cs="Arial" w:eastAsia="Arial" w:hAnsi="Arial"/>
          <w:sz w:val="18"/>
          <w:szCs w:val="18"/>
          <w:color w:val="auto"/>
        </w:rPr>
      </w:pPr>
    </w:p>
    <w:p>
      <w:pPr>
        <w:ind w:left="660" w:hanging="328"/>
        <w:spacing w:after="0" w:line="261"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revenues decreased $38.3 million or 17%, primarily due to a $16.8 million or 21% decrease in pawn service charges (PSC) and a $14.6 million or 11% decrease in merchandise sales.</w:t>
      </w:r>
    </w:p>
    <w:p>
      <w:pPr>
        <w:spacing w:after="0" w:line="143" w:lineRule="exact"/>
        <w:rPr>
          <w:rFonts w:ascii="Arial" w:cs="Arial" w:eastAsia="Arial" w:hAnsi="Arial"/>
          <w:sz w:val="18"/>
          <w:szCs w:val="18"/>
          <w:color w:val="auto"/>
        </w:rPr>
      </w:pPr>
    </w:p>
    <w:p>
      <w:pPr>
        <w:ind w:left="660" w:right="360" w:hanging="328"/>
        <w:spacing w:after="0" w:line="256" w:lineRule="auto"/>
        <w:tabs>
          <w:tab w:leader="none" w:pos="66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decrease in PSC was due to a $34.9 million or 22% decrease in pawn loans outstanding (PLO). Pawn loan demand was significantly reduced due to the impacts of government stimulus which led to higher loan redemptions compared to the prior year quarter.</w:t>
      </w:r>
    </w:p>
    <w:p>
      <w:pPr>
        <w:spacing w:after="0" w:line="147" w:lineRule="exact"/>
        <w:rPr>
          <w:rFonts w:ascii="Arial" w:cs="Arial" w:eastAsia="Arial" w:hAnsi="Arial"/>
          <w:sz w:val="18"/>
          <w:szCs w:val="18"/>
          <w:b w:val="1"/>
          <w:bCs w:val="1"/>
          <w:color w:val="auto"/>
        </w:rPr>
      </w:pPr>
    </w:p>
    <w:p>
      <w:pPr>
        <w:ind w:left="660" w:right="80" w:hanging="328"/>
        <w:spacing w:after="0" w:line="278" w:lineRule="auto"/>
        <w:tabs>
          <w:tab w:leader="none" w:pos="669" w:val="left"/>
        </w:tabs>
        <w:numPr>
          <w:ilvl w:val="0"/>
          <w:numId w:val="2"/>
        </w:numPr>
        <w:rPr>
          <w:rFonts w:ascii="Arial" w:cs="Arial" w:eastAsia="Arial" w:hAnsi="Arial"/>
          <w:sz w:val="17"/>
          <w:szCs w:val="17"/>
          <w:color w:val="auto"/>
        </w:rPr>
      </w:pPr>
      <w:r>
        <w:rPr>
          <w:rFonts w:ascii="Arial" w:cs="Arial" w:eastAsia="Arial" w:hAnsi="Arial"/>
          <w:sz w:val="17"/>
          <w:szCs w:val="17"/>
          <w:color w:val="auto"/>
        </w:rPr>
        <w:t>Although merchandise sales decreased by $14.6 million, merchandise sales gross profit improved by 12%, driven by effective inventory management and less aged inventory leading to a 900 bps improvement in merchandise sales gross profit margin to 43%. The sales margin in the prior year quarter was negatively impacted by 200 bps due to greater sales volume of aged merchandise.</w:t>
      </w:r>
    </w:p>
    <w:p>
      <w:pPr>
        <w:spacing w:after="0" w:line="130" w:lineRule="exact"/>
        <w:rPr>
          <w:rFonts w:ascii="Arial" w:cs="Arial" w:eastAsia="Arial" w:hAnsi="Arial"/>
          <w:sz w:val="17"/>
          <w:szCs w:val="17"/>
          <w:color w:val="auto"/>
        </w:rPr>
      </w:pPr>
    </w:p>
    <w:p>
      <w:pPr>
        <w:ind w:left="660" w:right="60" w:hanging="328"/>
        <w:spacing w:after="0" w:line="254"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were down $55.0 million or 35% to $103.1 million primarily due to a $47.1 million impairment charge in the prior year quarter with no similar charge in the current year quarter. Excluding the prior year impairment charge, total operating expenses decreased by 7% or $7.9 million largely driven by the decrease in store expenses of $6.5 million or 7% due to a continued focus on expense control.</w:t>
      </w:r>
    </w:p>
    <w:p>
      <w:pPr>
        <w:sectPr>
          <w:pgSz w:w="11900" w:h="16838" w:orient="portrait"/>
          <w:cols w:equalWidth="0" w:num="1">
            <w:col w:w="11220"/>
          </w:cols>
          <w:pgMar w:left="320" w:top="1440" w:right="359" w:bottom="1440" w:gutter="0" w:footer="0" w:header="0"/>
        </w:sectPr>
      </w:pPr>
    </w:p>
    <w:bookmarkStart w:id="3" w:name="page4"/>
    <w:bookmarkEnd w:id="3"/>
    <w:p>
      <w:pPr>
        <w:ind w:left="660" w:right="200" w:hanging="328"/>
        <w:spacing w:after="0" w:line="26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inventory was $86.2 million, down 50% year-over-year and 9% sequentially. Inventory turnover improved to 3.1x from 2.1x and on a sequential basis improved 7% from 2.9x.</w:t>
      </w:r>
    </w:p>
    <w:p>
      <w:pPr>
        <w:spacing w:after="0" w:line="143" w:lineRule="exact"/>
        <w:rPr>
          <w:rFonts w:ascii="Arial" w:cs="Arial" w:eastAsia="Arial" w:hAnsi="Arial"/>
          <w:sz w:val="18"/>
          <w:szCs w:val="18"/>
          <w:color w:val="auto"/>
        </w:rPr>
      </w:pPr>
    </w:p>
    <w:p>
      <w:pPr>
        <w:jc w:val="both"/>
        <w:ind w:left="660" w:right="360" w:hanging="328"/>
        <w:spacing w:after="0" w:line="256" w:lineRule="auto"/>
        <w:tabs>
          <w:tab w:leader="none" w:pos="66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Cash and cash equivalents at the end of the quarter was $335.6 million, an increase of $141.9 million or 73% from the prior-year quarter due to the year-over-year reduction in earning assets. On a sequential basis, cash and cash equivalents increased $45.2 million or 16%, due to higher loan redemptions and merchandise sales.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9"/>
        </w:trPr>
        <w:tc>
          <w:tcPr>
            <w:tcW w:w="572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5"/>
        </w:trPr>
        <w:tc>
          <w:tcPr>
            <w:tcW w:w="572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r>
      <w:tr>
        <w:trPr>
          <w:trHeight w:val="263"/>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223.3</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223.3</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127.4</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(0.74)</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r>
    </w:tbl>
    <w:p>
      <w:pPr>
        <w:spacing w:after="0" w:line="242" w:lineRule="exact"/>
        <w:rPr>
          <w:sz w:val="20"/>
          <w:szCs w:val="20"/>
          <w:color w:val="auto"/>
        </w:rPr>
      </w:pPr>
    </w:p>
    <w:p>
      <w:pPr>
        <w:ind w:left="660" w:right="260" w:hanging="328"/>
        <w:spacing w:after="0" w:line="291" w:lineRule="auto"/>
        <w:tabs>
          <w:tab w:leader="none" w:pos="669"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revenues decreased 17% to $184.9 million. PSC was down 21% to $63.4 million due to lower average PLO. On a sequential basis, PLO decreased 15% from the prior quarter, compared to an 18% sequential decrease in the same period of the prior year.</w:t>
      </w:r>
    </w:p>
    <w:p>
      <w:pPr>
        <w:spacing w:after="0" w:line="11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were down 11% to $113.7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merchandise sales gross profit increased 12% to $49.4 million.</w:t>
      </w:r>
    </w:p>
    <w:p>
      <w:pPr>
        <w:spacing w:after="0" w:line="171" w:lineRule="exact"/>
        <w:rPr>
          <w:rFonts w:ascii="Arial" w:cs="Arial" w:eastAsia="Arial" w:hAnsi="Arial"/>
          <w:sz w:val="18"/>
          <w:szCs w:val="18"/>
          <w:color w:val="auto"/>
        </w:rPr>
      </w:pPr>
    </w:p>
    <w:p>
      <w:pPr>
        <w:ind w:left="660" w:hanging="328"/>
        <w:spacing w:after="0" w:line="278" w:lineRule="auto"/>
        <w:tabs>
          <w:tab w:leader="none" w:pos="669" w:val="left"/>
        </w:tabs>
        <w:numPr>
          <w:ilvl w:val="0"/>
          <w:numId w:val="4"/>
        </w:numPr>
        <w:rPr>
          <w:rFonts w:ascii="Arial" w:cs="Arial" w:eastAsia="Arial" w:hAnsi="Arial"/>
          <w:sz w:val="17"/>
          <w:szCs w:val="17"/>
          <w:color w:val="595959"/>
        </w:rPr>
      </w:pPr>
      <w:r>
        <w:rPr>
          <w:rFonts w:ascii="Arial" w:cs="Arial" w:eastAsia="Arial" w:hAnsi="Arial"/>
          <w:sz w:val="17"/>
          <w:szCs w:val="17"/>
          <w:color w:val="auto"/>
        </w:rPr>
        <w:t>Consolidated store expenses decreased 7% primarily due to a reduction of expenses in line with reduced activity at the store level. Total store count decreased by 16 stores or 2% since the end of the prior-year quarter due to the closure of 22 financial services stores in Canada. General and administrative expense decreased 10% to $13.8 million, due to a continued focus on expense control.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was down 15% to $147.0 million, reflecting the impact of lower PLO driving a decrease in PSC revenue.</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decreased 22% year-over-year to $95.4 million. On a sequential basis, PLO decreased 22% compared to a 23% sequential decrease in the prior-year quarter.</w:t>
      </w:r>
    </w:p>
    <w:p>
      <w:pPr>
        <w:spacing w:after="0" w:line="143" w:lineRule="exact"/>
        <w:rPr>
          <w:rFonts w:ascii="Arial" w:cs="Arial" w:eastAsia="Arial" w:hAnsi="Arial"/>
          <w:sz w:val="18"/>
          <w:szCs w:val="18"/>
          <w:color w:val="auto"/>
        </w:rPr>
      </w:pPr>
    </w:p>
    <w:p>
      <w:pPr>
        <w:ind w:left="660" w:right="32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decreased 20% to $49.6 million as a result of lower average PLO for the quarter, offset by an increase in PLO yield to 180% from 173%.</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declined 8% to $93.8 million. Inventory turnover improved to 2.9x from 2.0x. Merchandise sales gross profit was up 13% and related margins grew to 45% from 36%, above our targeted range. Aged general merchandise inventory improved to 1.6% from 6.4%.</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revenues decreased 9% to $92.1 million primarily due to lower PSC, partially offset by increased merchandise sales gross profit.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Store expenses were down 6% to $63.7 million driven by a reduction in labor expense.</w:t>
      </w:r>
    </w:p>
    <w:p>
      <w:pPr>
        <w:spacing w:after="0" w:line="171" w:lineRule="exact"/>
        <w:rPr>
          <w:rFonts w:ascii="Arial" w:cs="Arial" w:eastAsia="Arial" w:hAnsi="Arial"/>
          <w:sz w:val="18"/>
          <w:szCs w:val="18"/>
          <w:color w:val="auto"/>
        </w:rPr>
      </w:pPr>
    </w:p>
    <w:p>
      <w:pPr>
        <w:ind w:left="660" w:right="220" w:hanging="328"/>
        <w:spacing w:after="0" w:line="256"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contribution increased $5.3 million to $25.8 million due to a $4.0 million decrease in store expenses and a $10.0 million impairment charge taken in the prior year quarter with no similar charge in the current year quarter, partially offset by a $8.7 million decrease in net revenues driven by the decrease in PSC described above.</w:t>
      </w:r>
    </w:p>
    <w:p>
      <w:pPr>
        <w:sectPr>
          <w:pgSz w:w="11900" w:h="16838" w:orient="portrait"/>
          <w:cols w:equalWidth="0" w:num="1">
            <w:col w:w="11240"/>
          </w:cols>
          <w:pgMar w:left="320" w:top="111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24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was down 22% to $37.8 million, reflecting the impact of lower PLO driving a decrease in PSC revenue in addition to decreased merchandise sales.</w:t>
      </w:r>
    </w:p>
    <w:p>
      <w:pPr>
        <w:spacing w:after="0" w:line="143" w:lineRule="exact"/>
        <w:rPr>
          <w:rFonts w:ascii="Arial" w:cs="Arial" w:eastAsia="Arial" w:hAnsi="Arial"/>
          <w:sz w:val="18"/>
          <w:szCs w:val="18"/>
          <w:color w:val="auto"/>
        </w:rPr>
      </w:pPr>
    </w:p>
    <w:p>
      <w:pPr>
        <w:ind w:left="660" w:right="340" w:hanging="328"/>
        <w:spacing w:after="0" w:line="256"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decreased 22% year-over-year to $29.9 million as the result of the impact of constrained traffic, limited operating hours and increased remittances from the U.S. On a sequential basis, PLO increased 15% compared to a 6% decrease in the prior-year quarter.</w:t>
      </w:r>
    </w:p>
    <w:p>
      <w:pPr>
        <w:spacing w:after="0" w:line="147"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decreased 25% to $13.9 million (down 24% to $14.1 million on a constant currency basis) as a result of lower average PLO for the quarter, offset by an increase in yield to 199% from 184% in the prior year.</w:t>
      </w:r>
    </w:p>
    <w:p>
      <w:pPr>
        <w:spacing w:after="0" w:line="157" w:lineRule="exact"/>
        <w:rPr>
          <w:rFonts w:ascii="Arial" w:cs="Arial" w:eastAsia="Arial" w:hAnsi="Arial"/>
          <w:sz w:val="18"/>
          <w:szCs w:val="18"/>
          <w:color w:val="auto"/>
        </w:rPr>
      </w:pPr>
    </w:p>
    <w:p>
      <w:pPr>
        <w:jc w:val="both"/>
        <w:ind w:left="660" w:right="120" w:hanging="328"/>
        <w:spacing w:after="0" w:line="242" w:lineRule="auto"/>
        <w:tabs>
          <w:tab w:leader="none" w:pos="662" w:val="left"/>
        </w:tabs>
        <w:numPr>
          <w:ilvl w:val="0"/>
          <w:numId w:val="6"/>
        </w:numPr>
        <w:rPr>
          <w:rFonts w:ascii="Arial" w:cs="Arial" w:eastAsia="Arial" w:hAnsi="Arial"/>
          <w:sz w:val="20"/>
          <w:szCs w:val="20"/>
          <w:color w:val="auto"/>
        </w:rPr>
      </w:pPr>
      <w:r>
        <w:rPr>
          <w:rFonts w:ascii="Arial" w:cs="Arial" w:eastAsia="Arial" w:hAnsi="Arial"/>
          <w:sz w:val="18"/>
          <w:szCs w:val="18"/>
          <w:color w:val="auto"/>
        </w:rPr>
        <w:t>Merchandise sales declined 22% to $21.4 million (down 20% to $21.8 million on a constant currency basis), but merchandise sales gross profit was up 10% and related margins were 35%, up from 25%. Inventory turnover improved to 4.0x from 2.5x. Aged general merchandise inventory decreased to 3.1% from 11.4%.</w:t>
      </w:r>
    </w:p>
    <w:p>
      <w:pPr>
        <w:spacing w:after="0" w:line="160"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decreased 17% to $21.5 million (down 15% to $21.9 million on a constant currency basis) primarily due to lower PSC.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expenses were down 5% to $17.5 million driven by a reduction in labor expense.</w:t>
      </w:r>
    </w:p>
    <w:p>
      <w:pPr>
        <w:spacing w:after="0" w:line="171" w:lineRule="exact"/>
        <w:rPr>
          <w:rFonts w:ascii="Arial" w:cs="Arial" w:eastAsia="Arial" w:hAnsi="Arial"/>
          <w:sz w:val="18"/>
          <w:szCs w:val="18"/>
          <w:color w:val="auto"/>
        </w:rPr>
      </w:pPr>
    </w:p>
    <w:p>
      <w:pPr>
        <w:jc w:val="both"/>
        <w:ind w:left="660" w:right="340" w:hanging="328"/>
        <w:spacing w:after="0" w:line="256"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for the quarter was $2.6 million ($2.7 million on a constant currency basis), compared to a segment loss of $30.1 million in the prior year quarter, primarily due to a $35.9 million impairment charge of goodwill, intangible and other assets taken in the prior year quarter with no similar charge in the current quarter.</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Pawn added four de novo stores in the quarter. New store openings typically pressure earnings in the short term as they ramp up, but drive higher profitability over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9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 xml:space="preserve">EZCORP’s Quarterly Report on Form 10-Q for the quarter ended March 31, 2021 has been filed with the Securities and Exchange Commission and is available in the Investor Relations section of the Company’s website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31" w:lineRule="exact"/>
        <w:rPr>
          <w:sz w:val="20"/>
          <w:szCs w:val="20"/>
          <w:color w:val="auto"/>
        </w:rPr>
      </w:pPr>
    </w:p>
    <w:p>
      <w:pPr>
        <w:jc w:val="both"/>
        <w:ind w:right="280"/>
        <w:spacing w:after="0" w:line="257" w:lineRule="auto"/>
        <w:rPr>
          <w:sz w:val="20"/>
          <w:szCs w:val="20"/>
          <w:color w:val="auto"/>
        </w:rPr>
      </w:pPr>
      <w:r>
        <w:rPr>
          <w:rFonts w:ascii="Arial" w:cs="Arial" w:eastAsia="Arial" w:hAnsi="Arial"/>
          <w:sz w:val="17"/>
          <w:szCs w:val="17"/>
          <w:color w:val="auto"/>
        </w:rPr>
        <w:t xml:space="preserve">EZCORP will host a conference call on Thursday, May 6, 2021, at 7:00 am Central Time to discuss fiscal second quarter results. Analysts and institutional investors may participate on the conference call by dialing (866) 269-4260, Conference ID: 5433254, or internationally by dialing (323) 347-3277. The conference call will be webcast simultaneously to the public through this link: </w:t>
      </w:r>
      <w:r>
        <w:rPr>
          <w:rFonts w:ascii="Arial" w:cs="Arial" w:eastAsia="Arial" w:hAnsi="Arial"/>
          <w:sz w:val="17"/>
          <w:szCs w:val="17"/>
          <w:u w:val="single" w:color="auto"/>
          <w:color w:val="auto"/>
        </w:rPr>
        <w:t>http://investors.ezcorp.com/</w:t>
      </w:r>
      <w:r>
        <w:rPr>
          <w:rFonts w:ascii="Arial" w:cs="Arial" w:eastAsia="Arial" w:hAnsi="Arial"/>
          <w:sz w:val="17"/>
          <w:szCs w:val="17"/>
          <w:color w:val="auto"/>
        </w:rPr>
        <w:t xml:space="preserve">. A replay of the conference call will be available online at </w:t>
      </w:r>
      <w:r>
        <w:rPr>
          <w:rFonts w:ascii="Arial" w:cs="Arial" w:eastAsia="Arial" w:hAnsi="Arial"/>
          <w:sz w:val="17"/>
          <w:szCs w:val="17"/>
          <w:u w:val="single" w:color="auto"/>
          <w:color w:val="auto"/>
        </w:rPr>
        <w:t>http://investors.ezcorp.com/</w:t>
      </w:r>
      <w:r>
        <w:rPr>
          <w:rFonts w:ascii="Arial" w:cs="Arial" w:eastAsia="Arial" w:hAnsi="Arial"/>
          <w:sz w:val="17"/>
          <w:szCs w:val="17"/>
          <w:color w:val="auto"/>
        </w:rPr>
        <w:t xml:space="preserve"> shortly after the end of the call.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Formed in 1989, EZCORP has grown into a leading provider of pawn loans in the United States and Latin America. We also sell merchandise, primarily collateral forfeited from pawn lending operations and pre-owned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ectPr>
          <w:pgSz w:w="11900" w:h="16838" w:orient="portrait"/>
          <w:cols w:equalWidth="0" w:num="1">
            <w:col w:w="11200"/>
          </w:cols>
          <w:pgMar w:left="320" w:top="1111"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224"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44"/>
        </w:trPr>
        <w:tc>
          <w:tcPr>
            <w:tcW w:w="5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115,225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129,830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223,008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256,558</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21,406</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63,436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80,222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126,925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164,947</w:t>
            </w:r>
          </w:p>
        </w:tc>
      </w:tr>
      <w:tr>
        <w:trPr>
          <w:trHeight w:val="219"/>
        </w:trPr>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w:t>
            </w:r>
          </w:p>
        </w:tc>
      </w:tr>
      <w:tr>
        <w:trPr>
          <w:trHeight w:val="206"/>
        </w:trPr>
        <w:tc>
          <w:tcPr>
            <w:tcW w:w="52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184,939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223,280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363,074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445,714</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65,790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130,333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169,852</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17,371</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r>
      <w:tr>
        <w:trPr>
          <w:trHeight w:val="207"/>
        </w:trPr>
        <w:tc>
          <w:tcPr>
            <w:tcW w:w="52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113,748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127,362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222,138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257,430</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81,149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87,648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160,458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176,923</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26,281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34,179</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47,060</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15,495</w:t>
            </w:r>
          </w:p>
        </w:tc>
      </w:tr>
      <w:tr>
        <w:trPr>
          <w:trHeight w:val="219"/>
        </w:trPr>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r>
      <w:tr>
        <w:trPr>
          <w:trHeight w:val="210"/>
        </w:trPr>
        <w:tc>
          <w:tcPr>
            <w:tcW w:w="52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202,490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274,662</w:t>
            </w:r>
          </w:p>
        </w:tc>
      </w:tr>
      <w:tr>
        <w:trPr>
          <w:trHeight w:val="210"/>
        </w:trPr>
        <w:tc>
          <w:tcPr>
            <w:tcW w:w="52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10,627</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(17,232)</w:t>
            </w:r>
          </w:p>
        </w:tc>
      </w:tr>
      <w:tr>
        <w:trPr>
          <w:trHeight w:val="206"/>
        </w:trPr>
        <w:tc>
          <w:tcPr>
            <w:tcW w:w="5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11,210</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4,713</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06"/>
        </w:trPr>
        <w:tc>
          <w:tcPr>
            <w:tcW w:w="52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6,799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(31,128)</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8,508</w:t>
            </w:r>
          </w:p>
        </w:tc>
      </w:tr>
      <w:tr>
        <w:trPr>
          <w:trHeight w:val="22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5,330</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9,629</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(39,636)</w:t>
            </w:r>
          </w:p>
        </w:tc>
      </w:tr>
      <w:tr>
        <w:trPr>
          <w:trHeight w:val="413"/>
        </w:trPr>
        <w:tc>
          <w:tcPr>
            <w:tcW w:w="522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432"/>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55,661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55,448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55,509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55,557</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55,608</w:t>
            </w:r>
          </w:p>
        </w:tc>
      </w:tr>
    </w:tbl>
    <w:p>
      <w:pPr>
        <w:sectPr>
          <w:pgSz w:w="11900" w:h="16838" w:orient="portrait"/>
          <w:cols w:equalWidth="0" w:num="1">
            <w:col w:w="11240"/>
          </w:cols>
          <w:pgMar w:left="320" w:top="117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6"/>
                <w:szCs w:val="16"/>
                <w:color w:val="auto"/>
              </w:rPr>
            </w:pP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70"/>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ind w:left="840"/>
              <w:spacing w:after="0" w:line="170" w:lineRule="exact"/>
              <w:rPr>
                <w:sz w:val="20"/>
                <w:szCs w:val="20"/>
                <w:color w:val="auto"/>
              </w:rPr>
            </w:pPr>
            <w:r>
              <w:rPr>
                <w:rFonts w:ascii="Arial" w:cs="Arial" w:eastAsia="Arial" w:hAnsi="Arial"/>
                <w:sz w:val="16"/>
                <w:szCs w:val="16"/>
                <w:color w:val="auto"/>
              </w:rPr>
              <w:t>(Unaudited)</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1"/>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335,638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193,729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304,542</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8,006</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125,268</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160,179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131,323</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20,842</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27,304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20,580</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86,214</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173,251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95,891</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Notes receivable, net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3,728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30,676</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23,629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206"/>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606,644</w:t>
            </w: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585,820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593,250</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34,961</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27,993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32,458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51,836</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58,787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56,986</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Lease right-of-use asset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170,479</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206,839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183,809</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258,199</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257,222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257,582</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58,125</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64,043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58,638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Notes receivable,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1,164</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9,693</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8,931</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5,152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5,045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4,221</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1,196,253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1,213,132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r>
        <w:trPr>
          <w:trHeight w:val="304"/>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69,019</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53,152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71,504</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11,401</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41,060</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44,076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49,742</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121,480</w:t>
            </w: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110,555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132,467</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257,143</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244,288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251,016</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167</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Lease liability</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138,622</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171,006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153,040</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9,597</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7,190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527,009</w:t>
            </w: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535,579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547,896</w:t>
            </w: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3"/>
        </w:trPr>
        <w:tc>
          <w:tcPr>
            <w:tcW w:w="6700" w:type="dxa"/>
            <w:vAlign w:val="bottom"/>
          </w:tcPr>
          <w:p>
            <w:pPr>
              <w:ind w:left="480"/>
              <w:spacing w:after="0"/>
              <w:rPr>
                <w:sz w:val="20"/>
                <w:szCs w:val="20"/>
                <w:color w:val="auto"/>
              </w:rPr>
            </w:pPr>
            <w:r>
              <w:rPr>
                <w:rFonts w:ascii="Arial" w:cs="Arial" w:eastAsia="Arial" w:hAnsi="Arial"/>
                <w:sz w:val="16"/>
                <w:szCs w:val="16"/>
                <w:color w:val="auto"/>
              </w:rPr>
              <w:t>Class A Non-voting Common Stock, par value $0.01 per share; shares authorized: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52,873,568 as of March 31, 2021; 52,097,590 as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6700" w:type="dxa"/>
            <w:vAlign w:val="bottom"/>
          </w:tcPr>
          <w:p>
            <w:pPr>
              <w:ind w:left="480"/>
              <w:spacing w:after="0"/>
              <w:rPr>
                <w:sz w:val="20"/>
                <w:szCs w:val="20"/>
                <w:color w:val="auto"/>
              </w:rPr>
            </w:pPr>
            <w:r>
              <w:rPr>
                <w:rFonts w:ascii="Arial" w:cs="Arial" w:eastAsia="Arial" w:hAnsi="Arial"/>
                <w:sz w:val="16"/>
                <w:szCs w:val="16"/>
                <w:color w:val="auto"/>
              </w:rPr>
              <w:t>of March 31, 2020; and 52,332,848 as of September 30, 2020</w:t>
            </w:r>
          </w:p>
        </w:tc>
        <w:tc>
          <w:tcPr>
            <w:tcW w:w="220" w:type="dxa"/>
            <w:vAlign w:val="bottom"/>
          </w:tcPr>
          <w:p>
            <w:pPr>
              <w:spacing w:after="0"/>
              <w:rPr>
                <w:sz w:val="16"/>
                <w:szCs w:val="16"/>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528</w:t>
            </w:r>
          </w:p>
        </w:tc>
        <w:tc>
          <w:tcPr>
            <w:tcW w:w="3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183"/>
        </w:trPr>
        <w:tc>
          <w:tcPr>
            <w:tcW w:w="6700" w:type="dxa"/>
            <w:vAlign w:val="bottom"/>
          </w:tcPr>
          <w:p>
            <w:pPr>
              <w:ind w:left="480"/>
              <w:spacing w:after="0"/>
              <w:rPr>
                <w:sz w:val="20"/>
                <w:szCs w:val="20"/>
                <w:color w:val="auto"/>
              </w:rPr>
            </w:pPr>
            <w:r>
              <w:rPr>
                <w:rFonts w:ascii="Arial" w:cs="Arial" w:eastAsia="Arial" w:hAnsi="Arial"/>
                <w:sz w:val="16"/>
                <w:szCs w:val="16"/>
                <w:color w:val="auto"/>
              </w:rPr>
              <w:t>Class B Voting Common Stock, convertible, par value $0.01 per share; shares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20" w:type="dxa"/>
            <w:vAlign w:val="bottom"/>
          </w:tcPr>
          <w:p>
            <w:pPr>
              <w:spacing w:after="0"/>
              <w:rPr>
                <w:sz w:val="16"/>
                <w:szCs w:val="16"/>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399,439</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406,171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398,475</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327,798</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347,004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318,169</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(58,551)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(76,173)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669,244</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677,553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649,127</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1,196,253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1,213,132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bl>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45"/>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9,629</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(39,636)</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15,661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15,495</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6,754</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6,493</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23,835</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22,752</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(3,698)</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47,060</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1,810</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(5,265)</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2,722</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4,027</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6,481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3,874</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(43,436)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(37,799)</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18,721</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21,271</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(269,468)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(351,050)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177,888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229,054</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109,019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158,792</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(8,359)</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(12,160)</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9,080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28,636</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borrowings, net of issuance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borrowings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(7,256)</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(7,364)</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31,091</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35,287</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312,553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162,442</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343,644</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197,729</w:t>
            </w:r>
          </w:p>
        </w:tc>
      </w:tr>
      <w:tr>
        <w:trPr>
          <w:trHeight w:val="250"/>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335,638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193,729</w:t>
            </w:r>
          </w:p>
        </w:tc>
      </w:tr>
      <w:tr>
        <w:trPr>
          <w:trHeight w:val="219"/>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8,006</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r>
      <w:tr>
        <w:trPr>
          <w:trHeight w:val="220"/>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343,644</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197,729</w:t>
            </w:r>
          </w:p>
        </w:tc>
      </w:tr>
      <w:tr>
        <w:trPr>
          <w:trHeight w:val="250"/>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99,285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156,468</w:t>
            </w:r>
          </w:p>
        </w:tc>
      </w:tr>
    </w:tbl>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rPr>
              <w:t>Three Months Ended March 31, 2021</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93,827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21,398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115,225</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115,225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63,436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63,436</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37,751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184,939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184,939</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65,790</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5,401</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92,053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113,748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113,748</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81,149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13,771</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Loss on sale or disposal of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29,796</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Three Months Ended March 31, 2020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102,447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27,383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129,830</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129,830</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11,878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80,222</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173,837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223,280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223,280</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85,776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85,776</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9,617</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100,751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127,362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127,362</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87,648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87,648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15,341</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Impairment of goodwill, intangible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and other assets</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47,060</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7,762</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(Gain) loss on sale or disposal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5,881</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(30,141)</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Six Months Ended March 31, 2021</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International</w:t>
            </w:r>
          </w:p>
        </w:tc>
        <w:tc>
          <w:tcPr>
            <w:tcW w:w="13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176,080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46,928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223,008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223,008</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12,834</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126,925</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7"/>
        </w:trPr>
        <w:tc>
          <w:tcPr>
            <w:tcW w:w="288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283,513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79,312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363,074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363,074</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130,333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130,333</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10,603</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88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177,649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44,240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222,138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222,138</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160,458</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26,281</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183"/>
        </w:trPr>
        <w:tc>
          <w:tcPr>
            <w:tcW w:w="2880" w:type="dxa"/>
            <w:vAlign w:val="bottom"/>
          </w:tcPr>
          <w:p>
            <w:pPr>
              <w:ind w:left="220"/>
              <w:spacing w:after="0"/>
              <w:rPr>
                <w:sz w:val="20"/>
                <w:szCs w:val="20"/>
                <w:color w:val="auto"/>
              </w:rPr>
            </w:pPr>
            <w:r>
              <w:rPr>
                <w:rFonts w:ascii="Arial" w:cs="Arial" w:eastAsia="Arial" w:hAnsi="Arial"/>
                <w:sz w:val="16"/>
                <w:szCs w:val="16"/>
                <w:color w:val="auto"/>
              </w:rPr>
              <w:t>Loss on sale or disposal of assets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10,973</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183"/>
        </w:trPr>
        <w:tc>
          <w:tcPr>
            <w:tcW w:w="288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46,501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12,301</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28" w:right="6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Six Months Ended March 31, 2020</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197,801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58,757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256,558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256,558</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21,406</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125,790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164,947</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339,434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103,594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445,714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445,714</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169,852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169,852</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17,371</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200,229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257,430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257,430</w:t>
            </w:r>
          </w:p>
        </w:tc>
        <w:tc>
          <w:tcPr>
            <w:tcW w:w="0" w:type="dxa"/>
            <w:vAlign w:val="bottom"/>
          </w:tcPr>
          <w:p>
            <w:pPr>
              <w:spacing w:after="0"/>
              <w:rPr>
                <w:sz w:val="1"/>
                <w:szCs w:val="1"/>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135,678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176,923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176,923</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34,179</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Impairment of goodwill, intangible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and other assets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47,060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15,495</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(Gain) loss on sale or disposal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11,210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Equity in net loss of unconsolidated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4,713</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48,975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(7,368)</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(31,128)</w:t>
            </w:r>
          </w:p>
        </w:tc>
        <w:tc>
          <w:tcPr>
            <w:tcW w:w="0" w:type="dxa"/>
            <w:vAlign w:val="bottom"/>
          </w:tcPr>
          <w:p>
            <w:pPr>
              <w:spacing w:after="0"/>
              <w:rPr>
                <w:sz w:val="1"/>
                <w:szCs w:val="1"/>
                <w:color w:val="auto"/>
              </w:rPr>
            </w:pPr>
          </w:p>
        </w:tc>
      </w:tr>
    </w:tbl>
    <w:p>
      <w:pPr>
        <w:sectPr>
          <w:pgSz w:w="11900" w:h="16838" w:orient="portrait"/>
          <w:cols w:equalWidth="0" w:num="1">
            <w:col w:w="10920"/>
          </w:cols>
          <w:pgMar w:left="320" w:top="1026" w:right="6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EZCORP,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STORE COUNT ACTIVITY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4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2021</w:t>
            </w:r>
          </w:p>
        </w:tc>
        <w:tc>
          <w:tcPr>
            <w:tcW w:w="0" w:type="dxa"/>
            <w:vAlign w:val="bottom"/>
          </w:tcPr>
          <w:p>
            <w:pPr>
              <w:spacing w:after="0"/>
              <w:rPr>
                <w:sz w:val="1"/>
                <w:szCs w:val="1"/>
                <w:color w:val="auto"/>
              </w:rPr>
            </w:pPr>
          </w:p>
        </w:tc>
      </w:tr>
      <w:tr>
        <w:trPr>
          <w:trHeight w:val="158"/>
        </w:trPr>
        <w:tc>
          <w:tcPr>
            <w:tcW w:w="70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40" w:type="dxa"/>
            <w:vAlign w:val="bottom"/>
          </w:tcPr>
          <w:p>
            <w:pPr>
              <w:spacing w:after="0"/>
              <w:rPr>
                <w:sz w:val="20"/>
                <w:szCs w:val="20"/>
                <w:color w:val="auto"/>
              </w:rPr>
            </w:pPr>
            <w:r>
              <w:rPr>
                <w:rFonts w:ascii="Arial" w:cs="Arial" w:eastAsia="Arial" w:hAnsi="Arial"/>
                <w:sz w:val="16"/>
                <w:szCs w:val="16"/>
                <w:color w:val="auto"/>
              </w:rPr>
              <w:t>As of December 31,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As of March 31,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March 31, 2020</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3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4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gridSpan w:val="2"/>
          </w:tcPr>
          <w:p>
            <w:pPr>
              <w:ind w:left="460"/>
              <w:spacing w:after="0" w:line="158" w:lineRule="exact"/>
              <w:rPr>
                <w:sz w:val="20"/>
                <w:szCs w:val="20"/>
                <w:color w:val="auto"/>
              </w:rPr>
            </w:pPr>
            <w:r>
              <w:rPr>
                <w:rFonts w:ascii="Arial" w:cs="Arial" w:eastAsia="Arial" w:hAnsi="Arial"/>
                <w:sz w:val="16"/>
                <w:szCs w:val="16"/>
                <w:b w:val="1"/>
                <w:bCs w:val="1"/>
                <w:color w:val="auto"/>
              </w:rPr>
              <w:t>Other</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0"/>
                <w:szCs w:val="20"/>
                <w:color w:val="auto"/>
              </w:rPr>
            </w:pPr>
            <w:r>
              <w:rPr>
                <w:rFonts w:ascii="Arial" w:cs="Arial" w:eastAsia="Arial" w:hAnsi="Arial"/>
                <w:sz w:val="16"/>
                <w:szCs w:val="16"/>
                <w:color w:val="auto"/>
              </w:rPr>
              <w:t>As of December 31, 2019</w:t>
            </w:r>
          </w:p>
        </w:tc>
        <w:tc>
          <w:tcPr>
            <w:tcW w:w="1300" w:type="dxa"/>
            <w:vAlign w:val="bottom"/>
          </w:tcPr>
          <w:p>
            <w:pPr>
              <w:jc w:val="right"/>
              <w:spacing w:after="0"/>
              <w:rPr>
                <w:sz w:val="20"/>
                <w:szCs w:val="20"/>
                <w:color w:val="auto"/>
              </w:rPr>
            </w:pPr>
            <w:r>
              <w:rPr>
                <w:rFonts w:ascii="Arial" w:cs="Arial" w:eastAsia="Arial" w:hAnsi="Arial"/>
                <w:sz w:val="16"/>
                <w:szCs w:val="16"/>
                <w:color w:val="auto"/>
              </w:rPr>
              <w:t>512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6"/>
                <w:szCs w:val="16"/>
                <w:color w:val="auto"/>
              </w:rPr>
              <w:t>As of March 31, 2020</w:t>
            </w:r>
          </w:p>
        </w:tc>
        <w:tc>
          <w:tcPr>
            <w:tcW w:w="1300" w:type="dxa"/>
            <w:vAlign w:val="bottom"/>
          </w:tcPr>
          <w:p>
            <w:pPr>
              <w:jc w:val="right"/>
              <w:spacing w:after="0"/>
              <w:rPr>
                <w:sz w:val="20"/>
                <w:szCs w:val="20"/>
                <w:color w:val="auto"/>
              </w:rPr>
            </w:pPr>
            <w:r>
              <w:rPr>
                <w:rFonts w:ascii="Arial" w:cs="Arial" w:eastAsia="Arial" w:hAnsi="Arial"/>
                <w:sz w:val="16"/>
                <w:szCs w:val="16"/>
                <w:color w:val="auto"/>
              </w:rPr>
              <w:t>512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4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2021</w:t>
            </w:r>
          </w:p>
        </w:tc>
        <w:tc>
          <w:tcPr>
            <w:tcW w:w="0" w:type="dxa"/>
            <w:vAlign w:val="bottom"/>
          </w:tcPr>
          <w:p>
            <w:pPr>
              <w:spacing w:after="0"/>
              <w:rPr>
                <w:sz w:val="1"/>
                <w:szCs w:val="1"/>
                <w:color w:val="auto"/>
              </w:rPr>
            </w:pPr>
          </w:p>
        </w:tc>
      </w:tr>
      <w:tr>
        <w:trPr>
          <w:trHeight w:val="158"/>
        </w:trPr>
        <w:tc>
          <w:tcPr>
            <w:tcW w:w="70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40" w:type="dxa"/>
            <w:vAlign w:val="bottom"/>
          </w:tcPr>
          <w:p>
            <w:pPr>
              <w:spacing w:after="0"/>
              <w:rPr>
                <w:sz w:val="20"/>
                <w:szCs w:val="20"/>
                <w:color w:val="auto"/>
              </w:rPr>
            </w:pPr>
            <w:r>
              <w:rPr>
                <w:rFonts w:ascii="Arial" w:cs="Arial" w:eastAsia="Arial" w:hAnsi="Arial"/>
                <w:sz w:val="16"/>
                <w:szCs w:val="16"/>
                <w:color w:val="auto"/>
              </w:rPr>
              <w:t>As of September 30,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Locations acquired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As of March 31,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Six Months Ended March 31, 2020</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62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Pawn</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International</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0"/>
                <w:szCs w:val="20"/>
                <w:color w:val="auto"/>
              </w:rPr>
            </w:pPr>
            <w:r>
              <w:rPr>
                <w:rFonts w:ascii="Arial" w:cs="Arial" w:eastAsia="Arial" w:hAnsi="Arial"/>
                <w:sz w:val="16"/>
                <w:szCs w:val="16"/>
                <w:color w:val="auto"/>
              </w:rPr>
              <w:t>As of September 30, 2019</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Locations acquired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As of March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six months ended March 31, 2021 and 2020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540" w:type="dxa"/>
            <w:vAlign w:val="bottom"/>
            <w:gridSpan w:val="3"/>
            <w:vMerge w:val="restart"/>
          </w:tcPr>
          <w:p>
            <w:pPr>
              <w:ind w:left="78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5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1"/>
                <w:szCs w:val="21"/>
                <w:color w:val="auto"/>
              </w:rPr>
            </w:pP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20.3</w:t>
            </w: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7.6</w:t>
            </w: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23.8</w:t>
            </w:r>
          </w:p>
        </w:tc>
        <w:tc>
          <w:tcPr>
            <w:tcW w:w="76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Peruvian sol</w:t>
            </w: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3.6</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 Q2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7"/>
              </w:rPr>
              <w:t>2020 Q2</w:t>
            </w:r>
          </w:p>
        </w:tc>
      </w:tr>
      <w:tr>
        <w:trPr>
          <w:trHeight w:val="247"/>
        </w:trPr>
        <w:tc>
          <w:tcPr>
            <w:tcW w:w="8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980" w:type="dxa"/>
            <w:vAlign w:val="bottom"/>
          </w:tcPr>
          <w:p>
            <w:pPr>
              <w:spacing w:after="0"/>
              <w:rPr>
                <w:sz w:val="21"/>
                <w:szCs w:val="2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4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7"/>
        </w:trPr>
        <w:tc>
          <w:tcPr>
            <w:tcW w:w="8440" w:type="dxa"/>
            <w:vAlign w:val="bottom"/>
          </w:tcPr>
          <w:p>
            <w:pPr>
              <w:ind w:left="200"/>
              <w:spacing w:after="0"/>
              <w:rPr>
                <w:sz w:val="20"/>
                <w:szCs w:val="20"/>
                <w:color w:val="auto"/>
              </w:rPr>
            </w:pPr>
            <w:r>
              <w:rPr>
                <w:rFonts w:ascii="Arial" w:cs="Arial" w:eastAsia="Arial" w:hAnsi="Arial"/>
                <w:sz w:val="16"/>
                <w:szCs w:val="16"/>
                <w:color w:val="auto"/>
              </w:rPr>
              <w:t>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r>
    </w:tbl>
    <w:p>
      <w:pPr>
        <w:sectPr>
          <w:pgSz w:w="11900" w:h="16838" w:orient="portrait"/>
          <w:cols w:equalWidth="0" w:num="1">
            <w:col w:w="11240"/>
          </w:cols>
          <w:pgMar w:left="320" w:top="1089"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0"/>
                <w:szCs w:val="20"/>
                <w:color w:val="auto"/>
              </w:rPr>
            </w:pPr>
            <w:r>
              <w:rPr>
                <w:rFonts w:ascii="Arial" w:cs="Arial" w:eastAsia="Arial" w:hAnsi="Arial"/>
                <w:sz w:val="16"/>
                <w:szCs w:val="16"/>
                <w:color w:val="auto"/>
              </w:rPr>
              <w:t>2021 Q2 Reported</w:t>
            </w: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2"/>
                <w:szCs w:val="22"/>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6"/>
                <w:szCs w:val="16"/>
                <w:color w:val="auto"/>
              </w:rPr>
              <w:t>Acquisition expenses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6"/>
                <w:szCs w:val="16"/>
                <w:color w:val="auto"/>
              </w:rPr>
              <w:t>Non cash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6"/>
                <w:szCs w:val="16"/>
                <w:color w:val="auto"/>
              </w:rPr>
              <w:t>Non-recurring tax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6"/>
                <w:szCs w:val="16"/>
                <w:color w:val="auto"/>
              </w:rPr>
              <w:t>Constant currency impact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8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6"/>
                <w:szCs w:val="16"/>
                <w:color w:val="auto"/>
              </w:rPr>
              <w:t>2021 Q2 Adjusted</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(Loss) Income</w:t>
            </w:r>
          </w:p>
        </w:tc>
        <w:tc>
          <w:tcPr>
            <w:tcW w:w="12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Tax Effect</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Net (Loss)</w:t>
            </w: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Before Tax</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9"/>
              </w:rPr>
              <w:t>Income</w:t>
            </w:r>
          </w:p>
        </w:tc>
        <w:tc>
          <w:tcPr>
            <w:tcW w:w="10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0"/>
                <w:szCs w:val="20"/>
                <w:color w:val="auto"/>
              </w:rPr>
            </w:pPr>
            <w:r>
              <w:rPr>
                <w:rFonts w:ascii="Arial" w:cs="Arial" w:eastAsia="Arial" w:hAnsi="Arial"/>
                <w:sz w:val="16"/>
                <w:szCs w:val="16"/>
                <w:color w:val="auto"/>
              </w:rPr>
              <w:t>2020 Q2 Reported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2"/>
                <w:szCs w:val="22"/>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2"/>
        </w:trPr>
        <w:tc>
          <w:tcPr>
            <w:tcW w:w="2860" w:type="dxa"/>
            <w:vAlign w:val="bottom"/>
          </w:tcPr>
          <w:p>
            <w:pPr>
              <w:spacing w:after="0"/>
              <w:rPr>
                <w:sz w:val="20"/>
                <w:szCs w:val="20"/>
                <w:color w:val="auto"/>
              </w:rPr>
            </w:pPr>
            <w:r>
              <w:rPr>
                <w:rFonts w:ascii="Arial" w:cs="Arial" w:eastAsia="Arial" w:hAnsi="Arial"/>
                <w:sz w:val="16"/>
                <w:szCs w:val="16"/>
                <w:color w:val="auto"/>
              </w:rPr>
              <w:t>Termination of non-core software</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1"/>
        </w:trPr>
        <w:tc>
          <w:tcPr>
            <w:tcW w:w="2860" w:type="dxa"/>
            <w:vAlign w:val="bottom"/>
          </w:tcPr>
          <w:p>
            <w:pPr>
              <w:spacing w:after="0"/>
              <w:rPr>
                <w:sz w:val="20"/>
                <w:szCs w:val="20"/>
                <w:color w:val="auto"/>
              </w:rPr>
            </w:pPr>
            <w:r>
              <w:rPr>
                <w:rFonts w:ascii="Arial" w:cs="Arial" w:eastAsia="Arial" w:hAnsi="Arial"/>
                <w:sz w:val="16"/>
                <w:szCs w:val="16"/>
                <w:color w:val="auto"/>
              </w:rPr>
              <w:t>project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6"/>
                <w:szCs w:val="16"/>
                <w:color w:val="auto"/>
              </w:rPr>
              <w:t>Lobbying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6"/>
                <w:szCs w:val="16"/>
                <w:color w:val="auto"/>
              </w:rPr>
              <w:t>Non-recurring tax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2860" w:type="dxa"/>
            <w:vAlign w:val="bottom"/>
          </w:tcPr>
          <w:p>
            <w:pPr>
              <w:spacing w:after="0" w:line="178" w:lineRule="exact"/>
              <w:rPr>
                <w:sz w:val="20"/>
                <w:szCs w:val="20"/>
                <w:color w:val="auto"/>
              </w:rPr>
            </w:pPr>
            <w:r>
              <w:rPr>
                <w:rFonts w:ascii="Arial" w:cs="Arial" w:eastAsia="Arial" w:hAnsi="Arial"/>
                <w:sz w:val="16"/>
                <w:szCs w:val="16"/>
                <w:color w:val="auto"/>
              </w:rPr>
              <w:t>Impairment of goodwill, intangible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1"/>
        </w:trPr>
        <w:tc>
          <w:tcPr>
            <w:tcW w:w="2860" w:type="dxa"/>
            <w:vAlign w:val="bottom"/>
          </w:tcPr>
          <w:p>
            <w:pPr>
              <w:spacing w:after="0"/>
              <w:rPr>
                <w:sz w:val="20"/>
                <w:szCs w:val="20"/>
                <w:color w:val="auto"/>
              </w:rPr>
            </w:pPr>
            <w:r>
              <w:rPr>
                <w:rFonts w:ascii="Arial" w:cs="Arial" w:eastAsia="Arial" w:hAnsi="Arial"/>
                <w:sz w:val="16"/>
                <w:szCs w:val="16"/>
                <w:color w:val="auto"/>
              </w:rPr>
              <w:t>assets and other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6"/>
                <w:szCs w:val="16"/>
                <w:color w:val="auto"/>
              </w:rPr>
              <w:t>Non cash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6"/>
                <w:szCs w:val="16"/>
                <w:color w:val="auto"/>
              </w:rPr>
              <w:t>Constant currency impact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94"/>
        </w:trPr>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6"/>
                <w:szCs w:val="16"/>
                <w:color w:val="auto"/>
              </w:rPr>
              <w:t>2020 Q2 Adjusted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40" w:top="1049" w:right="5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vMerge w:val="restart"/>
          </w:tcPr>
          <w:p>
            <w:pPr>
              <w:spacing w:after="0"/>
              <w:rPr>
                <w:sz w:val="20"/>
                <w:szCs w:val="20"/>
                <w:color w:val="auto"/>
              </w:rPr>
            </w:pPr>
            <w:r>
              <w:rPr>
                <w:rFonts w:ascii="Arial" w:cs="Arial" w:eastAsia="Arial" w:hAnsi="Arial"/>
                <w:sz w:val="16"/>
                <w:szCs w:val="16"/>
                <w:b w:val="1"/>
                <w:bCs w:val="1"/>
                <w:color w:val="auto"/>
              </w:rPr>
              <w:t>2021 Q2:</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U.S. Dollar</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5"/>
        </w:trPr>
        <w:tc>
          <w:tcPr>
            <w:tcW w:w="87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5"/>
        </w:trPr>
        <w:tc>
          <w:tcPr>
            <w:tcW w:w="8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rPr>
              <w:t>(in millions)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6"/>
                <w:szCs w:val="16"/>
                <w:color w:val="auto"/>
              </w:rPr>
              <w:t>Consolidated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Consolidated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10"/>
        </w:trPr>
        <w:tc>
          <w:tcPr>
            <w:tcW w:w="8740" w:type="dxa"/>
            <w:vAlign w:val="bottom"/>
          </w:tcPr>
          <w:p>
            <w:pPr>
              <w:spacing w:after="0"/>
              <w:rPr>
                <w:sz w:val="20"/>
                <w:szCs w:val="20"/>
                <w:color w:val="auto"/>
              </w:rPr>
            </w:pPr>
            <w:r>
              <w:rPr>
                <w:rFonts w:ascii="Arial" w:cs="Arial" w:eastAsia="Arial" w:hAnsi="Arial"/>
                <w:sz w:val="16"/>
                <w:szCs w:val="16"/>
                <w:color w:val="auto"/>
              </w:rPr>
              <w:t>Latin America Pawn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2021-05-05T16:27:28Z</dcterms:created>
  <dcterms:modified xsi:type="dcterms:W3CDTF">2021-05-05T16:27:28Z</dcterms:modified>
</cp:coreProperties>
</file>