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ind w:left="0" w:right="0" w:hanging="0"/>
        <w:rPr>
          <w:sz w:val="4"/>
          <w:szCs w:val="4"/>
        </w:rPr>
      </w:pPr>
      <w:r>
        <w:rPr>
          <w:sz w:val="4"/>
          <w:szCs w:val="4"/>
        </w:rPr>
      </w:r>
      <w:bookmarkStart w:id="0" w:name="s83ecc4881e25409281058cbb34a9c44b"/>
      <w:bookmarkStart w:id="1" w:name="a8-kfilingannouncementxupd.htm"/>
      <w:bookmarkStart w:id="2" w:name="ksa8kfilingannouncementxupd"/>
      <w:bookmarkStart w:id="3" w:name="s83ecc4881e25409281058cbb34a9c44b"/>
      <w:bookmarkStart w:id="4" w:name="a8-kfilingannouncementxupd.htm"/>
      <w:bookmarkStart w:id="5" w:name="ksa8kfilingannouncementxupd"/>
      <w:bookmarkEnd w:id="3"/>
      <w:bookmarkEnd w:id="4"/>
      <w:bookmarkEnd w:id="5"/>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spacing w:lineRule="auto" w:line="288" w:before="0" w:after="0"/>
        <w:jc w:val="center"/>
        <w:rPr>
          <w:rFonts w:ascii="inherit" w:hAnsi="inherit"/>
          <w:b/>
          <w:sz w:val="30"/>
        </w:rPr>
      </w:pPr>
      <w:r>
        <w:rPr>
          <w:rFonts w:ascii="inherit" w:hAnsi="inherit"/>
          <w:b/>
          <w:sz w:val="30"/>
        </w:rPr>
        <w:t>UNITED STATES</w:t>
      </w:r>
    </w:p>
    <w:p>
      <w:pPr>
        <w:pStyle w:val="TextBody"/>
        <w:spacing w:lineRule="auto" w:line="288" w:before="0" w:after="0"/>
        <w:jc w:val="center"/>
        <w:rPr>
          <w:rFonts w:ascii="inherit" w:hAnsi="inherit"/>
          <w:b/>
          <w:sz w:val="30"/>
        </w:rPr>
      </w:pPr>
      <w:r>
        <w:rPr>
          <w:rFonts w:ascii="inherit" w:hAnsi="inherit"/>
          <w:b/>
          <w:sz w:val="30"/>
        </w:rPr>
        <w:t>SECURITIES AND EXCHANGE COMMISSION</w:t>
      </w:r>
    </w:p>
    <w:p>
      <w:pPr>
        <w:pStyle w:val="TextBody"/>
        <w:spacing w:lineRule="auto" w:line="288" w:before="0" w:after="0"/>
        <w:jc w:val="center"/>
        <w:rPr>
          <w:rFonts w:ascii="inherit" w:hAnsi="inherit"/>
          <w:b/>
          <w:sz w:val="20"/>
        </w:rPr>
      </w:pPr>
      <w:r>
        <w:rPr>
          <w:rFonts w:ascii="inherit" w:hAnsi="inherit"/>
          <w:b/>
          <w:sz w:val="20"/>
        </w:rPr>
        <w:t>Washington, D.C. 20549</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rFonts w:ascii="inherit" w:hAnsi="inherit"/>
          <w:b/>
          <w:sz w:val="30"/>
        </w:rPr>
      </w:pPr>
      <w:r>
        <w:rPr>
          <w:rFonts w:ascii="inherit" w:hAnsi="inherit"/>
          <w:b/>
          <w:sz w:val="30"/>
        </w:rPr>
        <w:t>FORM 8-K</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23"/>
        </w:rPr>
      </w:pPr>
      <w:r>
        <w:rPr>
          <w:rFonts w:ascii="inherit" w:hAnsi="inherit"/>
          <w:b/>
          <w:sz w:val="23"/>
        </w:rPr>
        <w:t>CURRENT REPORT</w:t>
      </w:r>
    </w:p>
    <w:p>
      <w:pPr>
        <w:pStyle w:val="TextBody"/>
        <w:spacing w:lineRule="auto" w:line="288" w:before="0" w:after="0"/>
        <w:jc w:val="center"/>
        <w:rPr>
          <w:rFonts w:ascii="inherit" w:hAnsi="inherit"/>
          <w:b/>
          <w:sz w:val="20"/>
        </w:rPr>
      </w:pPr>
      <w:r>
        <w:rPr>
          <w:rFonts w:ascii="inherit" w:hAnsi="inherit"/>
          <w:b/>
          <w:sz w:val="20"/>
        </w:rPr>
        <w:t>PURSUANT TO SECTION 13 OR 15(d) OF THE</w:t>
      </w:r>
    </w:p>
    <w:p>
      <w:pPr>
        <w:pStyle w:val="TextBody"/>
        <w:spacing w:lineRule="auto" w:line="288" w:before="0" w:after="0"/>
        <w:jc w:val="center"/>
        <w:rPr>
          <w:rFonts w:ascii="inherit" w:hAnsi="inherit"/>
          <w:b/>
          <w:sz w:val="20"/>
        </w:rPr>
      </w:pPr>
      <w:r>
        <w:rPr>
          <w:rFonts w:ascii="inherit" w:hAnsi="inherit"/>
          <w:b/>
          <w:sz w:val="20"/>
        </w:rPr>
        <w:t>SECURITIES EXCHANGE ACT OF 1934</w:t>
      </w:r>
    </w:p>
    <w:p>
      <w:pPr>
        <w:pStyle w:val="TextBody"/>
        <w:spacing w:lineRule="auto" w:line="288" w:before="0" w:after="0"/>
        <w:jc w:val="center"/>
        <w:rPr>
          <w:rFonts w:ascii="inherit" w:hAnsi="inherit"/>
          <w:b/>
          <w:sz w:val="20"/>
        </w:rPr>
      </w:pPr>
      <w:r>
        <w:rPr>
          <w:rFonts w:ascii="inherit" w:hAnsi="inherit"/>
          <w:b/>
          <w:sz w:val="20"/>
        </w:rPr>
        <w:t xml:space="preserve">Date of Report (Date of earliest event reported): December 2, 2014 </w:t>
      </w:r>
    </w:p>
    <w:p>
      <w:pPr>
        <w:pStyle w:val="TextBody"/>
        <w:spacing w:lineRule="auto" w:line="288" w:before="0" w:after="0"/>
        <w:jc w:val="center"/>
        <w:rPr/>
      </w:pPr>
      <w:r>
        <w:rPr/>
        <w:t> </w:t>
      </w:r>
      <w:r>
        <w:rPr>
          <w:rFonts w:ascii="inherit" w:hAnsi="inherit"/>
          <w:sz w:val="17"/>
        </w:rPr>
        <w:t>_______________________________________________ </w:t>
      </w:r>
    </w:p>
    <w:p>
      <w:pPr>
        <w:pStyle w:val="TextBody"/>
        <w:spacing w:lineRule="auto" w:line="288" w:before="0" w:after="0"/>
        <w:jc w:val="center"/>
        <w:rPr>
          <w:rFonts w:ascii="inherit" w:hAnsi="inherit"/>
          <w:b/>
          <w:sz w:val="40"/>
        </w:rPr>
      </w:pPr>
      <w:r>
        <w:rPr>
          <w:rFonts w:ascii="inherit" w:hAnsi="inherit"/>
          <w:b/>
          <w:sz w:val="40"/>
        </w:rPr>
        <w:t>EZCORP, Inc.</w:t>
      </w:r>
    </w:p>
    <w:p>
      <w:pPr>
        <w:pStyle w:val="TextBody"/>
        <w:spacing w:lineRule="auto" w:line="288" w:before="0" w:after="0"/>
        <w:jc w:val="center"/>
        <w:rPr>
          <w:rFonts w:ascii="inherit" w:hAnsi="inherit"/>
          <w:b/>
          <w:sz w:val="17"/>
        </w:rPr>
      </w:pPr>
      <w:r>
        <w:rPr>
          <w:rFonts w:ascii="inherit" w:hAnsi="inherit"/>
          <w:b/>
          <w:sz w:val="17"/>
        </w:rPr>
        <w:t>(Exact name of registrant as specified in its charter)</w:t>
      </w:r>
    </w:p>
    <w:p>
      <w:pPr>
        <w:pStyle w:val="TextBody"/>
        <w:spacing w:lineRule="auto" w:line="288" w:before="0" w:after="0"/>
        <w:jc w:val="center"/>
        <w:rPr/>
      </w:pPr>
      <w:r>
        <w:rPr/>
        <w:t> </w:t>
      </w:r>
      <w:r>
        <w:rPr>
          <w:rFonts w:ascii="inherit" w:hAnsi="inherit"/>
          <w:sz w:val="17"/>
        </w:rPr>
        <w:t>_______________________________________________________ </w:t>
      </w:r>
    </w:p>
    <w:tbl>
      <w:tblPr>
        <w:tblW w:w="9057" w:type="dxa"/>
        <w:jc w:val="center"/>
        <w:tblInd w:w="0" w:type="dxa"/>
        <w:tblCellMar>
          <w:top w:w="0" w:type="dxa"/>
          <w:left w:w="0" w:type="dxa"/>
          <w:bottom w:w="0" w:type="dxa"/>
          <w:right w:w="0" w:type="dxa"/>
        </w:tblCellMar>
      </w:tblPr>
      <w:tblGrid>
        <w:gridCol w:w="2899"/>
        <w:gridCol w:w="90"/>
        <w:gridCol w:w="2989"/>
        <w:gridCol w:w="90"/>
        <w:gridCol w:w="2989"/>
      </w:tblGrid>
      <w:tr>
        <w:trPr/>
        <w:tc>
          <w:tcPr>
            <w:tcW w:w="9057" w:type="dxa"/>
            <w:gridSpan w:val="5"/>
            <w:tcBorders/>
            <w:shd w:fill="auto" w:val="clear"/>
            <w:vAlign w:val="center"/>
          </w:tcPr>
          <w:p>
            <w:pPr>
              <w:pStyle w:val="TableContents"/>
              <w:spacing w:before="0" w:after="283"/>
              <w:rPr>
                <w:sz w:val="4"/>
                <w:szCs w:val="4"/>
              </w:rPr>
            </w:pPr>
            <w:r>
              <w:rPr>
                <w:sz w:val="4"/>
                <w:szCs w:val="4"/>
              </w:rPr>
            </w:r>
          </w:p>
        </w:tc>
      </w:tr>
      <w:tr>
        <w:trPr/>
        <w:tc>
          <w:tcPr>
            <w:tcW w:w="289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9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Delaware</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0-19424</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74-2540145</w:t>
            </w:r>
          </w:p>
        </w:tc>
      </w:tr>
      <w:tr>
        <w:trPr/>
        <w:tc>
          <w:tcPr>
            <w:tcW w:w="2899" w:type="dxa"/>
            <w:tcBorders/>
            <w:shd w:fill="auto" w:val="clear"/>
            <w:vAlign w:val="center"/>
          </w:tcPr>
          <w:p>
            <w:pPr>
              <w:pStyle w:val="TableContents"/>
              <w:spacing w:before="0" w:after="0"/>
              <w:jc w:val="center"/>
              <w:rPr>
                <w:rFonts w:ascii="inherit" w:hAnsi="inherit"/>
                <w:b/>
                <w:sz w:val="13"/>
              </w:rPr>
            </w:pPr>
            <w:r>
              <w:rPr>
                <w:rFonts w:ascii="inherit" w:hAnsi="inherit"/>
                <w:b/>
                <w:sz w:val="13"/>
              </w:rPr>
              <w:t>(State or other jurisdiction</w:t>
            </w:r>
          </w:p>
          <w:p>
            <w:pPr>
              <w:pStyle w:val="TableContents"/>
              <w:spacing w:before="0" w:after="0"/>
              <w:ind w:left="0" w:right="0" w:firstLine="30"/>
              <w:jc w:val="center"/>
              <w:rPr>
                <w:rFonts w:ascii="inherit" w:hAnsi="inherit"/>
                <w:b/>
                <w:sz w:val="13"/>
              </w:rPr>
            </w:pPr>
            <w:r>
              <w:rPr>
                <w:rFonts w:ascii="inherit" w:hAnsi="inherit"/>
                <w:b/>
                <w:sz w:val="13"/>
              </w:rPr>
              <w:t>of incorporation)</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jc w:val="center"/>
              <w:rPr>
                <w:rFonts w:ascii="inherit" w:hAnsi="inherit"/>
                <w:b/>
                <w:sz w:val="13"/>
              </w:rPr>
            </w:pPr>
            <w:r>
              <w:rPr>
                <w:rFonts w:ascii="inherit" w:hAnsi="inherit"/>
                <w:b/>
                <w:sz w:val="13"/>
              </w:rPr>
              <w:t>(Commission</w:t>
            </w:r>
          </w:p>
          <w:p>
            <w:pPr>
              <w:pStyle w:val="TableContents"/>
              <w:spacing w:before="0" w:after="0"/>
              <w:ind w:left="0" w:right="0" w:firstLine="30"/>
              <w:jc w:val="center"/>
              <w:rPr>
                <w:rFonts w:ascii="inherit" w:hAnsi="inherit"/>
                <w:b/>
                <w:sz w:val="13"/>
              </w:rPr>
            </w:pPr>
            <w:r>
              <w:rPr>
                <w:rFonts w:ascii="inherit" w:hAnsi="inherit"/>
                <w:b/>
                <w:sz w:val="13"/>
              </w:rPr>
              <w:t>File Number)</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jc w:val="center"/>
              <w:rPr>
                <w:rFonts w:ascii="inherit" w:hAnsi="inherit"/>
                <w:b/>
                <w:sz w:val="13"/>
              </w:rPr>
            </w:pPr>
            <w:r>
              <w:rPr>
                <w:rFonts w:ascii="inherit" w:hAnsi="inherit"/>
                <w:b/>
                <w:sz w:val="13"/>
              </w:rPr>
              <w:t>(IRS Employer</w:t>
            </w:r>
          </w:p>
          <w:p>
            <w:pPr>
              <w:pStyle w:val="TableContents"/>
              <w:spacing w:before="0" w:after="0"/>
              <w:jc w:val="center"/>
              <w:rPr>
                <w:rFonts w:ascii="inherit" w:hAnsi="inherit"/>
                <w:b/>
                <w:sz w:val="13"/>
              </w:rPr>
            </w:pPr>
            <w:r>
              <w:rPr>
                <w:rFonts w:ascii="inherit" w:hAnsi="inherit"/>
                <w:b/>
                <w:sz w:val="13"/>
              </w:rPr>
              <w:t>Identification No.)</w:t>
            </w:r>
          </w:p>
        </w:tc>
      </w:tr>
    </w:tbl>
    <w:p>
      <w:pPr>
        <w:pStyle w:val="TextBody"/>
        <w:spacing w:lineRule="auto" w:line="288" w:before="0" w:after="0"/>
        <w:jc w:val="center"/>
        <w:rPr>
          <w:rFonts w:ascii="inherit" w:hAnsi="inherit"/>
          <w:b/>
          <w:sz w:val="17"/>
        </w:rPr>
      </w:pPr>
      <w:r>
        <w:rPr>
          <w:rFonts w:ascii="inherit" w:hAnsi="inherit"/>
          <w:b/>
          <w:sz w:val="17"/>
        </w:rPr>
        <w:t>1901 Capital Parkway, Austin, Texas 78746</w:t>
      </w:r>
    </w:p>
    <w:p>
      <w:pPr>
        <w:pStyle w:val="TextBody"/>
        <w:spacing w:lineRule="auto" w:line="288" w:before="0" w:after="0"/>
        <w:jc w:val="center"/>
        <w:rPr>
          <w:rFonts w:ascii="inherit" w:hAnsi="inherit"/>
          <w:b/>
          <w:sz w:val="13"/>
        </w:rPr>
      </w:pPr>
      <w:r>
        <w:rPr>
          <w:rFonts w:ascii="inherit" w:hAnsi="inherit"/>
          <w:b/>
          <w:sz w:val="13"/>
        </w:rPr>
        <w:t>(Address of principal executive offices) (zip code)</w:t>
      </w:r>
    </w:p>
    <w:p>
      <w:pPr>
        <w:pStyle w:val="TextBody"/>
        <w:spacing w:lineRule="auto" w:line="288" w:before="0" w:after="0"/>
        <w:jc w:val="center"/>
        <w:rPr>
          <w:rFonts w:ascii="inherit" w:hAnsi="inherit"/>
          <w:b/>
          <w:sz w:val="17"/>
        </w:rPr>
      </w:pPr>
      <w:r>
        <w:rPr>
          <w:rFonts w:ascii="inherit" w:hAnsi="inherit"/>
          <w:b/>
          <w:sz w:val="17"/>
        </w:rPr>
        <w:t>Registrant’s telephone number, including area code: (512) 314-3400</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pPr>
      <w:r>
        <w:rPr/>
        <w:t> </w:t>
      </w:r>
    </w:p>
    <w:p>
      <w:pPr>
        <w:pStyle w:val="TextBody"/>
        <w:spacing w:lineRule="auto" w:line="288" w:before="0" w:after="0"/>
        <w:rPr>
          <w:rFonts w:ascii="inherit" w:hAnsi="inherit"/>
          <w:sz w:val="17"/>
        </w:rPr>
      </w:pPr>
      <w:r>
        <w:rPr>
          <w:rFonts w:ascii="inherit" w:hAnsi="inherit"/>
          <w:sz w:val="17"/>
        </w:rPr>
        <w:t>Check the appropriate box below if the Form 8-K filing is intended to simultaneously satisfy the filing obligation of the registrant under any of the following provisions:</w:t>
      </w:r>
    </w:p>
    <w:tbl>
      <w:tblPr>
        <w:tblW w:w="10205" w:type="dxa"/>
        <w:jc w:val="center"/>
        <w:tblInd w:w="0" w:type="dxa"/>
        <w:tblCellMar>
          <w:top w:w="0" w:type="dxa"/>
          <w:left w:w="0" w:type="dxa"/>
          <w:bottom w:w="0" w:type="dxa"/>
          <w:right w:w="0" w:type="dxa"/>
        </w:tblCellMar>
      </w:tblPr>
      <w:tblGrid>
        <w:gridCol w:w="512"/>
        <w:gridCol w:w="8980"/>
        <w:gridCol w:w="713"/>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vAlign w:val="center"/>
          </w:tcPr>
          <w:p>
            <w:pPr>
              <w:pStyle w:val="TableContents"/>
              <w:spacing w:before="0" w:after="283"/>
              <w:rPr>
                <w:sz w:val="4"/>
                <w:szCs w:val="4"/>
              </w:rPr>
            </w:pPr>
            <w:r>
              <w:rPr>
                <w:sz w:val="4"/>
                <w:szCs w:val="4"/>
              </w:rPr>
            </w:r>
          </w:p>
        </w:tc>
        <w:tc>
          <w:tcPr>
            <w:tcW w:w="8980"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Written communications pursuant to Rule 425 under the Securities Act (17 CFR 230.425)</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Soliciting material pursuant to Rule 14a-12 under the Exchange Act (17 CFR 240.14a-12)</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Pre-commencement communications pursuant to Rule 14d-2(b) under the Exchange Act (17 CFR 240.14d-2(b))</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Pre-commencement communications pursuant to Rule 13e-4(c) under the Exchange Act (17 CFR 240.13e-4(c))</w:t>
            </w:r>
          </w:p>
        </w:tc>
        <w:tc>
          <w:tcPr>
            <w:tcW w:w="713" w:type="dxa"/>
            <w:tcBorders/>
            <w:shd w:fill="auto" w:val="clear"/>
            <w:vAlign w:val="center"/>
          </w:tcPr>
          <w:p>
            <w:pPr>
              <w:pStyle w:val="TableContents"/>
              <w:spacing w:before="0" w:after="0"/>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rPr/>
      </w:pPr>
      <w:r>
        <w:rPr/>
      </w:r>
      <w:r>
        <w:br w:type="page"/>
      </w:r>
    </w:p>
    <w:p>
      <w:pPr>
        <w:pStyle w:val="TextBody"/>
        <w:spacing w:before="0" w:after="0"/>
        <w:rPr/>
      </w:pPr>
      <w:r>
        <w:rPr/>
      </w:r>
      <w:bookmarkStart w:id="6" w:name="se455859cee2b479e96a4bd295928e220"/>
      <w:bookmarkStart w:id="7" w:name="se455859cee2b479e96a4bd295928e220"/>
      <w:bookmarkEnd w:id="7"/>
    </w:p>
    <w:p>
      <w:pPr>
        <w:pStyle w:val="TextBody"/>
        <w:spacing w:lineRule="auto" w:line="288" w:before="0" w:after="0"/>
        <w:rPr>
          <w:rFonts w:ascii="inherit" w:hAnsi="inherit"/>
          <w:b/>
          <w:sz w:val="17"/>
        </w:rPr>
      </w:pPr>
      <w:r>
        <w:rPr>
          <w:rFonts w:ascii="inherit" w:hAnsi="inherit"/>
          <w:b/>
          <w:sz w:val="17"/>
        </w:rPr>
        <w:t>Item 8.01 — Other Events</w:t>
      </w:r>
    </w:p>
    <w:p>
      <w:pPr>
        <w:pStyle w:val="TextBody"/>
        <w:spacing w:lineRule="auto" w:line="288" w:before="0" w:after="0"/>
        <w:rPr>
          <w:rFonts w:ascii="inherit" w:hAnsi="inherit"/>
          <w:sz w:val="17"/>
        </w:rPr>
      </w:pPr>
      <w:r>
        <w:rPr>
          <w:rFonts w:ascii="inherit" w:hAnsi="inherit"/>
          <w:sz w:val="17"/>
        </w:rPr>
        <w:t xml:space="preserve">On December 2, 2014, EZCORP, Inc. issued a press release announcing its Annual Report on Form 10-K for fiscal year ended September 30, 2014 has been filed with the Securities and Exchange Commission.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During the completion of its fiscal year-end consolidation process and audit, certain unforeseen adjustments were made resulting in a change to the final financial statements for the fourth quarter and fiscal year 2014. For the fiscal fourth quarter and the fiscal year-end, the final net loss attributable to EZCORP was $87.8 million and $45.7 million respectively, both a $0.9 million improvement versus the unaudited financial statements presented in the company's earnings release on November 6, 2014. A copy of that press release is attached as Exhibit 99.1.</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The information set forth under this Item 8.01,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before="0" w:after="0"/>
        <w:rPr/>
      </w:pPr>
      <w:r>
        <w:rPr/>
      </w:r>
      <w:bookmarkStart w:id="8" w:name="s345f7eabae6c493ba1a222e24d80c30e"/>
      <w:bookmarkStart w:id="9" w:name="s345f7eabae6c493ba1a222e24d80c30e"/>
      <w:bookmarkEnd w:id="9"/>
    </w:p>
    <w:p>
      <w:pPr>
        <w:pStyle w:val="TextBody"/>
        <w:spacing w:lineRule="auto" w:line="288" w:before="0" w:after="0"/>
        <w:rPr>
          <w:rFonts w:ascii="inherit" w:hAnsi="inherit"/>
          <w:b/>
          <w:sz w:val="17"/>
        </w:rPr>
      </w:pPr>
      <w:r>
        <w:rPr>
          <w:rFonts w:ascii="inherit" w:hAnsi="inherit"/>
          <w:b/>
          <w:sz w:val="17"/>
        </w:rPr>
        <w:t>Item 9.01 — Financial Statements and Exhibits.</w:t>
      </w:r>
    </w:p>
    <w:p>
      <w:pPr>
        <w:pStyle w:val="TextBody"/>
        <w:spacing w:lineRule="auto" w:line="288" w:before="0" w:after="0"/>
        <w:ind w:left="0" w:right="0" w:firstLine="60"/>
        <w:jc w:val="left"/>
        <w:rPr>
          <w:rFonts w:ascii="inherit" w:hAnsi="inherit"/>
          <w:sz w:val="17"/>
        </w:rPr>
      </w:pPr>
      <w:r>
        <w:rPr>
          <w:rFonts w:ascii="inherit" w:hAnsi="inherit"/>
          <w:sz w:val="17"/>
        </w:rPr>
      </w:r>
    </w:p>
    <w:tbl>
      <w:tblPr>
        <w:tblW w:w="1000" w:type="dxa"/>
        <w:jc w:val="left"/>
        <w:tblInd w:w="0" w:type="dxa"/>
        <w:tblCellMar>
          <w:top w:w="0" w:type="dxa"/>
          <w:left w:w="0" w:type="dxa"/>
          <w:bottom w:w="0" w:type="dxa"/>
          <w:right w:w="0" w:type="dxa"/>
        </w:tblCellMar>
      </w:tblPr>
      <w:tblGrid>
        <w:gridCol w:w="260"/>
        <w:gridCol w:w="740"/>
      </w:tblGrid>
      <w:tr>
        <w:trPr/>
        <w:tc>
          <w:tcPr>
            <w:tcW w:w="2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(d)</w:t>
            </w:r>
          </w:p>
        </w:tc>
        <w:tc>
          <w:tcPr>
            <w:tcW w:w="74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Exhibits.</w:t>
            </w:r>
          </w:p>
        </w:tc>
      </w:tr>
    </w:tbl>
    <w:p>
      <w:pPr>
        <w:pStyle w:val="TextBody"/>
        <w:spacing w:lineRule="auto" w:line="288" w:before="0" w:after="0"/>
        <w:ind w:left="0" w:right="0" w:firstLine="6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865"/>
        <w:gridCol w:w="9340"/>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vAlign w:val="center"/>
          </w:tcPr>
          <w:p>
            <w:pPr>
              <w:pStyle w:val="TableContents"/>
              <w:spacing w:before="0" w:after="283"/>
              <w:rPr>
                <w:sz w:val="4"/>
                <w:szCs w:val="4"/>
              </w:rPr>
            </w:pPr>
            <w:r>
              <w:rPr>
                <w:sz w:val="4"/>
                <w:szCs w:val="4"/>
              </w:rPr>
            </w:r>
          </w:p>
        </w:tc>
        <w:tc>
          <w:tcPr>
            <w:tcW w:w="934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86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99.1</w:t>
            </w:r>
          </w:p>
        </w:tc>
        <w:tc>
          <w:tcPr>
            <w:tcW w:w="9340" w:type="dxa"/>
            <w:tcBorders/>
            <w:shd w:fill="auto" w:val="clear"/>
            <w:vAlign w:val="center"/>
          </w:tcPr>
          <w:p>
            <w:pPr>
              <w:pStyle w:val="TableContents"/>
              <w:spacing w:before="0" w:after="0"/>
              <w:jc w:val="left"/>
              <w:rPr>
                <w:rFonts w:ascii="inherit" w:hAnsi="inherit"/>
                <w:sz w:val="17"/>
              </w:rPr>
            </w:pPr>
            <w:r>
              <w:rPr>
                <w:rFonts w:ascii="inherit" w:hAnsi="inherit"/>
                <w:sz w:val="17"/>
              </w:rPr>
              <w:t xml:space="preserve">Press Release, dated December 2, 2014, announcing EZCORP, Inc.’s Annual Report on Form 10-K for fiscal year ended September 30, 2014 has been filed with the Securities and Exchange Commission.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before="0" w:after="0"/>
        <w:rPr/>
      </w:pPr>
      <w:r>
        <w:rPr/>
      </w:r>
      <w:bookmarkStart w:id="10" w:name="s8c5a37baa3e94a2b982096ffab436e95"/>
      <w:bookmarkStart w:id="11" w:name="s8c5a37baa3e94a2b982096ffab436e95"/>
      <w:bookmarkEnd w:id="11"/>
    </w:p>
    <w:p>
      <w:pPr>
        <w:pStyle w:val="TextBody"/>
        <w:spacing w:lineRule="auto" w:line="288" w:before="0" w:after="0"/>
        <w:jc w:val="center"/>
        <w:rPr>
          <w:rFonts w:ascii="inherit" w:hAnsi="inherit"/>
          <w:b/>
          <w:sz w:val="17"/>
        </w:rPr>
      </w:pPr>
      <w:r>
        <w:rPr>
          <w:rFonts w:ascii="inherit" w:hAnsi="inherit"/>
          <w:b/>
          <w:sz w:val="17"/>
        </w:rPr>
        <w:t>SIGNATURE</w:t>
      </w:r>
    </w:p>
    <w:p>
      <w:pPr>
        <w:pStyle w:val="TextBody"/>
        <w:spacing w:lineRule="auto" w:line="288" w:before="0" w:after="0"/>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hereunto duly authorized.</w:t>
      </w:r>
    </w:p>
    <w:p>
      <w:pPr>
        <w:pStyle w:val="TextBody"/>
        <w:spacing w:lineRule="auto" w:line="288" w:before="0" w:after="0"/>
        <w:rPr/>
      </w:pPr>
      <w:r>
        <w:rPr/>
        <w:t> </w:t>
      </w:r>
    </w:p>
    <w:tbl>
      <w:tblPr>
        <w:tblW w:w="10205" w:type="dxa"/>
        <w:jc w:val="center"/>
        <w:tblInd w:w="0" w:type="dxa"/>
        <w:tblCellMar>
          <w:top w:w="0" w:type="dxa"/>
          <w:left w:w="0" w:type="dxa"/>
          <w:bottom w:w="0" w:type="dxa"/>
          <w:right w:w="0" w:type="dxa"/>
        </w:tblCellMar>
      </w:tblPr>
      <w:tblGrid>
        <w:gridCol w:w="597"/>
        <w:gridCol w:w="3889"/>
        <w:gridCol w:w="304"/>
        <w:gridCol w:w="489"/>
        <w:gridCol w:w="211"/>
        <w:gridCol w:w="544"/>
        <w:gridCol w:w="211"/>
        <w:gridCol w:w="3960"/>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597" w:type="dxa"/>
            <w:tcBorders/>
            <w:shd w:fill="auto" w:val="clear"/>
            <w:vAlign w:val="center"/>
          </w:tcPr>
          <w:p>
            <w:pPr>
              <w:pStyle w:val="TableContents"/>
              <w:spacing w:before="0" w:after="283"/>
              <w:rPr>
                <w:sz w:val="4"/>
                <w:szCs w:val="4"/>
              </w:rPr>
            </w:pPr>
            <w:r>
              <w:rPr>
                <w:sz w:val="4"/>
                <w:szCs w:val="4"/>
              </w:rPr>
            </w:r>
          </w:p>
        </w:tc>
        <w:tc>
          <w:tcPr>
            <w:tcW w:w="388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97" w:type="dxa"/>
            <w:tcBorders/>
            <w:shd w:fill="auto" w:val="clear"/>
            <w:vAlign w:val="center"/>
          </w:tcPr>
          <w:p>
            <w:pPr>
              <w:pStyle w:val="TableContents"/>
              <w:spacing w:before="0" w:after="0"/>
              <w:ind w:left="0" w:right="0" w:firstLine="30"/>
              <w:rPr/>
            </w:pPr>
            <w:r>
              <w:rPr/>
              <w:t> </w:t>
            </w:r>
          </w:p>
        </w:tc>
        <w:tc>
          <w:tcPr>
            <w:tcW w:w="3889" w:type="dxa"/>
            <w:tcBorders/>
            <w:shd w:fill="auto" w:val="clear"/>
            <w:vAlign w:val="center"/>
          </w:tcPr>
          <w:p>
            <w:pPr>
              <w:pStyle w:val="TableContents"/>
              <w:spacing w:before="0" w:after="0"/>
              <w:ind w:left="0" w:right="0" w:firstLine="30"/>
              <w:rPr/>
            </w:pPr>
            <w:r>
              <w:rPr/>
              <w:t> </w:t>
            </w:r>
          </w:p>
        </w:tc>
        <w:tc>
          <w:tcPr>
            <w:tcW w:w="304" w:type="dxa"/>
            <w:tcBorders/>
            <w:shd w:fill="auto" w:val="clear"/>
            <w:vAlign w:val="center"/>
          </w:tcPr>
          <w:p>
            <w:pPr>
              <w:pStyle w:val="TableContents"/>
              <w:spacing w:before="0" w:after="0"/>
              <w:ind w:left="0" w:right="0" w:firstLine="30"/>
              <w:jc w:val="left"/>
              <w:rPr/>
            </w:pPr>
            <w:r>
              <w:rPr/>
              <w:t> </w:t>
            </w:r>
          </w:p>
        </w:tc>
        <w:tc>
          <w:tcPr>
            <w:tcW w:w="489" w:type="dxa"/>
            <w:tcBorders/>
            <w:shd w:fill="auto" w:val="clear"/>
            <w:vAlign w:val="center"/>
          </w:tcPr>
          <w:p>
            <w:pPr>
              <w:pStyle w:val="TableContents"/>
              <w:spacing w:before="0" w:after="0"/>
              <w:ind w:left="0" w:right="0" w:firstLine="30"/>
              <w:rPr/>
            </w:pPr>
            <w:r>
              <w:rPr/>
              <w:t> </w:t>
            </w:r>
          </w:p>
        </w:tc>
        <w:tc>
          <w:tcPr>
            <w:tcW w:w="211" w:type="dxa"/>
            <w:tcBorders/>
            <w:shd w:fill="auto" w:val="clear"/>
            <w:vAlign w:val="center"/>
          </w:tcPr>
          <w:p>
            <w:pPr>
              <w:pStyle w:val="TableContents"/>
              <w:spacing w:before="0" w:after="0"/>
              <w:ind w:left="0" w:right="0" w:firstLine="30"/>
              <w:jc w:val="left"/>
              <w:rPr/>
            </w:pPr>
            <w:r>
              <w:rPr/>
              <w:t> </w:t>
            </w:r>
          </w:p>
        </w:tc>
        <w:tc>
          <w:tcPr>
            <w:tcW w:w="4715"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INC.</w:t>
            </w:r>
          </w:p>
        </w:tc>
      </w:tr>
      <w:tr>
        <w:trPr/>
        <w:tc>
          <w:tcPr>
            <w:tcW w:w="597" w:type="dxa"/>
            <w:tcBorders/>
            <w:shd w:fill="auto" w:val="clear"/>
            <w:vAlign w:val="center"/>
          </w:tcPr>
          <w:p>
            <w:pPr>
              <w:pStyle w:val="TableContents"/>
              <w:spacing w:before="0" w:after="0"/>
              <w:ind w:left="0" w:right="0" w:firstLine="30"/>
              <w:rPr/>
            </w:pPr>
            <w:r>
              <w:rPr/>
              <w:t> </w:t>
            </w:r>
          </w:p>
        </w:tc>
        <w:tc>
          <w:tcPr>
            <w:tcW w:w="3889" w:type="dxa"/>
            <w:tcBorders/>
            <w:shd w:fill="auto" w:val="clear"/>
            <w:vAlign w:val="center"/>
          </w:tcPr>
          <w:p>
            <w:pPr>
              <w:pStyle w:val="TableContents"/>
              <w:spacing w:before="0" w:after="0"/>
              <w:ind w:left="0" w:right="0" w:firstLine="30"/>
              <w:rPr/>
            </w:pPr>
            <w:r>
              <w:rPr/>
              <w:t> </w:t>
            </w:r>
          </w:p>
        </w:tc>
        <w:tc>
          <w:tcPr>
            <w:tcW w:w="793" w:type="dxa"/>
            <w:gridSpan w:val="2"/>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ind w:left="0" w:right="0" w:firstLine="30"/>
              <w:rPr/>
            </w:pPr>
            <w:r>
              <w:rPr/>
              <w:t> </w:t>
            </w:r>
          </w:p>
        </w:tc>
        <w:tc>
          <w:tcPr>
            <w:tcW w:w="211" w:type="dxa"/>
            <w:tcBorders/>
            <w:shd w:fill="auto" w:val="clear"/>
            <w:vAlign w:val="center"/>
          </w:tcPr>
          <w:p>
            <w:pPr>
              <w:pStyle w:val="TableContents"/>
              <w:spacing w:before="0" w:after="0"/>
              <w:ind w:left="0" w:right="0" w:firstLine="30"/>
              <w:rPr/>
            </w:pPr>
            <w:r>
              <w:rPr/>
              <w:t> </w:t>
            </w:r>
          </w:p>
        </w:tc>
        <w:tc>
          <w:tcPr>
            <w:tcW w:w="3960" w:type="dxa"/>
            <w:tcBorders/>
            <w:shd w:fill="auto" w:val="clear"/>
            <w:vAlign w:val="center"/>
          </w:tcPr>
          <w:p>
            <w:pPr>
              <w:pStyle w:val="TableContents"/>
              <w:spacing w:before="0" w:after="0"/>
              <w:ind w:left="0" w:right="0" w:firstLine="30"/>
              <w:rPr/>
            </w:pPr>
            <w:r>
              <w:rPr/>
              <w:t> </w:t>
            </w:r>
          </w:p>
        </w:tc>
      </w:tr>
      <w:tr>
        <w:trPr/>
        <w:tc>
          <w:tcPr>
            <w:tcW w:w="5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38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December 2, 2014</w:t>
            </w:r>
          </w:p>
        </w:tc>
        <w:tc>
          <w:tcPr>
            <w:tcW w:w="304" w:type="dxa"/>
            <w:tcBorders/>
            <w:shd w:fill="auto" w:val="clear"/>
            <w:vAlign w:val="center"/>
          </w:tcPr>
          <w:p>
            <w:pPr>
              <w:pStyle w:val="TableContents"/>
              <w:spacing w:before="0" w:after="0"/>
              <w:ind w:left="0" w:right="0" w:firstLine="30"/>
              <w:jc w:val="left"/>
              <w:rPr/>
            </w:pPr>
            <w:r>
              <w:rPr/>
              <w:t> </w:t>
            </w:r>
          </w:p>
        </w:tc>
        <w:tc>
          <w:tcPr>
            <w:tcW w:w="489" w:type="dxa"/>
            <w:tcBorders/>
            <w:shd w:fill="auto" w:val="clear"/>
            <w:vAlign w:val="center"/>
          </w:tcPr>
          <w:p>
            <w:pPr>
              <w:pStyle w:val="TableContents"/>
              <w:spacing w:before="0" w:after="0"/>
              <w:ind w:left="0" w:right="0" w:firstLine="30"/>
              <w:rPr/>
            </w:pPr>
            <w:r>
              <w:rPr/>
              <w:t> </w:t>
            </w:r>
          </w:p>
        </w:tc>
        <w:tc>
          <w:tcPr>
            <w:tcW w:w="211" w:type="dxa"/>
            <w:tcBorders/>
            <w:shd w:fill="auto" w:val="clear"/>
            <w:vAlign w:val="center"/>
          </w:tcPr>
          <w:p>
            <w:pPr>
              <w:pStyle w:val="TableContents"/>
              <w:spacing w:before="0" w:after="0"/>
              <w:ind w:left="0" w:right="0" w:firstLine="30"/>
              <w:jc w:val="left"/>
              <w:rPr/>
            </w:pPr>
            <w:r>
              <w:rPr/>
              <w:t> </w:t>
            </w:r>
          </w:p>
        </w:tc>
        <w:tc>
          <w:tcPr>
            <w:tcW w:w="5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211" w:type="dxa"/>
            <w:tcBorders/>
            <w:shd w:fill="auto" w:val="clear"/>
            <w:vAlign w:val="center"/>
          </w:tcPr>
          <w:p>
            <w:pPr>
              <w:pStyle w:val="TableContents"/>
              <w:spacing w:before="0" w:after="0"/>
              <w:ind w:left="0" w:right="0" w:firstLine="30"/>
              <w:jc w:val="left"/>
              <w:rPr/>
            </w:pPr>
            <w:r>
              <w:rPr/>
              <w:t> </w:t>
            </w:r>
          </w:p>
        </w:tc>
        <w:tc>
          <w:tcPr>
            <w:tcW w:w="396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Mark Kuchenrither</w:t>
            </w:r>
          </w:p>
        </w:tc>
      </w:tr>
      <w:tr>
        <w:trPr/>
        <w:tc>
          <w:tcPr>
            <w:tcW w:w="597" w:type="dxa"/>
            <w:tcBorders/>
            <w:shd w:fill="auto" w:val="clear"/>
            <w:vAlign w:val="center"/>
          </w:tcPr>
          <w:p>
            <w:pPr>
              <w:pStyle w:val="TableContents"/>
              <w:spacing w:before="0" w:after="0"/>
              <w:ind w:left="0" w:right="0" w:firstLine="30"/>
              <w:rPr/>
            </w:pPr>
            <w:r>
              <w:rPr/>
              <w:t> </w:t>
            </w:r>
          </w:p>
        </w:tc>
        <w:tc>
          <w:tcPr>
            <w:tcW w:w="3889" w:type="dxa"/>
            <w:tcBorders/>
            <w:shd w:fill="auto" w:val="clear"/>
            <w:vAlign w:val="center"/>
          </w:tcPr>
          <w:p>
            <w:pPr>
              <w:pStyle w:val="TableContents"/>
              <w:spacing w:before="0" w:after="0"/>
              <w:ind w:left="0" w:right="0" w:firstLine="30"/>
              <w:rPr/>
            </w:pPr>
            <w:r>
              <w:rPr/>
              <w:t> </w:t>
            </w:r>
          </w:p>
        </w:tc>
        <w:tc>
          <w:tcPr>
            <w:tcW w:w="304" w:type="dxa"/>
            <w:tcBorders/>
            <w:shd w:fill="auto" w:val="clear"/>
            <w:vAlign w:val="center"/>
          </w:tcPr>
          <w:p>
            <w:pPr>
              <w:pStyle w:val="TableContents"/>
              <w:spacing w:before="0" w:after="0"/>
              <w:ind w:left="0" w:right="0" w:firstLine="30"/>
              <w:jc w:val="left"/>
              <w:rPr/>
            </w:pPr>
            <w:r>
              <w:rPr/>
              <w:t> </w:t>
            </w:r>
          </w:p>
        </w:tc>
        <w:tc>
          <w:tcPr>
            <w:tcW w:w="489" w:type="dxa"/>
            <w:tcBorders/>
            <w:shd w:fill="auto" w:val="clear"/>
            <w:vAlign w:val="center"/>
          </w:tcPr>
          <w:p>
            <w:pPr>
              <w:pStyle w:val="TableContents"/>
              <w:spacing w:before="0" w:after="0"/>
              <w:ind w:left="0" w:right="0" w:firstLine="30"/>
              <w:rPr/>
            </w:pPr>
            <w:r>
              <w:rPr/>
              <w:t> </w:t>
            </w:r>
          </w:p>
        </w:tc>
        <w:tc>
          <w:tcPr>
            <w:tcW w:w="211" w:type="dxa"/>
            <w:tcBorders/>
            <w:shd w:fill="auto" w:val="clear"/>
            <w:vAlign w:val="center"/>
          </w:tcPr>
          <w:p>
            <w:pPr>
              <w:pStyle w:val="TableContents"/>
              <w:spacing w:before="0" w:after="0"/>
              <w:ind w:left="0" w:right="0" w:firstLine="30"/>
              <w:jc w:val="left"/>
              <w:rPr/>
            </w:pPr>
            <w:r>
              <w:rPr/>
              <w:t> </w:t>
            </w:r>
          </w:p>
        </w:tc>
        <w:tc>
          <w:tcPr>
            <w:tcW w:w="544" w:type="dxa"/>
            <w:tcBorders/>
            <w:shd w:fill="auto" w:val="clear"/>
            <w:vAlign w:val="center"/>
          </w:tcPr>
          <w:p>
            <w:pPr>
              <w:pStyle w:val="TableContents"/>
              <w:spacing w:before="0" w:after="0"/>
              <w:ind w:left="0" w:right="0" w:firstLine="30"/>
              <w:rPr/>
            </w:pPr>
            <w:r>
              <w:rPr/>
              <w:t> </w:t>
            </w:r>
          </w:p>
        </w:tc>
        <w:tc>
          <w:tcPr>
            <w:tcW w:w="211" w:type="dxa"/>
            <w:tcBorders/>
            <w:shd w:fill="auto" w:val="clear"/>
            <w:vAlign w:val="center"/>
          </w:tcPr>
          <w:p>
            <w:pPr>
              <w:pStyle w:val="TableContents"/>
              <w:spacing w:before="0" w:after="0"/>
              <w:ind w:left="0" w:right="0" w:firstLine="30"/>
              <w:jc w:val="left"/>
              <w:rPr/>
            </w:pPr>
            <w:r>
              <w:rPr/>
              <w:t> </w:t>
            </w:r>
          </w:p>
        </w:tc>
        <w:tc>
          <w:tcPr>
            <w:tcW w:w="39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Mark Kuchenrither</w:t>
            </w:r>
          </w:p>
        </w:tc>
      </w:tr>
      <w:tr>
        <w:trPr/>
        <w:tc>
          <w:tcPr>
            <w:tcW w:w="597" w:type="dxa"/>
            <w:tcBorders/>
            <w:shd w:fill="auto" w:val="clear"/>
            <w:vAlign w:val="center"/>
          </w:tcPr>
          <w:p>
            <w:pPr>
              <w:pStyle w:val="TableContents"/>
              <w:spacing w:before="0" w:after="0"/>
              <w:ind w:left="0" w:right="0" w:firstLine="30"/>
              <w:rPr/>
            </w:pPr>
            <w:r>
              <w:rPr/>
              <w:t> </w:t>
            </w:r>
          </w:p>
        </w:tc>
        <w:tc>
          <w:tcPr>
            <w:tcW w:w="3889" w:type="dxa"/>
            <w:tcBorders/>
            <w:shd w:fill="auto" w:val="clear"/>
            <w:vAlign w:val="center"/>
          </w:tcPr>
          <w:p>
            <w:pPr>
              <w:pStyle w:val="TableContents"/>
              <w:spacing w:before="0" w:after="0"/>
              <w:ind w:left="0" w:right="0" w:firstLine="30"/>
              <w:rPr/>
            </w:pPr>
            <w:r>
              <w:rPr/>
              <w:t> </w:t>
            </w:r>
          </w:p>
        </w:tc>
        <w:tc>
          <w:tcPr>
            <w:tcW w:w="304" w:type="dxa"/>
            <w:tcBorders/>
            <w:shd w:fill="auto" w:val="clear"/>
            <w:vAlign w:val="center"/>
          </w:tcPr>
          <w:p>
            <w:pPr>
              <w:pStyle w:val="TableContents"/>
              <w:spacing w:before="0" w:after="0"/>
              <w:ind w:left="0" w:right="0" w:firstLine="30"/>
              <w:jc w:val="left"/>
              <w:rPr/>
            </w:pPr>
            <w:r>
              <w:rPr/>
              <w:t> </w:t>
            </w:r>
          </w:p>
        </w:tc>
        <w:tc>
          <w:tcPr>
            <w:tcW w:w="489" w:type="dxa"/>
            <w:tcBorders/>
            <w:shd w:fill="auto" w:val="clear"/>
            <w:vAlign w:val="center"/>
          </w:tcPr>
          <w:p>
            <w:pPr>
              <w:pStyle w:val="TableContents"/>
              <w:spacing w:before="0" w:after="0"/>
              <w:ind w:left="0" w:right="0" w:firstLine="30"/>
              <w:rPr/>
            </w:pPr>
            <w:r>
              <w:rPr/>
              <w:t> </w:t>
            </w:r>
          </w:p>
        </w:tc>
        <w:tc>
          <w:tcPr>
            <w:tcW w:w="211" w:type="dxa"/>
            <w:tcBorders/>
            <w:shd w:fill="auto" w:val="clear"/>
            <w:vAlign w:val="center"/>
          </w:tcPr>
          <w:p>
            <w:pPr>
              <w:pStyle w:val="TableContents"/>
              <w:spacing w:before="0" w:after="0"/>
              <w:ind w:left="0" w:right="0" w:firstLine="30"/>
              <w:jc w:val="left"/>
              <w:rPr/>
            </w:pPr>
            <w:r>
              <w:rPr/>
              <w:t> </w:t>
            </w:r>
          </w:p>
        </w:tc>
        <w:tc>
          <w:tcPr>
            <w:tcW w:w="544" w:type="dxa"/>
            <w:tcBorders/>
            <w:shd w:fill="auto" w:val="clear"/>
            <w:vAlign w:val="center"/>
          </w:tcPr>
          <w:p>
            <w:pPr>
              <w:pStyle w:val="TableContents"/>
              <w:spacing w:before="0" w:after="0"/>
              <w:ind w:left="0" w:right="0" w:firstLine="30"/>
              <w:rPr/>
            </w:pPr>
            <w:r>
              <w:rPr/>
              <w:t> </w:t>
            </w:r>
          </w:p>
        </w:tc>
        <w:tc>
          <w:tcPr>
            <w:tcW w:w="211" w:type="dxa"/>
            <w:tcBorders/>
            <w:shd w:fill="auto" w:val="clear"/>
            <w:vAlign w:val="center"/>
          </w:tcPr>
          <w:p>
            <w:pPr>
              <w:pStyle w:val="TableContents"/>
              <w:spacing w:before="0" w:after="0"/>
              <w:ind w:left="0" w:right="0" w:firstLine="30"/>
              <w:jc w:val="left"/>
              <w:rPr/>
            </w:pPr>
            <w:r>
              <w:rPr/>
              <w:t> </w:t>
            </w:r>
          </w:p>
        </w:tc>
        <w:tc>
          <w:tcPr>
            <w:tcW w:w="39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President, Chief Executive Officer and Chief Financial Officer</w:t>
            </w:r>
          </w:p>
        </w:tc>
      </w:tr>
      <w:tr>
        <w:trPr/>
        <w:tc>
          <w:tcPr>
            <w:tcW w:w="597" w:type="dxa"/>
            <w:tcBorders/>
            <w:shd w:fill="auto" w:val="clear"/>
            <w:vAlign w:val="center"/>
          </w:tcPr>
          <w:p>
            <w:pPr>
              <w:pStyle w:val="TableContents"/>
              <w:spacing w:before="0" w:after="0"/>
              <w:ind w:left="0" w:right="0" w:firstLine="30"/>
              <w:rPr/>
            </w:pPr>
            <w:r>
              <w:rPr/>
              <w:t> </w:t>
            </w:r>
          </w:p>
        </w:tc>
        <w:tc>
          <w:tcPr>
            <w:tcW w:w="3889" w:type="dxa"/>
            <w:tcBorders/>
            <w:shd w:fill="auto" w:val="clear"/>
            <w:vAlign w:val="center"/>
          </w:tcPr>
          <w:p>
            <w:pPr>
              <w:pStyle w:val="TableContents"/>
              <w:spacing w:before="0" w:after="0"/>
              <w:ind w:left="0" w:right="0" w:firstLine="30"/>
              <w:rPr/>
            </w:pPr>
            <w:r>
              <w:rPr/>
              <w:t> </w:t>
            </w:r>
          </w:p>
        </w:tc>
        <w:tc>
          <w:tcPr>
            <w:tcW w:w="304" w:type="dxa"/>
            <w:tcBorders/>
            <w:shd w:fill="auto" w:val="clear"/>
            <w:vAlign w:val="center"/>
          </w:tcPr>
          <w:p>
            <w:pPr>
              <w:pStyle w:val="TableContents"/>
              <w:spacing w:before="0" w:after="0"/>
              <w:ind w:left="0" w:right="0" w:firstLine="30"/>
              <w:rPr/>
            </w:pPr>
            <w:r>
              <w:rPr/>
              <w:t> </w:t>
            </w:r>
          </w:p>
        </w:tc>
        <w:tc>
          <w:tcPr>
            <w:tcW w:w="489" w:type="dxa"/>
            <w:tcBorders/>
            <w:shd w:fill="auto" w:val="clear"/>
            <w:vAlign w:val="center"/>
          </w:tcPr>
          <w:p>
            <w:pPr>
              <w:pStyle w:val="TableContents"/>
              <w:spacing w:before="0" w:after="0"/>
              <w:ind w:left="0" w:right="0" w:firstLine="30"/>
              <w:rPr/>
            </w:pPr>
            <w:r>
              <w:rPr/>
              <w:t> </w:t>
            </w:r>
          </w:p>
        </w:tc>
        <w:tc>
          <w:tcPr>
            <w:tcW w:w="211" w:type="dxa"/>
            <w:tcBorders/>
            <w:shd w:fill="auto" w:val="clear"/>
            <w:vAlign w:val="center"/>
          </w:tcPr>
          <w:p>
            <w:pPr>
              <w:pStyle w:val="TableContents"/>
              <w:spacing w:before="0" w:after="0"/>
              <w:ind w:left="0" w:right="0" w:firstLine="30"/>
              <w:rPr/>
            </w:pPr>
            <w:r>
              <w:rPr/>
              <w:t> </w:t>
            </w:r>
          </w:p>
        </w:tc>
        <w:tc>
          <w:tcPr>
            <w:tcW w:w="544" w:type="dxa"/>
            <w:tcBorders/>
            <w:shd w:fill="auto" w:val="clear"/>
            <w:vAlign w:val="center"/>
          </w:tcPr>
          <w:p>
            <w:pPr>
              <w:pStyle w:val="TableContents"/>
              <w:spacing w:before="0" w:after="0"/>
              <w:ind w:left="0" w:right="0" w:firstLine="30"/>
              <w:rPr/>
            </w:pPr>
            <w:r>
              <w:rPr/>
              <w:t> </w:t>
            </w:r>
          </w:p>
        </w:tc>
        <w:tc>
          <w:tcPr>
            <w:tcW w:w="211" w:type="dxa"/>
            <w:tcBorders/>
            <w:shd w:fill="auto" w:val="clear"/>
            <w:vAlign w:val="center"/>
          </w:tcPr>
          <w:p>
            <w:pPr>
              <w:pStyle w:val="TableContents"/>
              <w:spacing w:before="0" w:after="0"/>
              <w:ind w:left="0" w:right="0" w:firstLine="30"/>
              <w:rPr/>
            </w:pPr>
            <w:r>
              <w:rPr/>
              <w:t> </w:t>
            </w:r>
          </w:p>
        </w:tc>
        <w:tc>
          <w:tcPr>
            <w:tcW w:w="3960" w:type="dxa"/>
            <w:tcBorders/>
            <w:shd w:fill="auto" w:val="clear"/>
            <w:vAlign w:val="center"/>
          </w:tcPr>
          <w:p>
            <w:pPr>
              <w:pStyle w:val="TableContents"/>
              <w:spacing w:before="0" w:after="0"/>
              <w:rPr/>
            </w:pPr>
            <w:r>
              <w:rPr/>
              <w:t>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before="0" w:after="0"/>
        <w:rPr/>
      </w:pPr>
      <w:r>
        <w:rPr/>
      </w:r>
      <w:bookmarkStart w:id="12" w:name="s5681ec67b0d74902837fa8c852c8b035"/>
      <w:bookmarkStart w:id="13" w:name="s5681ec67b0d74902837fa8c852c8b035"/>
      <w:bookmarkEnd w:id="13"/>
    </w:p>
    <w:p>
      <w:pPr>
        <w:pStyle w:val="TextBody"/>
        <w:spacing w:lineRule="auto" w:line="288" w:before="0" w:after="0"/>
        <w:jc w:val="center"/>
        <w:rPr>
          <w:rFonts w:ascii="inherit" w:hAnsi="inherit"/>
          <w:b/>
          <w:sz w:val="17"/>
        </w:rPr>
      </w:pPr>
      <w:r>
        <w:rPr>
          <w:rFonts w:ascii="inherit" w:hAnsi="inherit"/>
          <w:b/>
          <w:sz w:val="17"/>
        </w:rPr>
        <w:t>EXHIBIT INDEX</w:t>
      </w:r>
    </w:p>
    <w:tbl>
      <w:tblPr>
        <w:tblW w:w="10205" w:type="dxa"/>
        <w:jc w:val="left"/>
        <w:tblInd w:w="0" w:type="dxa"/>
        <w:tblCellMar>
          <w:top w:w="0" w:type="dxa"/>
          <w:left w:w="0" w:type="dxa"/>
          <w:bottom w:w="0" w:type="dxa"/>
          <w:right w:w="0" w:type="dxa"/>
        </w:tblCellMar>
      </w:tblPr>
      <w:tblGrid>
        <w:gridCol w:w="1396"/>
        <w:gridCol w:w="170"/>
        <w:gridCol w:w="8639"/>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39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863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396" w:type="dxa"/>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Exhibit</w:t>
            </w:r>
          </w:p>
          <w:p>
            <w:pPr>
              <w:pStyle w:val="TableContents"/>
              <w:spacing w:before="0" w:after="0"/>
              <w:ind w:left="0" w:right="0" w:firstLine="30"/>
              <w:jc w:val="center"/>
              <w:rPr>
                <w:rFonts w:ascii="inherit" w:hAnsi="inherit"/>
                <w:b/>
                <w:sz w:val="13"/>
              </w:rPr>
            </w:pPr>
            <w:r>
              <w:rPr>
                <w:rFonts w:ascii="inherit" w:hAnsi="inherit"/>
                <w:b/>
                <w:sz w:val="13"/>
              </w:rPr>
              <w:t>No.</w:t>
            </w:r>
          </w:p>
        </w:tc>
        <w:tc>
          <w:tcPr>
            <w:tcW w:w="170" w:type="dxa"/>
            <w:tcBorders/>
            <w:shd w:fill="auto" w:val="clear"/>
            <w:vAlign w:val="center"/>
          </w:tcPr>
          <w:p>
            <w:pPr>
              <w:pStyle w:val="TableContents"/>
              <w:spacing w:before="0" w:after="0"/>
              <w:ind w:left="0" w:right="0" w:firstLine="30"/>
              <w:jc w:val="left"/>
              <w:rPr/>
            </w:pPr>
            <w:r>
              <w:rPr/>
              <w:t>  </w:t>
            </w:r>
          </w:p>
        </w:tc>
        <w:tc>
          <w:tcPr>
            <w:tcW w:w="863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Description of Exhibit</w:t>
            </w:r>
          </w:p>
        </w:tc>
      </w:tr>
      <w:tr>
        <w:trPr/>
        <w:tc>
          <w:tcPr>
            <w:tcW w:w="1396" w:type="dxa"/>
            <w:tcBorders/>
            <w:shd w:fill="auto" w:val="clear"/>
            <w:vAlign w:val="center"/>
          </w:tcPr>
          <w:p>
            <w:pPr>
              <w:pStyle w:val="TableContents"/>
              <w:spacing w:before="0" w:after="0"/>
              <w:ind w:left="0" w:right="0" w:firstLine="30"/>
              <w:rPr/>
            </w:pPr>
            <w:r>
              <w:rPr/>
              <w:t> </w:t>
            </w:r>
          </w:p>
        </w:tc>
        <w:tc>
          <w:tcPr>
            <w:tcW w:w="170" w:type="dxa"/>
            <w:tcBorders/>
            <w:shd w:fill="auto" w:val="clear"/>
            <w:vAlign w:val="center"/>
          </w:tcPr>
          <w:p>
            <w:pPr>
              <w:pStyle w:val="TableContents"/>
              <w:spacing w:before="0" w:after="0"/>
              <w:ind w:left="0" w:right="0" w:firstLine="30"/>
              <w:rPr/>
            </w:pPr>
            <w:r>
              <w:rPr/>
              <w:t> </w:t>
            </w:r>
          </w:p>
        </w:tc>
        <w:tc>
          <w:tcPr>
            <w:tcW w:w="8639" w:type="dxa"/>
            <w:tcBorders/>
            <w:shd w:fill="auto" w:val="clear"/>
            <w:vAlign w:val="center"/>
          </w:tcPr>
          <w:p>
            <w:pPr>
              <w:pStyle w:val="TableContents"/>
              <w:spacing w:before="0" w:after="0"/>
              <w:ind w:left="0" w:right="0" w:firstLine="30"/>
              <w:rPr/>
            </w:pPr>
            <w:r>
              <w:rPr/>
              <w:t> </w:t>
            </w:r>
          </w:p>
        </w:tc>
      </w:tr>
      <w:tr>
        <w:trPr/>
        <w:tc>
          <w:tcPr>
            <w:tcW w:w="139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99.1</w:t>
            </w:r>
          </w:p>
        </w:tc>
        <w:tc>
          <w:tcPr>
            <w:tcW w:w="170" w:type="dxa"/>
            <w:tcBorders/>
            <w:shd w:fill="auto" w:val="clear"/>
            <w:vAlign w:val="center"/>
          </w:tcPr>
          <w:p>
            <w:pPr>
              <w:pStyle w:val="TableContents"/>
              <w:spacing w:before="0" w:after="0"/>
              <w:ind w:left="0" w:right="0" w:firstLine="30"/>
              <w:jc w:val="left"/>
              <w:rPr/>
            </w:pPr>
            <w:r>
              <w:rPr/>
              <w:t>  </w:t>
            </w:r>
          </w:p>
        </w:tc>
        <w:tc>
          <w:tcPr>
            <w:tcW w:w="8639" w:type="dxa"/>
            <w:tcBorders/>
            <w:shd w:fill="auto" w:val="clear"/>
            <w:vAlign w:val="center"/>
          </w:tcPr>
          <w:p>
            <w:pPr>
              <w:pStyle w:val="TableContents"/>
              <w:spacing w:before="0" w:after="0"/>
              <w:rPr>
                <w:rFonts w:ascii="inherit" w:hAnsi="inherit"/>
                <w:sz w:val="17"/>
              </w:rPr>
            </w:pPr>
            <w:r>
              <w:rPr>
                <w:rFonts w:ascii="inherit" w:hAnsi="inherit"/>
                <w:sz w:val="17"/>
              </w:rPr>
              <w:t xml:space="preserve">Press Release, dated December 2, 2014, announcing EZCORP, Inc.’s Annual Report on Form 10-K for fiscal year ended September 30, 2014 has been filed with the Securities and Exchange Commission. </w:t>
            </w:r>
          </w:p>
          <w:p>
            <w:pPr>
              <w:pStyle w:val="TableContents"/>
              <w:spacing w:before="0" w:after="0"/>
              <w:rPr>
                <w:rFonts w:ascii="inherit" w:hAnsi="inherit"/>
                <w:sz w:val="17"/>
              </w:rPr>
            </w:pPr>
            <w:r>
              <w:rPr>
                <w:rFonts w:ascii="inherit" w:hAnsi="inherit"/>
                <w:sz w:val="17"/>
              </w:rPr>
            </w:r>
          </w:p>
          <w:p>
            <w:pPr>
              <w:pStyle w:val="TableContents"/>
              <w:spacing w:before="0" w:after="0"/>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w:t>
      </w:r>
      <w:r>
        <w:br w:type="page"/>
      </w:r>
    </w:p>
    <w:p>
      <w:pPr>
        <w:pStyle w:val="TextBody"/>
        <w:spacing w:lineRule="auto" w:line="288" w:before="0" w:after="0"/>
        <w:jc w:val="right"/>
        <w:rPr>
          <w:rFonts w:ascii="inherit" w:hAnsi="inherit"/>
          <w:b/>
          <w:color w:val="152D4E"/>
          <w:sz w:val="20"/>
        </w:rPr>
      </w:pPr>
      <w:bookmarkStart w:id="14" w:name="s74e55314d99048c29d4871a877a567cb"/>
      <w:bookmarkStart w:id="15" w:name="ex991-2014q4earningsreleas.htm"/>
      <w:bookmarkStart w:id="16" w:name="ksex9912014q4earningsreleas"/>
      <w:bookmarkEnd w:id="14"/>
      <w:bookmarkEnd w:id="15"/>
      <w:bookmarkEnd w:id="16"/>
      <w:r>
        <w:rPr>
          <w:rFonts w:ascii="inherit" w:hAnsi="inherit"/>
          <w:b/>
          <w:color w:val="152D4E"/>
          <w:sz w:val="20"/>
        </w:rPr>
        <w:t>Exhibit 99.1</w:t>
      </w:r>
    </w:p>
    <w:p>
      <w:pPr>
        <w:pStyle w:val="TextBody"/>
        <w:spacing w:lineRule="auto" w:line="288" w:before="0" w:after="0"/>
        <w:jc w:val="center"/>
        <w:rPr/>
      </w:pPr>
      <w:r>
        <w:rPr/>
        <w:drawing>
          <wp:inline distT="0" distB="0" distL="0" distR="0">
            <wp:extent cx="297180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71800" cy="514350"/>
                    </a:xfrm>
                    <a:prstGeom prst="rect">
                      <a:avLst/>
                    </a:prstGeom>
                  </pic:spPr>
                </pic:pic>
              </a:graphicData>
            </a:graphic>
          </wp:inline>
        </w:drawing>
      </w:r>
    </w:p>
    <w:p>
      <w:pPr>
        <w:pStyle w:val="TextBody"/>
        <w:spacing w:lineRule="auto" w:line="288" w:before="0" w:after="0"/>
        <w:jc w:val="center"/>
        <w:rPr>
          <w:rFonts w:ascii="inherit" w:hAnsi="inherit"/>
          <w:b/>
          <w:sz w:val="18"/>
        </w:rPr>
      </w:pPr>
      <w:r>
        <w:rPr>
          <w:rFonts w:ascii="inherit" w:hAnsi="inherit"/>
          <w:b/>
          <w:sz w:val="18"/>
        </w:rPr>
        <w:t>EZCORP'S ANNUAL REPORT ON FORM 10-K FOR FISCAL YEAR 2014 NOW AVAILABLE</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8"/>
        </w:rPr>
      </w:pPr>
      <w:r>
        <w:rPr>
          <w:rFonts w:ascii="inherit" w:hAnsi="inherit"/>
          <w:sz w:val="18"/>
        </w:rPr>
        <w:t>AUSTIN, Texas (December 2, 2014) - EZCORP, Inc. (NASDAQ: EZPW), a leading provider of easy cash solutions for consumers, announced today that its Annual Report on Form 10-K for the fiscal year ended September 30, 2014 has been filed with the Securities and Exchange Commission.</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8"/>
        </w:rPr>
      </w:pPr>
      <w:r>
        <w:rPr>
          <w:rFonts w:ascii="inherit" w:hAnsi="inherit"/>
          <w:sz w:val="18"/>
        </w:rPr>
        <w:t>During the completion of its fiscal year-end consolidation process and audit, certain unforeseen adjustments were made resulting in a change to the final financial statements for the fourth quarter and fiscal year 2014. For the fiscal fourth quarter and the fiscal year end, the final net loss attributable to EZCORP was $87.8 million and $45.7 million respectively, both a $0.9 million improvement versus the unaudited financial statements presented in the company's earnings release on November 6, 2014.</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8"/>
        </w:rPr>
      </w:pPr>
      <w:r>
        <w:rPr>
          <w:rFonts w:ascii="inherit" w:hAnsi="inherit"/>
          <w:sz w:val="18"/>
        </w:rPr>
        <w:t>The report is available on the Investor Relations section of the company's website (www.ezcorp.com). EZCORP stockholders may obtain a paper copy of the report, free of charge, by sending a request to investorrelations@ezcorp.com or by calling 1-800-873-7296, ext. 2220.</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8"/>
        </w:rPr>
      </w:pPr>
      <w:r>
        <w:rPr>
          <w:rFonts w:ascii="inherit" w:hAnsi="inherit"/>
          <w:b/>
          <w:sz w:val="18"/>
        </w:rPr>
        <w:t>About EZCORP</w:t>
      </w:r>
    </w:p>
    <w:p>
      <w:pPr>
        <w:pStyle w:val="TextBody"/>
        <w:spacing w:lineRule="auto" w:line="288" w:before="0" w:after="0"/>
        <w:jc w:val="left"/>
        <w:rPr>
          <w:rFonts w:ascii="inherit" w:hAnsi="inherit"/>
          <w:sz w:val="18"/>
        </w:rPr>
      </w:pPr>
      <w:r>
        <w:rPr>
          <w:rFonts w:ascii="inherit" w:hAnsi="inherit"/>
          <w:sz w:val="18"/>
        </w:rPr>
        <w:t>EZCORP is a leader in delivering easy cash solutions to our customers across channels, products, services and markets. With approximately 7,300 team members and approximately 1,400 locations and branches, we give our customers multiple ways to access instant cash, including pawn loans and consumer loans in the United States, Mexico and Canada, and fee-based credit services to customers seeking loans. At our pawn and buy/sell stores and online, we also sell merchandise, primarily collateral forfeited from pawn lending operations and used merchandise purchased from customers.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8"/>
        </w:rPr>
      </w:pPr>
      <w:r>
        <w:rPr>
          <w:rFonts w:ascii="inherit" w:hAnsi="inherit"/>
          <w:sz w:val="18"/>
        </w:rPr>
        <w:t>EZCORP owns controlling interests in Prestaciones Finmart, S.A.P.I. de C.V., SOFOM, E.N.R. (doing business under the names “Crediamigo” and “Adex”), a leading provider of consumer loans in Mexico, and in Renueva Commercial, S.A.P.I. de C.V., an operator of buy/sell stores in Mexico under the name “TUYO.” The company also has a significant investment in Cash Converters International Limited (CCV.ASX), which franchises and operates a worldwide network of over 700 stores that provide personal financial services and sell pre-owned merchandise.</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8"/>
        </w:rPr>
      </w:pPr>
      <w:r>
        <w:rPr>
          <w:rFonts w:ascii="inherit" w:hAnsi="inherit"/>
          <w:b/>
          <w:sz w:val="18"/>
        </w:rPr>
        <w:t>Contact:</w:t>
      </w:r>
    </w:p>
    <w:p>
      <w:pPr>
        <w:pStyle w:val="TextBody"/>
        <w:spacing w:lineRule="auto" w:line="288" w:before="0" w:after="0"/>
        <w:jc w:val="left"/>
        <w:rPr>
          <w:rFonts w:ascii="inherit" w:hAnsi="inherit"/>
          <w:sz w:val="18"/>
        </w:rPr>
      </w:pPr>
      <w:r>
        <w:rPr>
          <w:rFonts w:ascii="inherit" w:hAnsi="inherit"/>
          <w:sz w:val="18"/>
        </w:rPr>
        <w:t>Mark Trinske</w:t>
      </w:r>
    </w:p>
    <w:p>
      <w:pPr>
        <w:pStyle w:val="TextBody"/>
        <w:spacing w:lineRule="auto" w:line="288" w:before="0" w:after="0"/>
        <w:jc w:val="left"/>
        <w:rPr>
          <w:rFonts w:ascii="inherit" w:hAnsi="inherit"/>
          <w:sz w:val="18"/>
        </w:rPr>
      </w:pPr>
      <w:r>
        <w:rPr>
          <w:rFonts w:ascii="inherit" w:hAnsi="inherit"/>
          <w:sz w:val="18"/>
        </w:rPr>
        <w:t>Vice President, Investor Relations and Communications</w:t>
      </w:r>
    </w:p>
    <w:p>
      <w:pPr>
        <w:pStyle w:val="TextBody"/>
        <w:spacing w:lineRule="auto" w:line="288" w:before="0" w:after="0"/>
        <w:jc w:val="left"/>
        <w:rPr>
          <w:rFonts w:ascii="inherit" w:hAnsi="inherit"/>
          <w:sz w:val="18"/>
        </w:rPr>
      </w:pPr>
      <w:r>
        <w:rPr>
          <w:rFonts w:ascii="inherit" w:hAnsi="inherit"/>
          <w:sz w:val="18"/>
        </w:rPr>
        <w:t>EZCORP, Inc.</w:t>
      </w:r>
    </w:p>
    <w:p>
      <w:pPr>
        <w:pStyle w:val="TextBody"/>
        <w:spacing w:lineRule="auto" w:line="288" w:before="0" w:after="0"/>
        <w:jc w:val="left"/>
        <w:rPr>
          <w:rFonts w:ascii="inherit" w:hAnsi="inherit"/>
          <w:sz w:val="18"/>
        </w:rPr>
      </w:pPr>
      <w:r>
        <w:rPr>
          <w:rFonts w:ascii="inherit" w:hAnsi="inherit"/>
          <w:sz w:val="18"/>
        </w:rPr>
        <w:t>(512) 314-2220</w:t>
      </w:r>
    </w:p>
    <w:p>
      <w:pPr>
        <w:pStyle w:val="TextBody"/>
        <w:spacing w:lineRule="auto" w:line="288" w:before="0" w:after="0"/>
        <w:jc w:val="left"/>
        <w:rPr>
          <w:rFonts w:ascii="inherit" w:hAnsi="inherit"/>
          <w:sz w:val="18"/>
        </w:rPr>
      </w:pPr>
      <w:r>
        <w:rPr>
          <w:rFonts w:ascii="inherit" w:hAnsi="inherit"/>
          <w:sz w:val="18"/>
        </w:rPr>
        <w:t>Investor_Relations@ezcorp.com</w:t>
      </w:r>
    </w:p>
    <w:p>
      <w:pPr>
        <w:pStyle w:val="TextBody"/>
        <w:spacing w:lineRule="auto" w:line="288" w:before="0" w:after="0"/>
        <w:jc w:val="left"/>
        <w:rPr>
          <w:rFonts w:ascii="inherit" w:hAnsi="inherit"/>
          <w:sz w:val="18"/>
        </w:rPr>
      </w:pPr>
      <w:r>
        <w:rPr>
          <w:rFonts w:ascii="inherit" w:hAnsi="inherit"/>
          <w:sz w:val="18"/>
        </w:rPr>
        <w:t>http://investors.ezcorp.com/</w:t>
      </w:r>
    </w:p>
    <w:p>
      <w:pPr>
        <w:pStyle w:val="TextBody"/>
        <w:spacing w:lineRule="auto" w:line="288" w:before="0" w:after="0"/>
        <w:jc w:val="left"/>
        <w:rPr>
          <w:rFonts w:ascii="inherit" w:hAnsi="inherit"/>
          <w:sz w:val="20"/>
        </w:rPr>
      </w:pPr>
      <w:r>
        <w:rPr>
          <w:rFonts w:ascii="inherit" w:hAnsi="inherit"/>
          <w:sz w:val="20"/>
        </w:rPr>
      </w:r>
    </w:p>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851</Words>
  <CharactersWithSpaces>5887</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