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286"/>
        <w:gridCol w:w="1498"/>
        <w:gridCol w:w="3007"/>
        <w:gridCol w:w="2414"/>
      </w:tblGrid>
      <w:tr>
        <w:trPr/>
        <w:tc>
          <w:tcPr>
            <w:tcW w:w="32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66"/>
            </w:tblGrid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Arnold Zena Srivatsa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66"/>
            </w:tblGrid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BLDG. 1,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05/10/2019</w:t>
            </w:r>
            <w:r>
              <w:rPr/>
              <w:t xml:space="preserve"> </w:t>
            </w:r>
          </w:p>
        </w:tc>
        <w:tc>
          <w:tcPr>
            <w:tcW w:w="5421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2"/>
              <w:gridCol w:w="1011"/>
              <w:gridCol w:w="433"/>
              <w:gridCol w:w="1011"/>
            </w:tblGrid>
            <w:tr>
              <w:trPr/>
              <w:tc>
                <w:tcPr>
                  <w:tcW w:w="43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87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"/>
              <w:gridCol w:w="1951"/>
            </w:tblGrid>
            <w:tr>
              <w:trPr/>
              <w:tc>
                <w:tcPr>
                  <w:tcW w:w="3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9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8"/>
        <w:gridCol w:w="1954"/>
        <w:gridCol w:w="1152"/>
        <w:gridCol w:w="2651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No Securities Beneficially Held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26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purpose of this filing is to report the election of the Reporting Person as a Director. At the time of this filing, the Reporting Person does not hold Non-Derivative or Derivative Securities of EZCORP, Inc.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05/17/2019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7036" TargetMode="External"/><Relationship Id="rId3" Type="http://schemas.openxmlformats.org/officeDocument/2006/relationships/hyperlink" Target="http://www.sec.gov/cgi-bin/browse-edgar?action=getcompany&amp;CIK=00008765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428</Words>
  <CharactersWithSpaces>2724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