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6492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492875"/>
                    </a:xfrm>
                    <a:prstGeom prst="rect">
                      <a:avLst/>
                    </a:prstGeom>
                    <a:noFill/>
                  </pic:spPr>
                </pic:pic>
              </a:graphicData>
            </a:graphic>
          </wp:anchor>
        </w:drawing>
      </w:r>
    </w:p>
    <w:p>
      <w:pPr>
        <w:spacing w:after="0" w:line="1208" w:lineRule="exact"/>
        <w:rPr>
          <w:sz w:val="24"/>
          <w:szCs w:val="24"/>
          <w:color w:val="auto"/>
        </w:rPr>
      </w:pPr>
    </w:p>
    <w:p>
      <w:pPr>
        <w:sectPr>
          <w:pgSz w:w="11900" w:h="17003" w:orient="portrait"/>
          <w:cols w:equalWidth="0" w:num="2">
            <w:col w:w="2300" w:space="300"/>
            <w:col w:w="8480"/>
          </w:cols>
          <w:pgMar w:left="460" w:top="216" w:right="359" w:bottom="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Robertson Keith John</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2500 BEE CAVE RD., BLD 1 STE 200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EZCORP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11/12/2024</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24"/>
        <w:spacing w:after="0"/>
        <w:rPr>
          <w:sz w:val="20"/>
          <w:szCs w:val="20"/>
          <w:color w:val="auto"/>
        </w:rPr>
      </w:pPr>
      <w:r>
        <w:rPr>
          <w:rFonts w:ascii="Times New Roman" w:cs="Times New Roman" w:eastAsia="Times New Roman" w:hAnsi="Times New Roman"/>
          <w:sz w:val="17"/>
          <w:szCs w:val="17"/>
          <w:color w:val="0000FF"/>
        </w:rPr>
        <w:t>Chief Information Officer</w:t>
      </w:r>
    </w:p>
    <w:p>
      <w:pPr>
        <w:spacing w:after="0" w:line="305" w:lineRule="exact"/>
        <w:rPr>
          <w:sz w:val="24"/>
          <w:szCs w:val="24"/>
          <w:color w:val="auto"/>
        </w:rPr>
      </w:pPr>
    </w:p>
    <w:p>
      <w:pPr>
        <w:sectPr>
          <w:pgSz w:w="11900" w:h="17003" w:orient="portrait"/>
          <w:cols w:equalWidth="0" w:num="3">
            <w:col w:w="3180" w:space="720"/>
            <w:col w:w="3116" w:space="720"/>
            <w:col w:w="334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720" w:type="dxa"/>
            <w:vAlign w:val="bottom"/>
            <w:gridSpan w:val="7"/>
            <w:vMerge w:val="restart"/>
          </w:tcPr>
          <w:p>
            <w:pPr>
              <w:jc w:val="center"/>
              <w:ind w:right="137"/>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36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ROLLINGWOOD TX</w:t>
            </w: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78746</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jc w:val="center"/>
              <w:ind w:right="17"/>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w w:val="96"/>
              </w:rPr>
              <w:t>Class A Non-Voting Common Stock</w:t>
            </w:r>
          </w:p>
        </w:tc>
        <w:tc>
          <w:tcPr>
            <w:tcW w:w="184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11/12/2024</w:t>
            </w: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50,742</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11.77</w:t>
            </w:r>
          </w:p>
        </w:tc>
        <w:tc>
          <w:tcPr>
            <w:tcW w:w="128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150,526</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w w:val="96"/>
              </w:rPr>
              <w:t>Class A Non-Voting Common Stock</w:t>
            </w:r>
          </w:p>
        </w:tc>
        <w:tc>
          <w:tcPr>
            <w:tcW w:w="184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11/12/2024</w:t>
            </w: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29,635</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11.77</w:t>
            </w:r>
          </w:p>
        </w:tc>
        <w:tc>
          <w:tcPr>
            <w:tcW w:w="128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120,891</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39"/>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3,894</w:t>
            </w:r>
          </w:p>
        </w:tc>
        <w:tc>
          <w:tcPr>
            <w:tcW w:w="60" w:type="dxa"/>
            <w:vAlign w:val="bottom"/>
          </w:tcPr>
          <w:p>
            <w:pPr>
              <w:spacing w:after="0"/>
              <w:rPr>
                <w:sz w:val="12"/>
                <w:szCs w:val="12"/>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2"/>
              </w:rPr>
              <w:t>$</w:t>
            </w:r>
            <w:r>
              <w:rPr>
                <w:rFonts w:ascii="Times New Roman" w:cs="Times New Roman" w:eastAsia="Times New Roman" w:hAnsi="Times New Roman"/>
                <w:sz w:val="12"/>
                <w:szCs w:val="12"/>
                <w:color w:val="0000FF"/>
                <w:w w:val="92"/>
              </w:rPr>
              <w:t>11.77</w:t>
            </w:r>
            <w:r>
              <w:rPr>
                <w:rFonts w:ascii="Times New Roman" w:cs="Times New Roman" w:eastAsia="Times New Roman" w:hAnsi="Times New Roman"/>
                <w:sz w:val="21"/>
                <w:szCs w:val="21"/>
                <w:color w:val="008000"/>
                <w:w w:val="92"/>
                <w:vertAlign w:val="superscript"/>
              </w:rPr>
              <w:t>(3)</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11/12/2024</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3,894</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127,568</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2,499</w:t>
            </w:r>
          </w:p>
        </w:tc>
        <w:tc>
          <w:tcPr>
            <w:tcW w:w="60" w:type="dxa"/>
            <w:vAlign w:val="bottom"/>
          </w:tcPr>
          <w:p>
            <w:pPr>
              <w:spacing w:after="0"/>
              <w:rPr>
                <w:sz w:val="12"/>
                <w:szCs w:val="12"/>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2"/>
              </w:rPr>
              <w:t>$</w:t>
            </w:r>
            <w:r>
              <w:rPr>
                <w:rFonts w:ascii="Times New Roman" w:cs="Times New Roman" w:eastAsia="Times New Roman" w:hAnsi="Times New Roman"/>
                <w:sz w:val="12"/>
                <w:szCs w:val="12"/>
                <w:color w:val="0000FF"/>
                <w:w w:val="92"/>
              </w:rPr>
              <w:t>11.77</w:t>
            </w:r>
            <w:r>
              <w:rPr>
                <w:rFonts w:ascii="Times New Roman" w:cs="Times New Roman" w:eastAsia="Times New Roman" w:hAnsi="Times New Roman"/>
                <w:sz w:val="21"/>
                <w:szCs w:val="21"/>
                <w:color w:val="008000"/>
                <w:w w:val="92"/>
                <w:vertAlign w:val="superscript"/>
              </w:rPr>
              <w:t>(3)</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11/12/2024</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2,499</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130,067</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2,335</w:t>
            </w:r>
          </w:p>
        </w:tc>
        <w:tc>
          <w:tcPr>
            <w:tcW w:w="60" w:type="dxa"/>
            <w:vAlign w:val="bottom"/>
          </w:tcPr>
          <w:p>
            <w:pPr>
              <w:spacing w:after="0"/>
              <w:rPr>
                <w:sz w:val="12"/>
                <w:szCs w:val="12"/>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2"/>
              </w:rPr>
              <w:t>$</w:t>
            </w:r>
            <w:r>
              <w:rPr>
                <w:rFonts w:ascii="Times New Roman" w:cs="Times New Roman" w:eastAsia="Times New Roman" w:hAnsi="Times New Roman"/>
                <w:sz w:val="12"/>
                <w:szCs w:val="12"/>
                <w:color w:val="0000FF"/>
                <w:w w:val="92"/>
              </w:rPr>
              <w:t>11.77</w:t>
            </w:r>
            <w:r>
              <w:rPr>
                <w:rFonts w:ascii="Times New Roman" w:cs="Times New Roman" w:eastAsia="Times New Roman" w:hAnsi="Times New Roman"/>
                <w:sz w:val="21"/>
                <w:szCs w:val="21"/>
                <w:color w:val="008000"/>
                <w:w w:val="92"/>
                <w:vertAlign w:val="superscript"/>
              </w:rPr>
              <w:t>(3)</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11/12/2024</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2,335</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132,402</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50,742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11/12/2024</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2"/>
                <w:szCs w:val="12"/>
                <w:color w:val="auto"/>
              </w:rPr>
            </w:pPr>
          </w:p>
        </w:tc>
        <w:tc>
          <w:tcPr>
            <w:tcW w:w="5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50,742</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11.77</w:t>
            </w:r>
          </w:p>
        </w:tc>
        <w:tc>
          <w:tcPr>
            <w:tcW w:w="60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w w:val="94"/>
              </w:rPr>
              <w:t>81,660</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-3585845</wp:posOffset>
            </wp:positionV>
            <wp:extent cx="29210" cy="3591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5915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1"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2022 Restricted Stock Unit award. These units were earned with achievement of the specified performance goal for fiscal 2024 and vest on September 30, 2024, subject to continued employment.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November 12, 2024. However, no consideration was paid for the award other than services rendered and to be rendered by the Reporting Person.</w:t>
      </w:r>
    </w:p>
    <w:p>
      <w:pPr>
        <w:spacing w:after="0" w:line="41"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2023 Restricted Stock Unit award. These units were earned with achievement of the specified performance goal for fiscal 2024 and vest on September 30, 2025, subject to continued employment.</w:t>
      </w:r>
    </w:p>
    <w:p>
      <w:pPr>
        <w:spacing w:after="0" w:line="19" w:lineRule="exact"/>
        <w:rPr>
          <w:rFonts w:ascii="Times New Roman" w:cs="Times New Roman" w:eastAsia="Times New Roman" w:hAnsi="Times New Roman"/>
          <w:sz w:val="13"/>
          <w:szCs w:val="13"/>
          <w:color w:val="008000"/>
        </w:rPr>
      </w:pPr>
    </w:p>
    <w:p>
      <w:pPr>
        <w:ind w:left="40" w:right="2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2024 Restricted Stock Unit award. These units were earned with achievement of the specified performance goal for fiscal 2024 and vest on September 30, 2026, subject to continued employment.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vested on November 12, 2024 after specified performance goals were achieved.</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Carrie Putnam, Attorney-in-  </w:t>
      </w:r>
      <w:r>
        <w:rPr>
          <w:rFonts w:ascii="Times New Roman" w:cs="Times New Roman" w:eastAsia="Times New Roman" w:hAnsi="Times New Roman"/>
          <w:sz w:val="33"/>
          <w:szCs w:val="33"/>
          <w:color w:val="0000FF"/>
          <w:vertAlign w:val="subscript"/>
        </w:rPr>
        <w:t>11/14/2024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7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8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7003"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5477" TargetMode="External"/><Relationship Id="rId14"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2024-11-14T16:06:06Z</dcterms:created>
  <dcterms:modified xsi:type="dcterms:W3CDTF">2024-11-14T16:06:06Z</dcterms:modified>
</cp:coreProperties>
</file>