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17,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17, 2021, EZCORP, Inc. ("EZCORP") issued a press release announcing its results of operations and financial condition for the full year and quarter ended September 30, 2021. A copy of that press release is attached as Exhibit 99.1.</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same store and adjusted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that presentation of constant currency, same store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9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copy of the presentation materials that management will review during the Company’s earnings conference call (to be held on November 18, 2021) will be posted in the Investor Relations section of the company’s website at www.ezcorp.com.</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720" w:right="800" w:hanging="687"/>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99.1 </w:t>
      </w:r>
      <w:hyperlink w:anchor="page3">
        <w:r>
          <w:rPr>
            <w:rFonts w:ascii="Arial" w:cs="Arial" w:eastAsia="Arial" w:hAnsi="Arial"/>
            <w:sz w:val="18"/>
            <w:szCs w:val="18"/>
            <w:u w:val="single" w:color="auto"/>
            <w:color w:val="0000FF"/>
          </w:rPr>
          <w:t>Press Release, dated November 17, 2021, announcing EZCORP, Inc.’s results of operations and financial condition for the quarter and year</w:t>
        </w:r>
      </w:hyperlink>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ended September 30, 2021.</w:t>
        </w:r>
      </w:hyperlink>
    </w:p>
    <w:p>
      <w:pPr>
        <w:ind w:left="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5380" w:type="dxa"/>
            <w:vAlign w:val="bottom"/>
            <w:gridSpan w:val="2"/>
          </w:tcPr>
          <w:p>
            <w:pPr>
              <w:ind w:left="1400"/>
              <w:spacing w:after="0"/>
              <w:rPr>
                <w:sz w:val="20"/>
                <w:szCs w:val="20"/>
                <w:color w:val="auto"/>
              </w:rPr>
            </w:pPr>
            <w:r>
              <w:rPr>
                <w:rFonts w:ascii="Arial" w:cs="Arial" w:eastAsia="Arial" w:hAnsi="Arial"/>
                <w:sz w:val="18"/>
                <w:szCs w:val="18"/>
                <w:color w:val="auto"/>
              </w:rPr>
              <w:t>EZCORP, INC.</w:t>
            </w:r>
          </w:p>
        </w:tc>
      </w:tr>
      <w:tr>
        <w:trPr>
          <w:trHeight w:val="283"/>
        </w:trPr>
        <w:tc>
          <w:tcPr>
            <w:tcW w:w="3300" w:type="dxa"/>
            <w:vAlign w:val="bottom"/>
          </w:tcPr>
          <w:p>
            <w:pPr>
              <w:spacing w:after="0"/>
              <w:rPr>
                <w:sz w:val="20"/>
                <w:szCs w:val="20"/>
                <w:color w:val="auto"/>
              </w:rPr>
            </w:pPr>
            <w:r>
              <w:rPr>
                <w:rFonts w:ascii="Arial" w:cs="Arial" w:eastAsia="Arial" w:hAnsi="Arial"/>
                <w:sz w:val="18"/>
                <w:szCs w:val="18"/>
                <w:color w:val="auto"/>
              </w:rPr>
              <w:t>Date: November 17, 2021</w:t>
            </w:r>
          </w:p>
        </w:tc>
        <w:tc>
          <w:tcPr>
            <w:tcW w:w="2040" w:type="dxa"/>
            <w:vAlign w:val="bottom"/>
          </w:tcPr>
          <w:p>
            <w:pPr>
              <w:ind w:left="140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3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3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53" w:right="359" w:bottom="1440" w:gutter="0" w:footer="0" w:header="0"/>
        </w:sectPr>
      </w:pPr>
    </w:p>
    <w:bookmarkStart w:id="2" w:name="page3"/>
    <w:bookmarkEnd w:id="2"/>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EZCORP Reports Fourth Quarter and Full Year Fiscal 2021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Up 14% and PLO Up 34% for the Year</w:t>
      </w:r>
    </w:p>
    <w:p>
      <w:pPr>
        <w:ind w:right="120"/>
        <w:spacing w:after="0" w:line="235" w:lineRule="auto"/>
        <w:rPr>
          <w:sz w:val="20"/>
          <w:szCs w:val="20"/>
          <w:color w:val="auto"/>
        </w:rPr>
      </w:pPr>
      <w:r>
        <w:rPr>
          <w:rFonts w:ascii="Arial" w:cs="Arial" w:eastAsia="Arial" w:hAnsi="Arial"/>
          <w:sz w:val="18"/>
          <w:szCs w:val="18"/>
          <w:b w:val="1"/>
          <w:bCs w:val="1"/>
          <w:color w:val="auto"/>
        </w:rPr>
        <w:t xml:space="preserve">Austin, Texas (November 17, 2021) — </w:t>
      </w:r>
      <w:r>
        <w:rPr>
          <w:rFonts w:ascii="Arial" w:cs="Arial" w:eastAsia="Arial" w:hAnsi="Arial"/>
          <w:sz w:val="18"/>
          <w:szCs w:val="18"/>
          <w:color w:val="auto"/>
        </w:rPr>
        <w:t>EZCORP, Inc. (NASDAQ: EZPW), a leading provider of pawn transactions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Latin America, today announced results for its fiscal fourth quarter and full year ended September 30, 2021.</w:t>
      </w:r>
    </w:p>
    <w:p>
      <w:pPr>
        <w:spacing w:after="0" w:line="135"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i w:val="1"/>
          <w:iCs w:val="1"/>
          <w:color w:val="auto"/>
        </w:rPr>
        <w:t>All amounts in this release are in conformity with U.S. generally accepted accounting principles ("GAAP") unless otherwise noted. Comparisons shown in this release are to the same period in the prior year unless otherwise noted.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HIGHLIGHTS</w:t>
      </w:r>
    </w:p>
    <w:p>
      <w:pPr>
        <w:spacing w:after="0" w:line="1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Pawn Loans Outstanding (PLO) up 34% and up 12% compared to the third quarter.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15% and net revenue increased 33%.</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Merchandise sales gross profit margin was 41% up from 31%.</w:t>
      </w:r>
    </w:p>
    <w:p>
      <w:pPr>
        <w:spacing w:after="0" w:line="147" w:lineRule="exact"/>
        <w:rPr>
          <w:rFonts w:ascii="Arial" w:cs="Arial" w:eastAsia="Arial" w:hAnsi="Arial"/>
          <w:sz w:val="18"/>
          <w:szCs w:val="18"/>
          <w:color w:val="auto"/>
        </w:rPr>
      </w:pPr>
    </w:p>
    <w:p>
      <w:pPr>
        <w:ind w:left="660" w:right="340" w:hanging="328"/>
        <w:spacing w:after="0" w:line="218" w:lineRule="auto"/>
        <w:tabs>
          <w:tab w:leader="none" w:pos="66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earnings per share was $0.03, compared to a diluted loss per share of $0.42.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earnings per share was $0.11, compared to diluted earnings per share of $0.08.</w:t>
      </w:r>
    </w:p>
    <w:p>
      <w:pPr>
        <w:spacing w:after="0" w:line="14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 on Earning Assets (ROEA) improved to 175% from 154%.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Chief Executive Officer Jason Kulas stated, “I am pleased with our results in the fourth quarter and for the fiscal year, and am proud the team has executed on the strategy we put in place at the end of fiscal 2020. We are improving the customer experience, embracing technological improvements, and have launched our new loyalty program which will be rolled out in the majority of stores by the end of the calendar year. Our key financial metrics continue to improve sequentially due to the initiatives that we have taken throughout the year. We credit our team members who have embraced the renewed emphasis on culture and serving our customers while focusing on innovative ways to improve the core pawn business, grow PLO and increase margins.</w:t>
      </w:r>
    </w:p>
    <w:p>
      <w:pPr>
        <w:spacing w:after="0" w:line="15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are seeing strong signs of recovery from the pandemic and stimulus impact in the U.S., with Latin America slightly lagging due to the concerns over the Delta variant.</w:t>
      </w:r>
    </w:p>
    <w:p>
      <w:pPr>
        <w:spacing w:after="0" w:line="144" w:lineRule="exact"/>
        <w:rPr>
          <w:sz w:val="20"/>
          <w:szCs w:val="20"/>
          <w:color w:val="auto"/>
        </w:rPr>
      </w:pPr>
    </w:p>
    <w:p>
      <w:pPr>
        <w:jc w:val="both"/>
        <w:ind w:right="420"/>
        <w:spacing w:after="0" w:line="291" w:lineRule="auto"/>
        <w:rPr>
          <w:sz w:val="20"/>
          <w:szCs w:val="20"/>
          <w:color w:val="auto"/>
        </w:rPr>
      </w:pPr>
      <w:r>
        <w:rPr>
          <w:rFonts w:ascii="Arial" w:cs="Arial" w:eastAsia="Arial" w:hAnsi="Arial"/>
          <w:sz w:val="17"/>
          <w:szCs w:val="17"/>
          <w:color w:val="auto"/>
        </w:rPr>
        <w:t>“The integration of the 139 stores we acquired this year is going well, and our current acquisition pipeline remains robust. In addition, we recently invested in a company that gives us increased geographical diversification by having interests in pawn stores in the Caribbean.</w:t>
      </w:r>
    </w:p>
    <w:p>
      <w:pPr>
        <w:spacing w:after="0" w:line="12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we continue to grow our footprint outside of the US, I am delighted to announce the recent promotion of Blair Powell to President of Global Pawn with management responsibility for all of our pawn operations worldwide. Blair has over 30 years of experience in the industry and has been serving as President of US Pawn for the past year. I am confident that this more streamlined global structure will enhance the in-store experience, optimize expenses and further drive profitability.</w:t>
      </w:r>
    </w:p>
    <w:p>
      <w:pPr>
        <w:spacing w:after="0" w:line="1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“Looking ahead toward fiscal 2022, we remain committed to maintaining operating excellence, a strong balance sheet and cost discipline while pursuing sustainable growth. Our customers and team members are critical to our success. We strive to be our customers’ first and best choice for their short-term cash needs and for affordable pre-owned and recycled goods. Enhanced training and diversity and inclusion programs are in place to help develop team members and improve productivity and retention. We are appreciative of our team members’ excellent execution and passion for pawn, and we are enthusiastic about the year ahead."</w:t>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8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r>
      <w:tr>
        <w:trPr>
          <w:trHeight w:val="263"/>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166.8</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89.6</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(Loss),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32"/>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Twelve Months Ended September 30</w:t>
            </w:r>
          </w:p>
        </w:tc>
        <w:tc>
          <w:tcPr>
            <w:tcW w:w="26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r>
      <w:tr>
        <w:trPr>
          <w:trHeight w:val="263"/>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822.8</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822.8</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451.5</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(Loss),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(70.1)</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66.3</w:t>
            </w:r>
          </w:p>
        </w:tc>
      </w:tr>
    </w:tbl>
    <w:p>
      <w:pPr>
        <w:spacing w:after="0" w:line="256" w:lineRule="exact"/>
        <w:rPr>
          <w:sz w:val="20"/>
          <w:szCs w:val="20"/>
          <w:color w:val="auto"/>
        </w:rPr>
      </w:pPr>
    </w:p>
    <w:p>
      <w:pPr>
        <w:ind w:left="660" w:right="120" w:hanging="328"/>
        <w:spacing w:after="0"/>
        <w:tabs>
          <w:tab w:leader="none" w:pos="66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Diluted earnings per share was $0.03 for the fourth quarter, compared to a loss of $0.42. On an adjusted basis, diluted earnings per share was $0.11, compared to $0.08. For the full year, diluted earnings per share was $0.15, compared to a loss of $1.24. On an adjusted basis, diluted earnings per share for the year was $0.38, compared to $0.39.</w:t>
      </w:r>
    </w:p>
    <w:p>
      <w:pPr>
        <w:spacing w:after="0" w:line="148" w:lineRule="exact"/>
        <w:rPr>
          <w:rFonts w:ascii="Arial" w:cs="Arial" w:eastAsia="Arial" w:hAnsi="Arial"/>
          <w:sz w:val="18"/>
          <w:szCs w:val="18"/>
          <w:b w:val="1"/>
          <w:bCs w:val="1"/>
          <w:color w:val="auto"/>
        </w:rPr>
      </w:pPr>
    </w:p>
    <w:p>
      <w:pPr>
        <w:jc w:val="both"/>
        <w:ind w:left="660" w:right="180" w:hanging="328"/>
        <w:spacing w:after="0" w:line="256"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fourth quarter, income before taxes improved 116% from a loss of $28.7 million to income of $4.5 million. Adjusted EBITDA increased 47% from $12.3 million to $18.1 million. For the full year, income before taxes improved by 123% to $16.1 million from a loss of $70.1 million and adjusted EBITDA increased 2% to $67.5 million from $66.3 million.</w:t>
      </w:r>
    </w:p>
    <w:p>
      <w:pPr>
        <w:spacing w:after="0" w:line="128" w:lineRule="exact"/>
        <w:rPr>
          <w:rFonts w:ascii="Arial" w:cs="Arial" w:eastAsia="Arial" w:hAnsi="Arial"/>
          <w:sz w:val="18"/>
          <w:szCs w:val="18"/>
          <w:color w:val="auto"/>
        </w:rPr>
      </w:pPr>
    </w:p>
    <w:p>
      <w:pPr>
        <w:ind w:left="660" w:right="160" w:hanging="328"/>
        <w:spacing w:after="0" w:line="229" w:lineRule="auto"/>
        <w:tabs>
          <w:tab w:leader="none" w:pos="66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PLO significantly increased to $175.9 million, up 34% and 12% on a sequential basis. On a same-store basis</w:t>
      </w:r>
      <w:r>
        <w:rPr>
          <w:rFonts w:ascii="Arial" w:cs="Arial" w:eastAsia="Arial" w:hAnsi="Arial"/>
          <w:sz w:val="23"/>
          <w:szCs w:val="23"/>
          <w:color w:val="auto"/>
          <w:vertAlign w:val="superscript"/>
        </w:rPr>
        <w:t>2</w:t>
      </w:r>
      <w:r>
        <w:rPr>
          <w:rFonts w:ascii="Arial" w:cs="Arial" w:eastAsia="Arial" w:hAnsi="Arial"/>
          <w:sz w:val="18"/>
          <w:szCs w:val="18"/>
          <w:color w:val="auto"/>
        </w:rPr>
        <w:t>, PLO increased 29% year-over-year and 12% sequentially.</w:t>
      </w:r>
    </w:p>
    <w:p>
      <w:pPr>
        <w:spacing w:after="0" w:line="162" w:lineRule="exact"/>
        <w:rPr>
          <w:rFonts w:ascii="Arial" w:cs="Arial" w:eastAsia="Arial" w:hAnsi="Arial"/>
          <w:sz w:val="18"/>
          <w:szCs w:val="18"/>
          <w:b w:val="1"/>
          <w:bCs w:val="1"/>
          <w:color w:val="auto"/>
        </w:rPr>
      </w:pPr>
    </w:p>
    <w:p>
      <w:pPr>
        <w:ind w:left="660" w:right="120" w:hanging="328"/>
        <w:spacing w:after="0" w:line="256"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total revenues increased 15% and net revenues increased 33%, reflecting improved PSC and merchandise sales gross profit. For the full year, total revenues decreased 11% and net revenues were flat, reflecting lower average PLO (driving lower PSC) for the year, offset by improved sales profit margins.</w:t>
      </w:r>
    </w:p>
    <w:p>
      <w:pPr>
        <w:spacing w:after="0" w:line="147" w:lineRule="exact"/>
        <w:rPr>
          <w:rFonts w:ascii="Arial" w:cs="Arial" w:eastAsia="Arial" w:hAnsi="Arial"/>
          <w:sz w:val="18"/>
          <w:szCs w:val="18"/>
          <w:color w:val="auto"/>
        </w:rPr>
      </w:pPr>
    </w:p>
    <w:p>
      <w:pPr>
        <w:ind w:left="660" w:right="40" w:hanging="328"/>
        <w:spacing w:after="0" w:line="254"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Merchandise sales gross profit margin was 41% in the fourth quarter, up from 31%. For the full year, merchandise sales gross profit margin was 42% compared to 33%. These improvements reflect the commitment to improving the core business by driving down aged general merchandise (now less than 1% of total general merchandise inventory) and focusing on selling inventory in the first 90 days.</w:t>
      </w:r>
    </w:p>
    <w:p>
      <w:pPr>
        <w:spacing w:after="0" w:line="149" w:lineRule="exact"/>
        <w:rPr>
          <w:rFonts w:ascii="Arial" w:cs="Arial" w:eastAsia="Arial" w:hAnsi="Arial"/>
          <w:sz w:val="18"/>
          <w:szCs w:val="18"/>
          <w:color w:val="auto"/>
        </w:rPr>
      </w:pPr>
    </w:p>
    <w:p>
      <w:pPr>
        <w:ind w:left="660" w:right="600" w:hanging="328"/>
        <w:spacing w:after="0" w:line="256"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fourth quarter, PSC increased 32% due to an increase in the average PLO balance during the quarter. Though PLO significantly increased during the year, average PLO for fiscal 2021 was lower than in fiscal 2020, which led to a full year PSC decrease of 5%.</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inventory increased 16% year-over-year and 20% sequentially, reflecting an increase in pawn activity. Due to significant improvements at the store level, inventory turnover remained strong at a flat 2.8x for the fourth quarter and increased from 2.4x to 2.9x for the year.</w:t>
      </w:r>
    </w:p>
    <w:p>
      <w:pPr>
        <w:spacing w:after="0" w:line="147" w:lineRule="exact"/>
        <w:rPr>
          <w:rFonts w:ascii="Arial" w:cs="Arial" w:eastAsia="Arial" w:hAnsi="Arial"/>
          <w:sz w:val="18"/>
          <w:szCs w:val="18"/>
          <w:color w:val="auto"/>
        </w:rPr>
      </w:pPr>
    </w:p>
    <w:p>
      <w:pPr>
        <w:ind w:left="660" w:right="160" w:hanging="328"/>
        <w:spacing w:after="0" w:line="253"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store expenses increased $11.1 million or 14.3%, primarily due to the store count increase of 14.2% and increased incentive compensation. On a same-store basis, store expenses increased 7%. In addition, general and administrative expenses increased $11.8 million or 314%, primarily due to increased incentive compensation. For the full year, when removing the fiscal 2020 incentive compensation reversal of $20.9 million, store expenses on a same-store basis decreased $15.9 million or 5% and G&amp;A expenses decreased $14.6 million or 21%.</w:t>
      </w:r>
    </w:p>
    <w:p>
      <w:pPr>
        <w:sectPr>
          <w:pgSz w:w="11900" w:h="16838" w:orient="portrait"/>
          <w:cols w:equalWidth="0" w:num="1">
            <w:col w:w="11240"/>
          </w:cols>
          <w:pgMar w:left="320" w:top="1089" w:right="339" w:bottom="1440" w:gutter="0" w:footer="0" w:header="0"/>
        </w:sectPr>
      </w:pPr>
    </w:p>
    <w:bookmarkStart w:id="4" w:name="page5"/>
    <w:bookmarkEnd w:id="4"/>
    <w:p>
      <w:pPr>
        <w:ind w:left="660" w:right="260" w:hanging="328"/>
        <w:spacing w:after="0" w:line="261" w:lineRule="auto"/>
        <w:tabs>
          <w:tab w:leader="none" w:pos="66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Cash and cash equivalents at the end of the quarter was $253.7 million, down $50.9 million or 17% and $30.0 million or 11% on a sequential basis. The decrease is primarily due to the increase in PLO and the acquisition of new stores.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48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continued to increase, ending the year up 28% (27% on a same store basis) and up 16% compared to the end of the third quarter.</w:t>
      </w:r>
    </w:p>
    <w:p>
      <w:pPr>
        <w:spacing w:after="0" w:line="143" w:lineRule="exact"/>
        <w:rPr>
          <w:rFonts w:ascii="Arial" w:cs="Arial" w:eastAsia="Arial" w:hAnsi="Arial"/>
          <w:sz w:val="18"/>
          <w:szCs w:val="18"/>
          <w:color w:val="auto"/>
        </w:rPr>
      </w:pPr>
    </w:p>
    <w:p>
      <w:pPr>
        <w:ind w:left="660" w:hanging="328"/>
        <w:spacing w:after="0" w:line="256"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fourth quarter, total revenue was up 12% and net revenues increased 21%, reflecting increasing PSC, higher sales and improved merchandise sales gross profit. For the full year, total revenues decreased 13% and net revenues decreased 3%, reflecting lower average PLO for the year (driving lower PSC) offset by improved sales profit margins.</w:t>
      </w:r>
    </w:p>
    <w:p>
      <w:pPr>
        <w:spacing w:after="0" w:line="147" w:lineRule="exact"/>
        <w:rPr>
          <w:rFonts w:ascii="Arial" w:cs="Arial" w:eastAsia="Arial" w:hAnsi="Arial"/>
          <w:sz w:val="18"/>
          <w:szCs w:val="18"/>
          <w:color w:val="auto"/>
        </w:rPr>
      </w:pPr>
    </w:p>
    <w:p>
      <w:pPr>
        <w:ind w:left="660" w:right="120" w:hanging="328"/>
        <w:spacing w:after="0" w:line="256"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fourth quarter, merchandise sales gross profit gross margins continued to remain high at 43% compared to 37%. During the year, merchandise sales gross profit gross margins increased 768 bps to 44%, reflecting a focus on improving retailing and lower levels of aged general merchandise inventory (which improved to 0.7% from 4.3% of total merchandise inventory).</w:t>
      </w:r>
    </w:p>
    <w:p>
      <w:pPr>
        <w:spacing w:after="0" w:line="147"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22% in the fourth quarter as a result of higher average PLO. Though PLO significantly increased during the year, the average PLO for the year was lower than in fiscal 2020 which led to a full year PSC decrease of 6%.</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increased 9% and 19% sequentially. Inventory turnover continued to improve, increasing to 2.7x from 2.5x for the prior year quarter and increasing to 2.7x from 2.3x for the year.</w:t>
      </w:r>
    </w:p>
    <w:p>
      <w:pPr>
        <w:spacing w:after="0" w:line="143" w:lineRule="exact"/>
        <w:rPr>
          <w:rFonts w:ascii="Arial" w:cs="Arial" w:eastAsia="Arial" w:hAnsi="Arial"/>
          <w:sz w:val="18"/>
          <w:szCs w:val="18"/>
          <w:color w:val="auto"/>
        </w:rPr>
      </w:pPr>
    </w:p>
    <w:p>
      <w:pPr>
        <w:ind w:left="660" w:right="340" w:hanging="328"/>
        <w:spacing w:after="0" w:line="254"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fourth quarter, store expenses increased 9% or $5.4 million to $65.1 million, primarily due to the increase of incentive compensation of approximately $7.0 million, reflecting improved performance compared to the prior year. For the full year, when removing the fiscal 2020 incentive compensation reversal, store expenses on a same-store basis decreased $11.9 million or 4%, reflecting expense optimization.</w:t>
      </w:r>
    </w:p>
    <w:p>
      <w:pPr>
        <w:spacing w:after="0" w:line="149" w:lineRule="exact"/>
        <w:rPr>
          <w:rFonts w:ascii="Arial" w:cs="Arial" w:eastAsia="Arial" w:hAnsi="Arial"/>
          <w:sz w:val="18"/>
          <w:szCs w:val="18"/>
          <w:color w:val="auto"/>
        </w:rPr>
      </w:pPr>
    </w:p>
    <w:p>
      <w:pPr>
        <w:ind w:left="660" w:right="2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contribution increased $13.3 million to $20.9 million in the fourth quarter and increased $12.4 million to $85.5 million for the year. On an adjusted basis, segment contribution increased $10.2 million in the quarter and decreased $3.5 million in the year.</w:t>
      </w:r>
    </w:p>
    <w:p>
      <w:pPr>
        <w:spacing w:after="0" w:line="143" w:lineRule="exact"/>
        <w:rPr>
          <w:rFonts w:ascii="Arial" w:cs="Arial" w:eastAsia="Arial" w:hAnsi="Arial"/>
          <w:sz w:val="18"/>
          <w:szCs w:val="18"/>
          <w:color w:val="auto"/>
        </w:rPr>
      </w:pPr>
    </w:p>
    <w:p>
      <w:pPr>
        <w:ind w:right="300" w:firstLine="332"/>
        <w:spacing w:after="0" w:line="438"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store count increased by 11 during the year resulting from the acquisition in the Houston, Texas area completed in May. Latin America Pawn</w:t>
      </w:r>
    </w:p>
    <w:p>
      <w:pPr>
        <w:ind w:left="660" w:right="160" w:hanging="328"/>
        <w:spacing w:after="0" w:line="256"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significantly improved, increasing 60% to $40.0 million (51% on constant currency basis). On a sequential basis, PLO was flat compared to a 5% sequential decrease in the prior-year quarter. On a same store basis, PLO increased 37% (29% on a constant currency basis) and decreased 2% (increased 2% on a constant currency basis) sequentially.</w:t>
      </w:r>
    </w:p>
    <w:p>
      <w:pPr>
        <w:spacing w:after="0" w:line="147" w:lineRule="exact"/>
        <w:rPr>
          <w:rFonts w:ascii="Arial" w:cs="Arial" w:eastAsia="Arial" w:hAnsi="Arial"/>
          <w:sz w:val="18"/>
          <w:szCs w:val="18"/>
          <w:color w:val="auto"/>
        </w:rPr>
      </w:pPr>
    </w:p>
    <w:p>
      <w:pPr>
        <w:jc w:val="both"/>
        <w:ind w:left="660" w:right="240" w:hanging="328"/>
        <w:spacing w:after="0" w:line="256"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fourth quarter, total revenue was up 27% (18% on a constant currency basis), while net revenues increased 91% (78% on a constant currency basis). For the fiscal year, total revenues were down 3% (6% on a constant currency basis), while net revenues increased by 14% (11% on a constant currency basis) reflecting significantly improved margins.</w:t>
      </w:r>
    </w:p>
    <w:p>
      <w:pPr>
        <w:spacing w:after="0" w:line="147" w:lineRule="exact"/>
        <w:rPr>
          <w:rFonts w:ascii="Arial" w:cs="Arial" w:eastAsia="Arial" w:hAnsi="Arial"/>
          <w:sz w:val="18"/>
          <w:szCs w:val="18"/>
          <w:color w:val="auto"/>
        </w:rPr>
      </w:pPr>
    </w:p>
    <w:p>
      <w:pPr>
        <w:ind w:left="660" w:right="60" w:hanging="328"/>
        <w:spacing w:after="0" w:line="254"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gross profit margins significantly improved in the fourth quarter to 34% compared to 13%. During the year, merchandise sales gross profit gross margins increased 1,270 bps to 35% (up 1,266 bps to 35% on a constant currency basis), reflecting a focus on improving retailing and lower levels of aged general merchandise inventory (which improved to 0.3% from 7.8% of total merchandise inventory).</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by 66% in the fourth quarter to $20.0 million (up 55% to $18.7 million on a constant currency basis) as a result</w:t>
      </w:r>
    </w:p>
    <w:p>
      <w:pPr>
        <w:spacing w:after="0" w:line="9" w:lineRule="exact"/>
        <w:rPr>
          <w:rFonts w:ascii="Arial" w:cs="Arial" w:eastAsia="Arial" w:hAnsi="Arial"/>
          <w:sz w:val="18"/>
          <w:szCs w:val="18"/>
          <w:color w:val="auto"/>
        </w:rPr>
      </w:pPr>
    </w:p>
    <w:p>
      <w:pPr>
        <w:ind w:left="660" w:right="120"/>
        <w:spacing w:after="0" w:line="261" w:lineRule="auto"/>
        <w:rPr>
          <w:rFonts w:ascii="Arial" w:cs="Arial" w:eastAsia="Arial" w:hAnsi="Arial"/>
          <w:sz w:val="18"/>
          <w:szCs w:val="18"/>
          <w:color w:val="auto"/>
        </w:rPr>
      </w:pPr>
      <w:r>
        <w:rPr>
          <w:rFonts w:ascii="Arial" w:cs="Arial" w:eastAsia="Arial" w:hAnsi="Arial"/>
          <w:sz w:val="18"/>
          <w:szCs w:val="18"/>
          <w:color w:val="auto"/>
        </w:rPr>
        <w:t>of higher average PLO for the quarter. For the fiscal year, PSC increased 1% (down 2% on a constant currency basis) as a result of lower average PLO for the year.</w:t>
      </w:r>
    </w:p>
    <w:p>
      <w:pPr>
        <w:spacing w:after="0" w:line="157" w:lineRule="exact"/>
        <w:rPr>
          <w:rFonts w:ascii="Arial" w:cs="Arial" w:eastAsia="Arial" w:hAnsi="Arial"/>
          <w:sz w:val="18"/>
          <w:szCs w:val="18"/>
          <w:color w:val="auto"/>
        </w:rPr>
      </w:pPr>
    </w:p>
    <w:p>
      <w:pPr>
        <w:ind w:left="660" w:right="60" w:hanging="328"/>
        <w:spacing w:after="0" w:line="242" w:lineRule="auto"/>
        <w:tabs>
          <w:tab w:leader="none" w:pos="662" w:val="left"/>
        </w:tabs>
        <w:numPr>
          <w:ilvl w:val="0"/>
          <w:numId w:val="5"/>
        </w:numPr>
        <w:rPr>
          <w:rFonts w:ascii="Arial" w:cs="Arial" w:eastAsia="Arial" w:hAnsi="Arial"/>
          <w:sz w:val="20"/>
          <w:szCs w:val="20"/>
          <w:color w:val="auto"/>
        </w:rPr>
      </w:pPr>
      <w:r>
        <w:rPr>
          <w:rFonts w:ascii="Arial" w:cs="Arial" w:eastAsia="Arial" w:hAnsi="Arial"/>
          <w:sz w:val="18"/>
          <w:szCs w:val="18"/>
          <w:color w:val="auto"/>
        </w:rPr>
        <w:t>Net inventory increased 42% (34% on a constant currency basis), but was up 24% sequentially (up 31% on a constant currency basis). Inventory turnover remains strong at 3.3x down from 3.8x for the prior year quarter and increased substantially for the year to 3.7x from 2.8x.</w:t>
      </w:r>
    </w:p>
    <w:p>
      <w:pPr>
        <w:sectPr>
          <w:pgSz w:w="11900" w:h="16838" w:orient="portrait"/>
          <w:cols w:equalWidth="0" w:num="1">
            <w:col w:w="11220"/>
          </w:cols>
          <w:pgMar w:left="320" w:top="1111" w:right="359" w:bottom="1440" w:gutter="0" w:footer="0" w:header="0"/>
        </w:sectPr>
      </w:pPr>
    </w:p>
    <w:bookmarkStart w:id="5" w:name="page6"/>
    <w:bookmarkEnd w:id="5"/>
    <w:p>
      <w:pPr>
        <w:ind w:left="660" w:hanging="328"/>
        <w:spacing w:after="0" w:line="253"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fourth quarter, store expenses increased $7.1 million or 43% ($4.9 million or 30% on a constant currency basis) primarily due to growth in store count and the increase in incentive compensation, reflecting improved performance compared to fiscal 2020. Same-store expenses increased $2.4 million or 15% ($0.9 million or 5% on a constant currency basis). For the full year, when removing the fiscal 2020 incentive compensation reversal, store expenses on a same-store basis increased $1.7 million or 2% (down 1% on a constant currency basis).</w:t>
      </w:r>
    </w:p>
    <w:p>
      <w:pPr>
        <w:spacing w:after="0" w:line="151" w:lineRule="exact"/>
        <w:rPr>
          <w:rFonts w:ascii="Arial" w:cs="Arial" w:eastAsia="Arial" w:hAnsi="Arial"/>
          <w:sz w:val="18"/>
          <w:szCs w:val="18"/>
          <w:color w:val="auto"/>
        </w:rPr>
      </w:pPr>
    </w:p>
    <w:p>
      <w:pPr>
        <w:ind w:left="660" w:right="60" w:hanging="328"/>
        <w:spacing w:after="0" w:line="254"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for the fourth quarter was $6.1 million ($5.8 million on a constant currency basis), compared to a segment loss of $3.9 million in the prior year quarter. For the year, segment contribution was up by $44.0 million to $17.3 million (a $43.2 million increase to $16.7 million on a constant currency basis). On an adjusted basis, the increase in segment contribution for the fourth quarter was $7.0 million to $6.3 million and the increase for the year was $5.2 million to $17.6 million.</w:t>
      </w:r>
    </w:p>
    <w:p>
      <w:pPr>
        <w:spacing w:after="0" w:line="149" w:lineRule="exact"/>
        <w:rPr>
          <w:rFonts w:ascii="Arial" w:cs="Arial" w:eastAsia="Arial" w:hAnsi="Arial"/>
          <w:sz w:val="18"/>
          <w:szCs w:val="18"/>
          <w:color w:val="auto"/>
        </w:rPr>
      </w:pPr>
    </w:p>
    <w:p>
      <w:pPr>
        <w:ind w:left="660" w:right="54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store count increased by 5 de novo stores during the fourth quarter and increased by 132 stores for the year through acquisitions and de novo stores.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EZCORP’s Annual Report on Form 10-K for fiscal 2021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jc w:val="both"/>
        <w:ind w:right="380"/>
        <w:spacing w:after="0" w:line="219" w:lineRule="auto"/>
        <w:rPr>
          <w:sz w:val="20"/>
          <w:szCs w:val="20"/>
          <w:color w:val="auto"/>
        </w:rPr>
      </w:pPr>
      <w:r>
        <w:rPr>
          <w:rFonts w:ascii="Arial" w:cs="Arial" w:eastAsia="Arial" w:hAnsi="Arial"/>
          <w:sz w:val="18"/>
          <w:szCs w:val="18"/>
          <w:color w:val="auto"/>
        </w:rPr>
        <w:t>EZCORP will host a conference call on Thursday, November 18, 2021, at 7:00 am Central Time to discuss Fourth Quarter and Full Year Fiscal 2021 results. Analysts and institutional investors may participate on the conference call by dialing (833) 579-0921, Conference ID: 1962857, or internationally by dialing (778) 560-2579. The conference call will be webcast simultaneously to the public through this</w:t>
      </w:r>
    </w:p>
    <w:p>
      <w:pPr>
        <w:spacing w:after="0" w:line="235" w:lineRule="auto"/>
        <w:rPr>
          <w:sz w:val="20"/>
          <w:szCs w:val="20"/>
          <w:color w:val="auto"/>
        </w:rPr>
      </w:pPr>
      <w:r>
        <w:rPr>
          <w:rFonts w:ascii="Arial" w:cs="Arial" w:eastAsia="Arial" w:hAnsi="Arial"/>
          <w:sz w:val="18"/>
          <w:szCs w:val="18"/>
          <w:color w:val="auto"/>
        </w:rPr>
        <w:t xml:space="preserve">link: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shortly after the end of the call.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EZCORP Linked In https://www.linkedin.com/company/ezcorp/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20"/>
        <w:spacing w:after="0" w:line="216"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199"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”Same Store” basis, which is a non-GAAP measure, includes stores open the entirety of the comparable periods.</w:t>
      </w:r>
    </w:p>
    <w:p>
      <w:pPr>
        <w:ind w:right="300"/>
        <w:spacing w:after="0" w:line="255" w:lineRule="auto"/>
        <w:rPr>
          <w:sz w:val="20"/>
          <w:szCs w:val="20"/>
          <w:color w:val="auto"/>
        </w:rPr>
      </w:pPr>
      <w:r>
        <w:rPr>
          <w:rFonts w:ascii="Arial" w:cs="Arial" w:eastAsia="Arial" w:hAnsi="Arial"/>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20"/>
          </w:cols>
          <w:pgMar w:left="320" w:top="111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224"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04"/>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center"/>
              <w:ind w:left="499"/>
              <w:spacing w:after="0"/>
              <w:rPr>
                <w:sz w:val="20"/>
                <w:szCs w:val="20"/>
                <w:color w:val="auto"/>
              </w:rPr>
            </w:pPr>
            <w:r>
              <w:rPr>
                <w:rFonts w:ascii="Arial" w:cs="Arial" w:eastAsia="Arial" w:hAnsi="Arial"/>
                <w:sz w:val="16"/>
                <w:szCs w:val="16"/>
                <w:color w:val="auto"/>
              </w:rPr>
              <w:t>(Unaudited)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111,982</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105,118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442,798</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498,213</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7,518</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47,953</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72,840</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55,231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260,196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272,638</w:t>
            </w:r>
          </w:p>
        </w:tc>
      </w:tr>
      <w:tr>
        <w:trPr>
          <w:trHeight w:val="219"/>
        </w:trPr>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w:t>
            </w:r>
          </w:p>
        </w:tc>
      </w:tr>
      <w:tr>
        <w:trPr>
          <w:trHeight w:val="207"/>
        </w:trPr>
        <w:tc>
          <w:tcPr>
            <w:tcW w:w="52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192,444</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166,839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729,551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822,777</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66,346</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257,218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334,481</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6,772</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38,041</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r>
      <w:tr>
        <w:trPr>
          <w:trHeight w:val="207"/>
        </w:trPr>
        <w:tc>
          <w:tcPr>
            <w:tcW w:w="52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119,326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89,596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449,485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449,201</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88,576</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330,837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336,770</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15,625</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54,133</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Impairment of goodwill, intangible and other assets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54,666</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7,592</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30,827</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20,388</w:t>
            </w:r>
          </w:p>
        </w:tc>
      </w:tr>
      <w:tr>
        <w:trPr>
          <w:trHeight w:val="209"/>
        </w:trPr>
        <w:tc>
          <w:tcPr>
            <w:tcW w:w="52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111,518</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418,316</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497,585</w:t>
            </w:r>
          </w:p>
        </w:tc>
      </w:tr>
      <w:tr>
        <w:trPr>
          <w:trHeight w:val="209"/>
        </w:trPr>
        <w:tc>
          <w:tcPr>
            <w:tcW w:w="52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7,808</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31,169</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(48,384)</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5,635</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22,472</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(3,173)</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(1,394)</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2,429</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52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4,527</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16,062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(70,095)</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2,974</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r>
      <w:tr>
        <w:trPr>
          <w:trHeight w:val="22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1,553</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(68,463)</w:t>
            </w:r>
          </w:p>
        </w:tc>
      </w:tr>
      <w:tr>
        <w:trPr>
          <w:trHeight w:val="413"/>
        </w:trPr>
        <w:tc>
          <w:tcPr>
            <w:tcW w:w="522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432"/>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56,057</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55,744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55,313</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56,441</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55,949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55,313</w:t>
            </w:r>
          </w:p>
        </w:tc>
      </w:tr>
    </w:tbl>
    <w:p>
      <w:pPr>
        <w:sectPr>
          <w:pgSz w:w="11900" w:h="16838" w:orient="portrait"/>
          <w:cols w:equalWidth="0" w:num="1">
            <w:col w:w="11240"/>
          </w:cols>
          <w:pgMar w:left="320" w:top="117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407"/>
        </w:trPr>
        <w:tc>
          <w:tcPr>
            <w:tcW w:w="824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253,667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304,542</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9,957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175,901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131,323</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29,337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20,580</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110,989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95,891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Notes receivable,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31,010</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207"/>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610,861</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593,250</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37,724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32,458</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53,811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56,986</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Right-of-use asset,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200,990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183,809</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285,758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257,582</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62,104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58,638</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Notes receivable,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1,181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9,746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8,931</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4,736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4,221</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1,266,911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r>
        <w:trPr>
          <w:trHeight w:val="305"/>
        </w:trPr>
        <w:tc>
          <w:tcPr>
            <w:tcW w:w="824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90,268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71,504</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12,557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52,263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49,742</w:t>
            </w:r>
          </w:p>
        </w:tc>
      </w:tr>
      <w:tr>
        <w:trPr>
          <w:trHeight w:val="207"/>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155,088</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132,467</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264,186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251,016</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3,684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Lease liability</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161,330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153,040</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10,385</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r>
        <w:trPr>
          <w:trHeight w:val="207"/>
        </w:trPr>
        <w:tc>
          <w:tcPr>
            <w:tcW w:w="82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594,673</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547,896</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3"/>
        </w:trPr>
        <w:tc>
          <w:tcPr>
            <w:tcW w:w="8240" w:type="dxa"/>
            <w:vAlign w:val="bottom"/>
          </w:tcPr>
          <w:p>
            <w:pPr>
              <w:ind w:left="480"/>
              <w:spacing w:after="0"/>
              <w:rPr>
                <w:sz w:val="20"/>
                <w:szCs w:val="20"/>
                <w:color w:val="auto"/>
              </w:rPr>
            </w:pPr>
            <w:r>
              <w:rPr>
                <w:rFonts w:ascii="Arial" w:cs="Arial" w:eastAsia="Arial" w:hAnsi="Arial"/>
                <w:sz w:val="16"/>
                <w:szCs w:val="16"/>
                <w:color w:val="auto"/>
              </w:rPr>
              <w:t>Class A Non-Voting Common Stock, par value $0.01 per share; shares authorized: 100 million; 53,086,438</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8240" w:type="dxa"/>
            <w:vAlign w:val="bottom"/>
          </w:tcPr>
          <w:p>
            <w:pPr>
              <w:ind w:left="480"/>
              <w:spacing w:after="0" w:line="162" w:lineRule="exact"/>
              <w:rPr>
                <w:sz w:val="20"/>
                <w:szCs w:val="20"/>
                <w:color w:val="auto"/>
              </w:rPr>
            </w:pPr>
            <w:r>
              <w:rPr>
                <w:rFonts w:ascii="Arial" w:cs="Arial" w:eastAsia="Arial" w:hAnsi="Arial"/>
                <w:sz w:val="16"/>
                <w:szCs w:val="16"/>
                <w:color w:val="auto"/>
              </w:rPr>
              <w:t>issued and outstanding as of September 30, 2021; and issued and outstanding of 52,332,848 as of</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8240" w:type="dxa"/>
            <w:vAlign w:val="bottom"/>
          </w:tcPr>
          <w:p>
            <w:pPr>
              <w:ind w:left="480"/>
              <w:spacing w:after="0"/>
              <w:rPr>
                <w:sz w:val="20"/>
                <w:szCs w:val="20"/>
                <w:color w:val="auto"/>
              </w:rPr>
            </w:pPr>
            <w:r>
              <w:rPr>
                <w:rFonts w:ascii="Arial" w:cs="Arial" w:eastAsia="Arial" w:hAnsi="Arial"/>
                <w:sz w:val="16"/>
                <w:szCs w:val="16"/>
                <w:color w:val="auto"/>
              </w:rPr>
              <w:t>September 30, 2020</w:t>
            </w:r>
          </w:p>
        </w:tc>
        <w:tc>
          <w:tcPr>
            <w:tcW w:w="14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183"/>
        </w:trPr>
        <w:tc>
          <w:tcPr>
            <w:tcW w:w="8240" w:type="dxa"/>
            <w:vAlign w:val="bottom"/>
          </w:tcPr>
          <w:p>
            <w:pPr>
              <w:ind w:left="480"/>
              <w:spacing w:after="0"/>
              <w:rPr>
                <w:sz w:val="20"/>
                <w:szCs w:val="20"/>
                <w:color w:val="auto"/>
              </w:rPr>
            </w:pPr>
            <w:r>
              <w:rPr>
                <w:rFonts w:ascii="Arial" w:cs="Arial" w:eastAsia="Arial" w:hAnsi="Arial"/>
                <w:sz w:val="16"/>
                <w:szCs w:val="16"/>
                <w:color w:val="auto"/>
              </w:rPr>
              <w:t>Class B Voting Common Stock, convertible, par value $0.01 per share; shares authorized: 3 million; issued</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5"/>
        </w:trPr>
        <w:tc>
          <w:tcPr>
            <w:tcW w:w="8240" w:type="dxa"/>
            <w:vAlign w:val="bottom"/>
          </w:tcPr>
          <w:p>
            <w:pPr>
              <w:ind w:left="480"/>
              <w:spacing w:after="0"/>
              <w:rPr>
                <w:sz w:val="20"/>
                <w:szCs w:val="20"/>
                <w:color w:val="auto"/>
              </w:rPr>
            </w:pPr>
            <w:r>
              <w:rPr>
                <w:rFonts w:ascii="Arial" w:cs="Arial" w:eastAsia="Arial" w:hAnsi="Arial"/>
                <w:sz w:val="16"/>
                <w:szCs w:val="16"/>
                <w:color w:val="auto"/>
              </w:rPr>
              <w:t>and outstanding: 2,970,171 as of September 30, 2021 and 2020</w:t>
            </w:r>
          </w:p>
        </w:tc>
        <w:tc>
          <w:tcPr>
            <w:tcW w:w="14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403,312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398,475</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326,781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318,169</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r>
      <w:tr>
        <w:trPr>
          <w:trHeight w:val="210"/>
        </w:trPr>
        <w:tc>
          <w:tcPr>
            <w:tcW w:w="8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672,238</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649,127</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1,266,911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bl>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64"/>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2021</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2020</w:t>
            </w:r>
          </w:p>
        </w:tc>
      </w:tr>
      <w:tr>
        <w:trPr>
          <w:trHeight w:val="229"/>
        </w:trPr>
        <w:tc>
          <w:tcPr>
            <w:tcW w:w="826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Net income (loss)</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8,612</w:t>
            </w:r>
          </w:p>
        </w:tc>
        <w:tc>
          <w:tcPr>
            <w:tcW w:w="58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(68,463)</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30,672</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30,827</w:t>
            </w:r>
          </w:p>
        </w:tc>
      </w:tr>
      <w:tr>
        <w:trPr>
          <w:trHeight w:val="202"/>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debt discount and deferred financing costs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13,797</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13,200</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right-of-use asset</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48,480</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45,649</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Accretion of notes receivable discount and deferred compensation fee</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(821)</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3,283</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(8,393)</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Impairment of goodwill, intangibles and other assets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54,666</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Other adjustments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(185)</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1,652</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Provision for inventory reserve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(8,003)</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2,577</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Stock compensation expense</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3,946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(5,094)</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Equity in net (income) loss from investment in unconsolidated affiliates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(3,803)</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2,429</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 net of business acquisitions: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Service charges and fees receivable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(7,332)</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11,021</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Inventory</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371</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14,466</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Prepaid expenses, other current assets and other assets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7,373</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(875)</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Accounts payable, accrued expenses and other liabilities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(54,209)</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(37,401)</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Customer layaway deposits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1,256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(1,647)</w:t>
            </w:r>
          </w:p>
        </w:tc>
      </w:tr>
      <w:tr>
        <w:trPr>
          <w:trHeight w:val="207"/>
        </w:trPr>
        <w:tc>
          <w:tcPr>
            <w:tcW w:w="82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Income taxes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2,180</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(4,715)</w:t>
            </w:r>
          </w:p>
        </w:tc>
      </w:tr>
      <w:tr>
        <w:trPr>
          <w:trHeight w:val="192"/>
        </w:trPr>
        <w:tc>
          <w:tcPr>
            <w:tcW w:w="8260" w:type="dxa"/>
            <w:vAlign w:val="bottom"/>
          </w:tcPr>
          <w:p>
            <w:pPr>
              <w:ind w:left="80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46,438</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49,078</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made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(601,638)</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(568,368)</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repaid</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351,092</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394,469</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Recovery of pawn loan principal through sale of forfeited collateral</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208,551</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304,323</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Capital expenditures, net</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(23,601)</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(28,526)</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(19,015)</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Principal collections on notes receivable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8,000</w:t>
            </w:r>
          </w:p>
        </w:tc>
      </w:tr>
      <w:tr>
        <w:trPr>
          <w:trHeight w:val="192"/>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provided by investing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(84,611)</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109,898</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Taxes paid related to net share settlement of equity awards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(839)</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(1,459)</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Payout of deferred consideration</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(350)</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Proceeds from borrowings, net of issuance costs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912</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Payments on assumed debt and other borrowings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(15,414)</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6"/>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Repurchase of common stock</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(5,158)</w:t>
            </w:r>
          </w:p>
        </w:tc>
      </w:tr>
      <w:tr>
        <w:trPr>
          <w:trHeight w:val="192"/>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(16,253)</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(6,253)</w:t>
            </w:r>
          </w:p>
        </w:tc>
      </w:tr>
      <w:tr>
        <w:trPr>
          <w:trHeight w:val="20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 and 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5,497</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(2,612)</w:t>
            </w:r>
          </w:p>
        </w:tc>
      </w:tr>
      <w:tr>
        <w:trPr>
          <w:trHeight w:val="192"/>
        </w:trPr>
        <w:tc>
          <w:tcPr>
            <w:tcW w:w="8260" w:type="dxa"/>
            <w:vAlign w:val="bottom"/>
          </w:tcPr>
          <w:p>
            <w:pPr>
              <w:ind w:left="20"/>
              <w:spacing w:after="0"/>
              <w:rPr>
                <w:sz w:val="20"/>
                <w:szCs w:val="20"/>
                <w:color w:val="auto"/>
              </w:rPr>
            </w:pPr>
            <w:r>
              <w:rPr>
                <w:rFonts w:ascii="Arial" w:cs="Arial" w:eastAsia="Arial" w:hAnsi="Arial"/>
                <w:sz w:val="15"/>
                <w:szCs w:val="15"/>
                <w:color w:val="auto"/>
              </w:rPr>
              <w:t>Net (decrease) increase in cash and cash equivalents and restricted cash</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(48,929)</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150,111</w:t>
            </w:r>
          </w:p>
        </w:tc>
      </w:tr>
      <w:tr>
        <w:trPr>
          <w:trHeight w:val="20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and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312,553</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162,442</w:t>
            </w:r>
          </w:p>
        </w:tc>
      </w:tr>
      <w:tr>
        <w:trPr>
          <w:trHeight w:val="20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and cash equivalents and restricted cash at end of period</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263,624</w:t>
            </w:r>
          </w:p>
        </w:tc>
        <w:tc>
          <w:tcPr>
            <w:tcW w:w="5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312,553</w:t>
            </w:r>
          </w:p>
        </w:tc>
      </w:tr>
      <w:tr>
        <w:trPr>
          <w:trHeight w:val="235"/>
        </w:trPr>
        <w:tc>
          <w:tcPr>
            <w:tcW w:w="8260" w:type="dxa"/>
            <w:vAlign w:val="bottom"/>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253,667</w:t>
            </w:r>
          </w:p>
        </w:tc>
        <w:tc>
          <w:tcPr>
            <w:tcW w:w="58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304,542</w:t>
            </w:r>
          </w:p>
        </w:tc>
      </w:tr>
      <w:tr>
        <w:trPr>
          <w:trHeight w:val="207"/>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9,957</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8,011</w:t>
            </w:r>
          </w:p>
        </w:tc>
      </w:tr>
      <w:tr>
        <w:trPr>
          <w:trHeight w:val="207"/>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Total cash and cash equivalents and restricted cash</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263,624</w:t>
            </w:r>
          </w:p>
        </w:tc>
        <w:tc>
          <w:tcPr>
            <w:tcW w:w="5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312,553</w:t>
            </w:r>
          </w:p>
        </w:tc>
      </w:tr>
      <w:tr>
        <w:trPr>
          <w:trHeight w:val="235"/>
        </w:trPr>
        <w:tc>
          <w:tcPr>
            <w:tcW w:w="8260" w:type="dxa"/>
            <w:vAlign w:val="bottom"/>
          </w:tcPr>
          <w:p>
            <w:pPr>
              <w:ind w:left="140"/>
              <w:spacing w:after="0"/>
              <w:rPr>
                <w:sz w:val="20"/>
                <w:szCs w:val="20"/>
                <w:color w:val="auto"/>
              </w:rPr>
            </w:pPr>
            <w:r>
              <w:rPr>
                <w:rFonts w:ascii="Arial" w:cs="Arial" w:eastAsia="Arial" w:hAnsi="Arial"/>
                <w:sz w:val="15"/>
                <w:szCs w:val="15"/>
                <w:color w:val="auto"/>
              </w:rPr>
              <w:t>Cash paid during the period for interest</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8,230</w:t>
            </w:r>
          </w:p>
        </w:tc>
        <w:tc>
          <w:tcPr>
            <w:tcW w:w="58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8,489</w:t>
            </w: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Cash paid during the period for income taxes, net</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3,696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9,753</w:t>
            </w:r>
          </w:p>
        </w:tc>
      </w:tr>
      <w:tr>
        <w:trPr>
          <w:trHeight w:val="256"/>
        </w:trPr>
        <w:tc>
          <w:tcPr>
            <w:tcW w:w="826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Pawn loans forfeited and transferred to inventory</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212,756</w:t>
            </w:r>
          </w:p>
        </w:tc>
        <w:tc>
          <w:tcPr>
            <w:tcW w:w="58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241,252</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Transfer of consideration for current period acquisition</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1,545</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Acquisition earn-out contingency</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4,608</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60" w:type="dxa"/>
            <w:vAlign w:val="bottom"/>
          </w:tcPr>
          <w:p>
            <w:pPr>
              <w:ind w:left="220"/>
              <w:spacing w:after="0"/>
              <w:rPr>
                <w:sz w:val="20"/>
                <w:szCs w:val="20"/>
                <w:color w:val="auto"/>
              </w:rPr>
            </w:pPr>
            <w:r>
              <w:rPr>
                <w:rFonts w:ascii="Arial" w:cs="Arial" w:eastAsia="Arial" w:hAnsi="Arial"/>
                <w:sz w:val="15"/>
                <w:szCs w:val="15"/>
                <w:color w:val="auto"/>
              </w:rPr>
              <w:t>Accrued acquisition consideration held as restricted cash</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1,986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bl>
    <w:p>
      <w:pPr>
        <w:sectPr>
          <w:pgSz w:w="11900" w:h="16838" w:orient="portrait"/>
          <w:cols w:equalWidth="0" w:num="1">
            <w:col w:w="11240"/>
          </w:cols>
          <w:pgMar w:left="320" w:top="125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9"/>
          </w:tcPr>
          <w:p>
            <w:pPr>
              <w:ind w:left="1100"/>
              <w:spacing w:after="0"/>
              <w:rPr>
                <w:sz w:val="20"/>
                <w:szCs w:val="20"/>
                <w:color w:val="auto"/>
              </w:rPr>
            </w:pPr>
            <w:r>
              <w:rPr>
                <w:rFonts w:ascii="Arial" w:cs="Arial" w:eastAsia="Arial" w:hAnsi="Arial"/>
                <w:sz w:val="16"/>
                <w:szCs w:val="16"/>
                <w:b w:val="1"/>
                <w:bCs w:val="1"/>
                <w:color w:val="auto"/>
              </w:rPr>
              <w:t>Three Months Ended September 30, 2021</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80,950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31,032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111,982</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111,982</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7,518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72,840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72,840</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6"/>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139,624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52,738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192,444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192,444</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66,346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66,346</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88,636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119,326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119,326</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88,576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88,576</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15,625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Gain on sale or disposal of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9"/>
          </w:tcPr>
          <w:p>
            <w:pPr>
              <w:ind w:left="1080"/>
              <w:spacing w:after="0"/>
              <w:rPr>
                <w:sz w:val="20"/>
                <w:szCs w:val="20"/>
                <w:color w:val="auto"/>
              </w:rPr>
            </w:pPr>
            <w:r>
              <w:rPr>
                <w:rFonts w:ascii="Arial" w:cs="Arial" w:eastAsia="Arial" w:hAnsi="Arial"/>
                <w:sz w:val="16"/>
                <w:szCs w:val="16"/>
                <w:b w:val="1"/>
                <w:bCs w:val="1"/>
                <w:color w:val="auto"/>
              </w:rPr>
              <w:t>Three Months Ended September 30, 2020</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86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77,862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27,256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105,118</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105,118</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6,244</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55,231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55,231</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7"/>
        </w:trPr>
        <w:tc>
          <w:tcPr>
            <w:tcW w:w="28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124,913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166,839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166,839</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72,770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72,770</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4,512</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286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89,596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89,596</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59,687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77,506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77,506</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3,778</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Impairment of goodwill, intangible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and other assets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7,653</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Loss (gain) on sale or disposal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20,388</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5,883</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0"/>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(30,879)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Twelve Months Ended September 30, 2021</w:t>
            </w: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22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International</w:t>
            </w:r>
          </w:p>
        </w:tc>
        <w:tc>
          <w:tcPr>
            <w:tcW w:w="13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341,495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101,303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442,798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442,798</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26,025</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196,721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260,196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260,196</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07"/>
        </w:trPr>
        <w:tc>
          <w:tcPr>
            <w:tcW w:w="288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553,581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729,551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729,551</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257,218</w:t>
            </w:r>
          </w:p>
        </w:tc>
        <w:tc>
          <w:tcPr>
            <w:tcW w:w="0" w:type="dxa"/>
            <w:vAlign w:val="bottom"/>
          </w:tcPr>
          <w:p>
            <w:pPr>
              <w:spacing w:after="0"/>
              <w:rPr>
                <w:sz w:val="1"/>
                <w:szCs w:val="1"/>
                <w:color w:val="auto"/>
              </w:rPr>
            </w:pPr>
          </w:p>
        </w:tc>
      </w:tr>
      <w:tr>
        <w:trPr>
          <w:trHeight w:val="183"/>
        </w:trPr>
        <w:tc>
          <w:tcPr>
            <w:tcW w:w="2880" w:type="dxa"/>
            <w:vAlign w:val="bottom"/>
          </w:tcPr>
          <w:p>
            <w:pPr>
              <w:ind w:left="220"/>
              <w:spacing w:after="0"/>
              <w:rPr>
                <w:sz w:val="20"/>
                <w:szCs w:val="20"/>
                <w:color w:val="auto"/>
              </w:rPr>
            </w:pPr>
            <w:r>
              <w:rPr>
                <w:rFonts w:ascii="Arial" w:cs="Arial" w:eastAsia="Arial" w:hAnsi="Arial"/>
                <w:sz w:val="16"/>
                <w:szCs w:val="16"/>
                <w:color w:val="auto"/>
              </w:rPr>
              <w:t>Jewelry scrapping cost of goods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sold</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9,847</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0" w:type="dxa"/>
            <w:vAlign w:val="bottom"/>
          </w:tcPr>
          <w:p>
            <w:pPr>
              <w:spacing w:after="0"/>
              <w:rPr>
                <w:sz w:val="1"/>
                <w:szCs w:val="1"/>
                <w:color w:val="auto"/>
              </w:rPr>
            </w:pPr>
          </w:p>
        </w:tc>
      </w:tr>
      <w:tr>
        <w:trPr>
          <w:trHeight w:val="207"/>
        </w:trPr>
        <w:tc>
          <w:tcPr>
            <w:tcW w:w="288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349,541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99,524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449,485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449,485</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330,837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330,837</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56,495</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30,672</w:t>
            </w:r>
          </w:p>
        </w:tc>
        <w:tc>
          <w:tcPr>
            <w:tcW w:w="0" w:type="dxa"/>
            <w:vAlign w:val="bottom"/>
          </w:tcPr>
          <w:p>
            <w:pPr>
              <w:spacing w:after="0"/>
              <w:rPr>
                <w:sz w:val="1"/>
                <w:szCs w:val="1"/>
                <w:color w:val="auto"/>
              </w:rPr>
            </w:pPr>
          </w:p>
        </w:tc>
      </w:tr>
      <w:tr>
        <w:trPr>
          <w:trHeight w:val="183"/>
        </w:trPr>
        <w:tc>
          <w:tcPr>
            <w:tcW w:w="2880" w:type="dxa"/>
            <w:vAlign w:val="bottom"/>
          </w:tcPr>
          <w:p>
            <w:pPr>
              <w:ind w:left="220"/>
              <w:spacing w:after="0"/>
              <w:rPr>
                <w:sz w:val="20"/>
                <w:szCs w:val="20"/>
                <w:color w:val="auto"/>
              </w:rPr>
            </w:pPr>
            <w:r>
              <w:rPr>
                <w:rFonts w:ascii="Arial" w:cs="Arial" w:eastAsia="Arial" w:hAnsi="Arial"/>
                <w:sz w:val="16"/>
                <w:szCs w:val="16"/>
                <w:color w:val="auto"/>
              </w:rPr>
              <w:t>Loss (gain) on sale or disposal of</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22,177</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183"/>
        </w:trPr>
        <w:tc>
          <w:tcPr>
            <w:tcW w:w="288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(91,147)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16,062</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28" w:right="6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Twelve Months Ended September 30, 2020</w:t>
            </w: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24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3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391,921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106,292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498,213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498,213</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47,953</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210,081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272,638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272,638</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638,843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180,111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822,777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822,777</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251,544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334,481</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38,041</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359,235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87,096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449,201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449,201</w:t>
            </w:r>
          </w:p>
        </w:tc>
        <w:tc>
          <w:tcPr>
            <w:tcW w:w="0" w:type="dxa"/>
            <w:vAlign w:val="bottom"/>
          </w:tcPr>
          <w:p>
            <w:pPr>
              <w:spacing w:after="0"/>
              <w:rPr>
                <w:sz w:val="1"/>
                <w:szCs w:val="1"/>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261,608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336,770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54,133</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Impairment of goodwill, intangible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and other assets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54,666</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30,827</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Loss (gain) on sale or disposal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20,388</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22,472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Equity in net loss of unconsolidated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73,106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(106,183)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(70,095)</w:t>
            </w:r>
          </w:p>
        </w:tc>
        <w:tc>
          <w:tcPr>
            <w:tcW w:w="0" w:type="dxa"/>
            <w:vAlign w:val="bottom"/>
          </w:tcPr>
          <w:p>
            <w:pPr>
              <w:spacing w:after="0"/>
              <w:rPr>
                <w:sz w:val="1"/>
                <w:szCs w:val="1"/>
                <w:color w:val="auto"/>
              </w:rPr>
            </w:pPr>
          </w:p>
        </w:tc>
      </w:tr>
    </w:tbl>
    <w:p>
      <w:pPr>
        <w:sectPr>
          <w:pgSz w:w="11900" w:h="16838" w:orient="portrait"/>
          <w:cols w:equalWidth="0" w:num="1">
            <w:col w:w="10920"/>
          </w:cols>
          <w:pgMar w:left="320" w:top="1026" w:right="65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4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September 30, 2021</w:t>
            </w:r>
          </w:p>
        </w:tc>
        <w:tc>
          <w:tcPr>
            <w:tcW w:w="0" w:type="dxa"/>
            <w:vAlign w:val="bottom"/>
          </w:tcPr>
          <w:p>
            <w:pPr>
              <w:spacing w:after="0"/>
              <w:rPr>
                <w:sz w:val="1"/>
                <w:szCs w:val="1"/>
                <w:color w:val="auto"/>
              </w:rPr>
            </w:pPr>
          </w:p>
        </w:tc>
      </w:tr>
      <w:tr>
        <w:trPr>
          <w:trHeight w:val="158"/>
        </w:trPr>
        <w:tc>
          <w:tcPr>
            <w:tcW w:w="706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60" w:type="dxa"/>
            <w:vAlign w:val="bottom"/>
          </w:tcPr>
          <w:p>
            <w:pPr>
              <w:ind w:left="20"/>
              <w:spacing w:after="0"/>
              <w:rPr>
                <w:sz w:val="20"/>
                <w:szCs w:val="20"/>
                <w:color w:val="auto"/>
              </w:rPr>
            </w:pPr>
            <w:r>
              <w:rPr>
                <w:rFonts w:ascii="Arial" w:cs="Arial" w:eastAsia="Arial" w:hAnsi="Arial"/>
                <w:sz w:val="16"/>
                <w:szCs w:val="16"/>
                <w:color w:val="auto"/>
              </w:rPr>
              <w:t>As of June 30, 2021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19"/>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40" w:type="dxa"/>
            <w:vAlign w:val="bottom"/>
          </w:tcPr>
          <w:p>
            <w:pPr>
              <w:spacing w:after="0"/>
              <w:rPr>
                <w:sz w:val="18"/>
                <w:szCs w:val="18"/>
                <w:color w:val="auto"/>
              </w:rPr>
            </w:pPr>
          </w:p>
        </w:tc>
        <w:tc>
          <w:tcPr>
            <w:tcW w:w="4400" w:type="dxa"/>
            <w:vAlign w:val="bottom"/>
            <w:tcBorders>
              <w:bottom w:val="single" w:sz="8" w:color="auto"/>
            </w:tcBorders>
            <w:gridSpan w:val="7"/>
          </w:tcPr>
          <w:p>
            <w:pPr>
              <w:ind w:left="1220"/>
              <w:spacing w:after="0"/>
              <w:rPr>
                <w:sz w:val="20"/>
                <w:szCs w:val="20"/>
                <w:color w:val="auto"/>
              </w:rPr>
            </w:pPr>
            <w:r>
              <w:rPr>
                <w:rFonts w:ascii="Arial" w:cs="Arial" w:eastAsia="Arial" w:hAnsi="Arial"/>
                <w:sz w:val="16"/>
                <w:szCs w:val="16"/>
                <w:b w:val="1"/>
                <w:bCs w:val="1"/>
                <w:color w:val="auto"/>
              </w:rPr>
              <w:t>Three Months Ended September 30, 2020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560" w:type="dxa"/>
            <w:vAlign w:val="bottom"/>
            <w:gridSpan w:val="3"/>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Pawn</w:t>
            </w:r>
          </w:p>
        </w:tc>
        <w:tc>
          <w:tcPr>
            <w:tcW w:w="15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40" w:type="dxa"/>
            <w:vAlign w:val="bottom"/>
          </w:tcPr>
          <w:p>
            <w:pPr>
              <w:ind w:left="20"/>
              <w:spacing w:after="0"/>
              <w:rPr>
                <w:sz w:val="20"/>
                <w:szCs w:val="20"/>
                <w:color w:val="auto"/>
              </w:rPr>
            </w:pPr>
            <w:r>
              <w:rPr>
                <w:rFonts w:ascii="Arial" w:cs="Arial" w:eastAsia="Arial" w:hAnsi="Arial"/>
                <w:sz w:val="16"/>
                <w:szCs w:val="16"/>
                <w:color w:val="auto"/>
              </w:rPr>
              <w:t>As of June 30, 2020</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5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4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Twelve Months Ended September 30, 2021</w:t>
            </w:r>
          </w:p>
        </w:tc>
        <w:tc>
          <w:tcPr>
            <w:tcW w:w="0" w:type="dxa"/>
            <w:vAlign w:val="bottom"/>
          </w:tcPr>
          <w:p>
            <w:pPr>
              <w:spacing w:after="0"/>
              <w:rPr>
                <w:sz w:val="1"/>
                <w:szCs w:val="1"/>
                <w:color w:val="auto"/>
              </w:rPr>
            </w:pPr>
          </w:p>
        </w:tc>
      </w:tr>
      <w:tr>
        <w:trPr>
          <w:trHeight w:val="158"/>
        </w:trPr>
        <w:tc>
          <w:tcPr>
            <w:tcW w:w="706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60" w:type="dxa"/>
            <w:vAlign w:val="bottom"/>
          </w:tcPr>
          <w:p>
            <w:pPr>
              <w:ind w:left="20"/>
              <w:spacing w:after="0"/>
              <w:rPr>
                <w:sz w:val="20"/>
                <w:szCs w:val="20"/>
                <w:color w:val="auto"/>
              </w:rPr>
            </w:pPr>
            <w:r>
              <w:rPr>
                <w:rFonts w:ascii="Arial" w:cs="Arial" w:eastAsia="Arial" w:hAnsi="Arial"/>
                <w:sz w:val="16"/>
                <w:szCs w:val="16"/>
                <w:color w:val="auto"/>
              </w:rPr>
              <w:t>As of September 30,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40" w:type="dxa"/>
            <w:vAlign w:val="bottom"/>
          </w:tcPr>
          <w:p>
            <w:pPr>
              <w:spacing w:after="0"/>
              <w:rPr>
                <w:sz w:val="18"/>
                <w:szCs w:val="18"/>
                <w:color w:val="auto"/>
              </w:rPr>
            </w:pPr>
          </w:p>
        </w:tc>
        <w:tc>
          <w:tcPr>
            <w:tcW w:w="4420" w:type="dxa"/>
            <w:vAlign w:val="bottom"/>
            <w:tcBorders>
              <w:bottom w:val="single" w:sz="8" w:color="auto"/>
            </w:tcBorders>
            <w:gridSpan w:val="7"/>
          </w:tcPr>
          <w:p>
            <w:pPr>
              <w:ind w:left="1180"/>
              <w:spacing w:after="0"/>
              <w:rPr>
                <w:sz w:val="20"/>
                <w:szCs w:val="20"/>
                <w:color w:val="auto"/>
              </w:rPr>
            </w:pPr>
            <w:r>
              <w:rPr>
                <w:rFonts w:ascii="Arial" w:cs="Arial" w:eastAsia="Arial" w:hAnsi="Arial"/>
                <w:sz w:val="16"/>
                <w:szCs w:val="16"/>
                <w:b w:val="1"/>
                <w:bCs w:val="1"/>
                <w:color w:val="auto"/>
              </w:rPr>
              <w:t>Twelve Months Ended September 30, 2020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58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Pawn</w:t>
            </w:r>
          </w:p>
        </w:tc>
        <w:tc>
          <w:tcPr>
            <w:tcW w:w="15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International</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40" w:type="dxa"/>
            <w:vAlign w:val="bottom"/>
          </w:tcPr>
          <w:p>
            <w:pPr>
              <w:ind w:left="20"/>
              <w:spacing w:after="0"/>
              <w:rPr>
                <w:sz w:val="20"/>
                <w:szCs w:val="20"/>
                <w:color w:val="auto"/>
              </w:rPr>
            </w:pPr>
            <w:r>
              <w:rPr>
                <w:rFonts w:ascii="Arial" w:cs="Arial" w:eastAsia="Arial" w:hAnsi="Arial"/>
                <w:sz w:val="16"/>
                <w:szCs w:val="16"/>
                <w:color w:val="auto"/>
              </w:rPr>
              <w:t>As of September 30, 2019</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5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2021 and 2020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0" w:type="dxa"/>
            <w:vAlign w:val="bottom"/>
            <w:gridSpan w:val="4"/>
            <w:vMerge w:val="restart"/>
          </w:tcPr>
          <w:p>
            <w:pPr>
              <w:ind w:left="600"/>
              <w:spacing w:after="0"/>
              <w:rPr>
                <w:sz w:val="20"/>
                <w:szCs w:val="20"/>
                <w:color w:val="auto"/>
              </w:rPr>
            </w:pPr>
            <w:r>
              <w:rPr>
                <w:rFonts w:ascii="Arial" w:cs="Arial" w:eastAsia="Arial" w:hAnsi="Arial"/>
                <w:sz w:val="16"/>
                <w:szCs w:val="16"/>
                <w:b w:val="1"/>
                <w:bCs w:val="1"/>
                <w:color w:val="auto"/>
              </w:rPr>
              <w:t>September 30,</w:t>
            </w: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2400" w:type="dxa"/>
            <w:vAlign w:val="bottom"/>
            <w:gridSpan w:val="4"/>
            <w:vMerge w:val="continue"/>
          </w:tcPr>
          <w:p>
            <w:pPr>
              <w:spacing w:after="0"/>
              <w:rPr>
                <w:sz w:val="18"/>
                <w:szCs w:val="18"/>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23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Peruvian sol</w:t>
            </w: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246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45"/>
        </w:trPr>
        <w:tc>
          <w:tcPr>
            <w:tcW w:w="5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r>
      <w:tr>
        <w:trPr>
          <w:trHeight w:val="209"/>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bl>
    <w:p>
      <w:pPr>
        <w:sectPr>
          <w:pgSz w:w="11900" w:h="16838" w:orient="portrait"/>
          <w:cols w:equalWidth="0" w:num="1">
            <w:col w:w="11240"/>
          </w:cols>
          <w:pgMar w:left="320" w:top="108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16"/>
                <w:szCs w:val="16"/>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Before 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(Loss)</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0" w:type="dxa"/>
            <w:vAlign w:val="bottom"/>
          </w:tcPr>
          <w:p>
            <w:pPr>
              <w:ind w:left="20"/>
              <w:spacing w:after="0"/>
              <w:rPr>
                <w:sz w:val="20"/>
                <w:szCs w:val="20"/>
                <w:color w:val="auto"/>
              </w:rPr>
            </w:pPr>
            <w:r>
              <w:rPr>
                <w:rFonts w:ascii="Arial" w:cs="Arial" w:eastAsia="Arial" w:hAnsi="Arial"/>
                <w:sz w:val="16"/>
                <w:szCs w:val="16"/>
                <w:color w:val="auto"/>
              </w:rPr>
              <w:t>2021</w:t>
            </w:r>
          </w:p>
        </w:tc>
        <w:tc>
          <w:tcPr>
            <w:tcW w:w="2480" w:type="dxa"/>
            <w:vAlign w:val="bottom"/>
          </w:tcPr>
          <w:p>
            <w:pPr>
              <w:ind w:left="40"/>
              <w:spacing w:after="0"/>
              <w:rPr>
                <w:sz w:val="20"/>
                <w:szCs w:val="20"/>
                <w:color w:val="auto"/>
              </w:rPr>
            </w:pPr>
            <w:r>
              <w:rPr>
                <w:rFonts w:ascii="Arial" w:cs="Arial" w:eastAsia="Arial" w:hAnsi="Arial"/>
                <w:sz w:val="16"/>
                <w:szCs w:val="16"/>
                <w:color w:val="auto"/>
              </w:rPr>
              <w:t>Q4 Reported</w:t>
            </w: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2"/>
                <w:szCs w:val="22"/>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Acquisition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Peru reserve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Non cash net interest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Constant currency impact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Q4 Adjusted</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547"/>
        </w:trPr>
        <w:tc>
          <w:tcPr>
            <w:tcW w:w="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24"/>
                <w:szCs w:val="2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24"/>
                <w:szCs w:val="2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24"/>
                <w:szCs w:val="24"/>
                <w:color w:val="auto"/>
              </w:rPr>
            </w:pPr>
          </w:p>
        </w:tc>
        <w:tc>
          <w:tcPr>
            <w:tcW w:w="8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Before 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(Loss)</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0" w:type="dxa"/>
            <w:vAlign w:val="bottom"/>
          </w:tcPr>
          <w:p>
            <w:pPr>
              <w:ind w:left="20"/>
              <w:spacing w:after="0"/>
              <w:rPr>
                <w:sz w:val="20"/>
                <w:szCs w:val="20"/>
                <w:color w:val="auto"/>
              </w:rPr>
            </w:pPr>
            <w:r>
              <w:rPr>
                <w:rFonts w:ascii="Arial" w:cs="Arial" w:eastAsia="Arial" w:hAnsi="Arial"/>
                <w:sz w:val="16"/>
                <w:szCs w:val="16"/>
                <w:color w:val="auto"/>
              </w:rPr>
              <w:t>2021</w:t>
            </w:r>
          </w:p>
        </w:tc>
        <w:tc>
          <w:tcPr>
            <w:tcW w:w="2480" w:type="dxa"/>
            <w:vAlign w:val="bottom"/>
          </w:tcPr>
          <w:p>
            <w:pPr>
              <w:ind w:left="40"/>
              <w:spacing w:after="0"/>
              <w:rPr>
                <w:sz w:val="20"/>
                <w:szCs w:val="20"/>
                <w:color w:val="auto"/>
              </w:rPr>
            </w:pPr>
            <w:r>
              <w:rPr>
                <w:rFonts w:ascii="Arial" w:cs="Arial" w:eastAsia="Arial" w:hAnsi="Arial"/>
                <w:sz w:val="16"/>
                <w:szCs w:val="16"/>
                <w:color w:val="auto"/>
              </w:rPr>
              <w:t>Full Year Reported</w:t>
            </w: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100" w:type="dxa"/>
            <w:vAlign w:val="bottom"/>
          </w:tcPr>
          <w:p>
            <w:pPr>
              <w:spacing w:after="0"/>
              <w:rPr>
                <w:sz w:val="22"/>
                <w:szCs w:val="22"/>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Acquisition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Peru reserve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FY20 Contract write-off over-accrual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Non cash net interest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Constant currency impact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Full Year Adjusted</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547"/>
        </w:trPr>
        <w:tc>
          <w:tcPr>
            <w:tcW w:w="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(Loss) Income</w:t>
            </w:r>
          </w:p>
        </w:tc>
        <w:tc>
          <w:tcPr>
            <w:tcW w:w="12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Tax Effect</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Net (Loss)</w:t>
            </w: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Before Tax</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9"/>
              </w:rPr>
              <w:t>Income</w:t>
            </w:r>
          </w:p>
        </w:tc>
        <w:tc>
          <w:tcPr>
            <w:tcW w:w="10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0" w:type="dxa"/>
            <w:vAlign w:val="bottom"/>
          </w:tcPr>
          <w:p>
            <w:pPr>
              <w:ind w:left="20"/>
              <w:spacing w:after="0"/>
              <w:rPr>
                <w:sz w:val="20"/>
                <w:szCs w:val="20"/>
                <w:color w:val="auto"/>
              </w:rPr>
            </w:pPr>
            <w:r>
              <w:rPr>
                <w:rFonts w:ascii="Arial" w:cs="Arial" w:eastAsia="Arial" w:hAnsi="Arial"/>
                <w:sz w:val="16"/>
                <w:szCs w:val="16"/>
                <w:color w:val="auto"/>
              </w:rPr>
              <w:t>2020</w:t>
            </w:r>
          </w:p>
        </w:tc>
        <w:tc>
          <w:tcPr>
            <w:tcW w:w="2480" w:type="dxa"/>
            <w:vAlign w:val="bottom"/>
          </w:tcPr>
          <w:p>
            <w:pPr>
              <w:ind w:left="40"/>
              <w:spacing w:after="0"/>
              <w:rPr>
                <w:sz w:val="20"/>
                <w:szCs w:val="20"/>
                <w:color w:val="auto"/>
              </w:rPr>
            </w:pPr>
            <w:r>
              <w:rPr>
                <w:rFonts w:ascii="Arial" w:cs="Arial" w:eastAsia="Arial" w:hAnsi="Arial"/>
                <w:sz w:val="16"/>
                <w:szCs w:val="16"/>
                <w:color w:val="auto"/>
              </w:rPr>
              <w:t>Q4 Reported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Other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Impairment of intangible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Non cash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adjustments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Q4 Adjusted</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ectPr>
          <w:pgSz w:w="11900" w:h="16838" w:orient="portrait"/>
          <w:cols w:equalWidth="0" w:num="1">
            <w:col w:w="11040"/>
          </w:cols>
          <w:pgMar w:left="320" w:top="1049" w:right="5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(Loss) Income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Net (Loss)</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Before 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Income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940" w:type="dxa"/>
            <w:vAlign w:val="bottom"/>
          </w:tcPr>
          <w:p>
            <w:pPr>
              <w:ind w:left="20"/>
              <w:spacing w:after="0"/>
              <w:rPr>
                <w:sz w:val="20"/>
                <w:szCs w:val="20"/>
                <w:color w:val="auto"/>
              </w:rPr>
            </w:pPr>
            <w:r>
              <w:rPr>
                <w:rFonts w:ascii="Arial" w:cs="Arial" w:eastAsia="Arial" w:hAnsi="Arial"/>
                <w:sz w:val="16"/>
                <w:szCs w:val="16"/>
                <w:color w:val="auto"/>
              </w:rPr>
              <w:t>2020 Full Year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6"/>
                <w:szCs w:val="16"/>
                <w:color w:val="auto"/>
              </w:rPr>
              <w:t>Other Charges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6"/>
                <w:szCs w:val="16"/>
                <w:color w:val="auto"/>
              </w:rPr>
              <w:t>Impairment of intangible assets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6"/>
                <w:szCs w:val="16"/>
                <w:color w:val="auto"/>
              </w:rPr>
              <w:t>ROU asset impairment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6"/>
                <w:szCs w:val="16"/>
                <w:color w:val="auto"/>
              </w:rPr>
              <w:t>COVID-19 related expenses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6"/>
                <w:szCs w:val="16"/>
                <w:color w:val="auto"/>
              </w:rPr>
              <w:t>Shrink/robbery/property loss (US stores)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6"/>
                <w:szCs w:val="16"/>
                <w:color w:val="auto"/>
              </w:rPr>
              <w:t>Mexico VAT adjustment costs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6"/>
                <w:szCs w:val="16"/>
                <w:color w:val="auto"/>
              </w:rPr>
              <w:t>CCV adjustments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6"/>
                <w:szCs w:val="16"/>
                <w:color w:val="auto"/>
              </w:rPr>
              <w:t>IT Project write-offs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6"/>
                <w:szCs w:val="16"/>
                <w:color w:val="auto"/>
              </w:rPr>
              <w:t>Non cash interest expense</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adjustments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2020 Full Year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18"/>
                <w:szCs w:val="18"/>
                <w:color w:val="auto"/>
              </w:rPr>
            </w:pPr>
          </w:p>
        </w:tc>
        <w:tc>
          <w:tcPr>
            <w:tcW w:w="23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156"/>
        </w:trPr>
        <w:tc>
          <w:tcPr>
            <w:tcW w:w="5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20"/>
              <w:spacing w:after="0" w:line="156"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rPr>
              <w:t>Percentage</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56"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5"/>
        </w:trPr>
        <w:tc>
          <w:tcPr>
            <w:tcW w:w="5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Change YOY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5"/>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4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729.6</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net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449.5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8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net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91 %</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7"/>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257 %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2021-11-17T15:54:41Z</dcterms:created>
  <dcterms:modified xsi:type="dcterms:W3CDTF">2021-11-17T15:54:41Z</dcterms:modified>
</cp:coreProperties>
</file>