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900" w:right="1640" w:hanging="3865"/>
        <w:spacing w:after="0" w:line="416" w:lineRule="auto"/>
        <w:tabs>
          <w:tab w:leader="none" w:pos="615"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5300" w:type="dxa"/>
            <w:vAlign w:val="bottom"/>
          </w:tcPr>
          <w:p>
            <w:pPr>
              <w:ind w:left="294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108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45"/>
        </w:trPr>
        <w:tc>
          <w:tcPr>
            <w:tcW w:w="9140" w:type="dxa"/>
            <w:vAlign w:val="bottom"/>
            <w:gridSpan w:val="5"/>
          </w:tcPr>
          <w:p>
            <w:pPr>
              <w:jc w:val="center"/>
              <w:ind w:left="1252"/>
              <w:spacing w:after="0"/>
              <w:rPr>
                <w:sz w:val="20"/>
                <w:szCs w:val="20"/>
                <w:color w:val="auto"/>
              </w:rPr>
            </w:pPr>
            <w:r>
              <w:rPr>
                <w:rFonts w:ascii="Arial" w:cs="Arial" w:eastAsia="Arial" w:hAnsi="Arial"/>
                <w:sz w:val="18"/>
                <w:szCs w:val="18"/>
                <w:b w:val="1"/>
                <w:bCs w:val="1"/>
                <w:color w:val="auto"/>
                <w:w w:val="89"/>
              </w:rPr>
              <w:t>Commission File No. 0-19424</w:t>
            </w:r>
          </w:p>
        </w:tc>
      </w:tr>
      <w:tr>
        <w:trPr>
          <w:trHeight w:val="982"/>
        </w:trPr>
        <w:tc>
          <w:tcPr>
            <w:tcW w:w="6200" w:type="dxa"/>
            <w:vAlign w:val="bottom"/>
            <w:gridSpan w:val="2"/>
          </w:tcPr>
          <w:p>
            <w:pPr>
              <w:jc w:val="center"/>
              <w:ind w:left="4192"/>
              <w:spacing w:after="0"/>
              <w:rPr>
                <w:sz w:val="20"/>
                <w:szCs w:val="20"/>
                <w:color w:val="auto"/>
              </w:rPr>
            </w:pPr>
            <w:r>
              <w:rPr>
                <w:rFonts w:ascii="Arial" w:cs="Arial" w:eastAsia="Arial" w:hAnsi="Arial"/>
                <w:sz w:val="22"/>
                <w:szCs w:val="22"/>
                <w:b w:val="1"/>
                <w:bCs w:val="1"/>
                <w:color w:val="auto"/>
                <w:w w:val="97"/>
              </w:rPr>
              <w:t>EZCORP, INC.</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9140" w:type="dxa"/>
            <w:vAlign w:val="bottom"/>
            <w:gridSpan w:val="5"/>
          </w:tcPr>
          <w:p>
            <w:pPr>
              <w:jc w:val="center"/>
              <w:ind w:left="125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78"/>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548"/>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0" w:type="dxa"/>
            <w:vAlign w:val="bottom"/>
          </w:tcPr>
          <w:p>
            <w:pPr>
              <w:spacing w:after="0"/>
              <w:rPr>
                <w:sz w:val="18"/>
                <w:szCs w:val="18"/>
                <w:color w:val="auto"/>
              </w:rPr>
            </w:pPr>
          </w:p>
        </w:tc>
        <w:tc>
          <w:tcPr>
            <w:tcW w:w="2700" w:type="dxa"/>
            <w:vAlign w:val="bottom"/>
            <w:gridSpan w:val="2"/>
          </w:tcPr>
          <w:p>
            <w:pPr>
              <w:jc w:val="center"/>
              <w:ind w:left="528"/>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9"/>
              </w:rPr>
              <w:t>2500 Bee Cave Road, Bldg One, Suite 200, Rollingwood, Texas</w:t>
            </w:r>
          </w:p>
        </w:tc>
        <w:tc>
          <w:tcPr>
            <w:tcW w:w="294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78746</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(Address of principal executive offices)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jc w:val="center"/>
              <w:ind w:right="408"/>
              <w:spacing w:after="0"/>
              <w:rPr>
                <w:sz w:val="20"/>
                <w:szCs w:val="20"/>
                <w:color w:val="auto"/>
              </w:rPr>
            </w:pPr>
            <w:r>
              <w:rPr>
                <w:rFonts w:ascii="Arial" w:cs="Arial" w:eastAsia="Arial" w:hAnsi="Arial"/>
                <w:sz w:val="14"/>
                <w:szCs w:val="14"/>
                <w:color w:val="auto"/>
                <w:w w:val="93"/>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-1543685</wp:posOffset>
            </wp:positionV>
            <wp:extent cx="200660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6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190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rPr>
                <w:sz w:val="20"/>
                <w:szCs w:val="20"/>
                <w:color w:val="auto"/>
              </w:rPr>
            </w:pPr>
            <w:r>
              <w:rPr>
                <w:rFonts w:ascii="Arial" w:cs="Arial" w:eastAsia="Arial" w:hAnsi="Arial"/>
                <w:sz w:val="16"/>
                <w:szCs w:val="16"/>
                <w:color w:val="auto"/>
              </w:rPr>
              <w:t>x</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60"/>
              <w:spacing w:after="0"/>
              <w:rPr>
                <w:sz w:val="20"/>
                <w:szCs w:val="20"/>
                <w:color w:val="auto"/>
              </w:rPr>
            </w:pPr>
            <w:r>
              <w:rPr>
                <w:rFonts w:ascii="Arial" w:cs="Arial" w:eastAsia="Arial" w:hAnsi="Arial"/>
                <w:sz w:val="16"/>
                <w:szCs w:val="16"/>
                <w:color w:val="auto"/>
              </w:rPr>
              <w:t>(Do not check if a smaller reporting company)</w:t>
            </w:r>
          </w:p>
        </w:tc>
        <w:tc>
          <w:tcPr>
            <w:tcW w:w="700" w:type="dxa"/>
            <w:vAlign w:val="bottom"/>
          </w:tcPr>
          <w:p>
            <w:pPr>
              <w:spacing w:after="0"/>
              <w:rPr>
                <w:sz w:val="23"/>
                <w:szCs w:val="23"/>
                <w:color w:val="auto"/>
              </w:rPr>
            </w:pP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4"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As of April 30, 2017, 51,321,915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8"/>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2017 (Unaudited) and September 30, 2016</w:t>
              </w:r>
            </w:hyperlink>
          </w:p>
        </w:tc>
        <w:tc>
          <w:tcPr>
            <w:tcW w:w="32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March 31, 2017 and 2016 (Unaudited)</w:t>
              </w:r>
            </w:hyperlink>
          </w:p>
        </w:tc>
        <w:tc>
          <w:tcPr>
            <w:tcW w:w="13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Six Months Ended March 31, 2017 and 2016</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w:t>
              </w:r>
            </w:hyperlink>
          </w:p>
        </w:tc>
        <w:tc>
          <w:tcPr>
            <w:tcW w:w="964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Condensed Consolidated Statement of Stockholders’ Equity for the Six Months Ended March 31, 2017 (Unaudited)</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March 31, 2017 and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Condensed Consolidated Financial Statements (Unaudited)</w:t>
              </w:r>
            </w:hyperlink>
          </w:p>
        </w:tc>
        <w:tc>
          <w:tcPr>
            <w:tcW w:w="2940" w:type="dxa"/>
            <w:vAlign w:val="bottom"/>
            <w:tcBorders>
              <w:top w:val="single" w:sz="8" w:color="0000EE"/>
            </w:tcBorders>
            <w:gridSpan w:val="4"/>
          </w:tcPr>
          <w:p>
            <w:pPr>
              <w:spacing w:after="0"/>
              <w:rPr>
                <w:sz w:val="24"/>
                <w:szCs w:val="24"/>
                <w:color w:val="auto"/>
              </w:rPr>
            </w:pPr>
          </w:p>
        </w:tc>
        <w:tc>
          <w:tcPr>
            <w:tcW w:w="20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Arial" w:cs="Arial" w:eastAsia="Arial" w:hAnsi="Arial"/>
                <w:sz w:val="18"/>
                <w:szCs w:val="18"/>
                <w:i w:val="1"/>
                <w:iCs w:val="1"/>
                <w:color w:val="0000EE"/>
                <w:w w:val="91"/>
              </w:rPr>
            </w:pPr>
            <w:hyperlink w:anchor="page25">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0"/>
          </w:tcPr>
          <w:p>
            <w:pPr>
              <w:spacing w:after="0"/>
              <w:rPr>
                <w:rFonts w:ascii="Arial" w:cs="Arial" w:eastAsia="Arial" w:hAnsi="Arial"/>
                <w:sz w:val="18"/>
                <w:szCs w:val="18"/>
                <w:i w:val="1"/>
                <w:iCs w:val="1"/>
                <w:color w:val="0000EE"/>
              </w:rPr>
            </w:pPr>
            <w:hyperlink w:anchor="page41">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i w:val="1"/>
                <w:iCs w:val="1"/>
                <w:color w:val="0000EE"/>
                <w:w w:val="90"/>
              </w:rPr>
            </w:pPr>
            <w:hyperlink w:anchor="page41">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39</w:t>
              </w:r>
            </w:hyperlink>
          </w:p>
        </w:tc>
      </w:tr>
      <w:tr>
        <w:trPr>
          <w:trHeight w:val="372"/>
        </w:trPr>
        <w:tc>
          <w:tcPr>
            <w:tcW w:w="40" w:type="dxa"/>
            <w:vAlign w:val="bottom"/>
          </w:tcPr>
          <w:p>
            <w:pPr>
              <w:spacing w:after="0"/>
              <w:rPr>
                <w:sz w:val="24"/>
                <w:szCs w:val="24"/>
                <w:color w:val="auto"/>
              </w:rPr>
            </w:pPr>
          </w:p>
        </w:tc>
        <w:tc>
          <w:tcPr>
            <w:tcW w:w="1118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7"/>
          </w:tcPr>
          <w:p>
            <w:pPr>
              <w:spacing w:after="0"/>
              <w:rPr>
                <w:rFonts w:ascii="Arial" w:cs="Arial" w:eastAsia="Arial" w:hAnsi="Arial"/>
                <w:sz w:val="18"/>
                <w:szCs w:val="18"/>
                <w:i w:val="1"/>
                <w:iCs w:val="1"/>
                <w:color w:val="0000EE"/>
                <w:w w:val="89"/>
              </w:rPr>
            </w:pPr>
            <w:hyperlink w:anchor="page42">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3"/>
          </w:tcPr>
          <w:p>
            <w:pPr>
              <w:spacing w:after="0"/>
              <w:rPr>
                <w:sz w:val="24"/>
                <w:szCs w:val="24"/>
                <w:color w:val="auto"/>
              </w:rPr>
            </w:pPr>
          </w:p>
        </w:tc>
        <w:tc>
          <w:tcPr>
            <w:tcW w:w="844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i w:val="1"/>
                <w:iCs w:val="1"/>
                <w:color w:val="0000EE"/>
                <w:w w:val="90"/>
              </w:rPr>
            </w:pPr>
            <w:hyperlink w:anchor="page42">
              <w:r>
                <w:rPr>
                  <w:rFonts w:ascii="Arial" w:cs="Arial" w:eastAsia="Arial" w:hAnsi="Arial"/>
                  <w:sz w:val="18"/>
                  <w:szCs w:val="18"/>
                  <w:i w:val="1"/>
                  <w:iCs w:val="1"/>
                  <w:color w:val="0000EE"/>
                  <w:w w:val="90"/>
                </w:rPr>
                <w:t>Item 1A. Risk Factors</w:t>
              </w:r>
            </w:hyperlink>
          </w:p>
        </w:tc>
        <w:tc>
          <w:tcPr>
            <w:tcW w:w="92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0"/>
          </w:tcPr>
          <w:p>
            <w:pPr>
              <w:spacing w:after="0"/>
              <w:rPr>
                <w:rFonts w:ascii="Arial" w:cs="Arial" w:eastAsia="Arial" w:hAnsi="Arial"/>
                <w:sz w:val="18"/>
                <w:szCs w:val="18"/>
                <w:i w:val="1"/>
                <w:iCs w:val="1"/>
                <w:color w:val="0000EE"/>
              </w:rPr>
            </w:pPr>
            <w:hyperlink w:anchor="page43">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0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SIGNATURES</w:t>
              </w:r>
            </w:hyperlink>
          </w:p>
        </w:tc>
        <w:tc>
          <w:tcPr>
            <w:tcW w:w="1008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March 31,</w:t>
            </w:r>
          </w:p>
        </w:tc>
        <w:tc>
          <w:tcPr>
            <w:tcW w:w="140" w:type="dxa"/>
            <w:vAlign w:val="bottom"/>
          </w:tcPr>
          <w:p>
            <w:pPr>
              <w:spacing w:after="0"/>
              <w:rPr>
                <w:sz w:val="13"/>
                <w:szCs w:val="13"/>
                <w:color w:val="auto"/>
              </w:rPr>
            </w:pPr>
          </w:p>
        </w:tc>
        <w:tc>
          <w:tcPr>
            <w:tcW w:w="980" w:type="dxa"/>
            <w:vAlign w:val="bottom"/>
          </w:tcPr>
          <w:p>
            <w:pPr>
              <w:jc w:val="right"/>
              <w:ind w:right="120"/>
              <w:spacing w:after="0"/>
              <w:rPr>
                <w:sz w:val="20"/>
                <w:szCs w:val="20"/>
                <w:color w:val="auto"/>
              </w:rPr>
            </w:pPr>
            <w:r>
              <w:rPr>
                <w:rFonts w:ascii="Arial" w:cs="Arial" w:eastAsia="Arial" w:hAnsi="Arial"/>
                <w:sz w:val="13"/>
                <w:szCs w:val="13"/>
                <w:b w:val="1"/>
                <w:bCs w:val="1"/>
                <w:color w:val="auto"/>
                <w:w w:val="85"/>
              </w:rPr>
              <w:t>September 30,</w:t>
            </w:r>
          </w:p>
        </w:tc>
      </w:tr>
      <w:tr>
        <w:trPr>
          <w:trHeight w:val="174"/>
        </w:trPr>
        <w:tc>
          <w:tcPr>
            <w:tcW w:w="9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2016</w:t>
            </w:r>
          </w:p>
        </w:tc>
      </w:tr>
      <w:tr>
        <w:trPr>
          <w:trHeight w:val="384"/>
        </w:trPr>
        <w:tc>
          <w:tcPr>
            <w:tcW w:w="9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(Unaudited)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8"/>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120,099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65,737</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Pawn loans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143,267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167,329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31,062</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Inventory,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137,008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140,224</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41,946</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31,011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35,845</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488,391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482,143</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38,334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37,128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58,455</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254,217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253,976</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30,681</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Non-current notes receivable,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40,319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41,119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35,303</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18,174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44,439</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961,967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9"/>
        </w:trPr>
        <w:tc>
          <w:tcPr>
            <w:tcW w:w="9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84,285</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10,992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10,693</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94,978</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266,724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283,611</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8,448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10,450</w:t>
            </w:r>
          </w:p>
        </w:tc>
      </w:tr>
      <w:tr>
        <w:trPr>
          <w:trHeight w:val="217"/>
        </w:trPr>
        <w:tc>
          <w:tcPr>
            <w:tcW w:w="902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348,503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389,039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902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Class A Non-voting Common Stock, par value $.01 per share; shares authorized: 100 million as of March 31, 2017 and September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30, 2016; issued and outstanding: 51,321,915 as of March 31, 2017 and 51,129,144 as of September 30, 2016</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r>
      <w:tr>
        <w:trPr>
          <w:trHeight w:val="220"/>
        </w:trPr>
        <w:tc>
          <w:tcPr>
            <w:tcW w:w="9020" w:type="dxa"/>
            <w:vAlign w:val="bottom"/>
          </w:tcPr>
          <w:p>
            <w:pPr>
              <w:ind w:left="500"/>
              <w:spacing w:after="0"/>
              <w:rPr>
                <w:sz w:val="20"/>
                <w:szCs w:val="20"/>
                <w:color w:val="auto"/>
              </w:rPr>
            </w:pPr>
            <w:r>
              <w:rPr>
                <w:rFonts w:ascii="Arial" w:cs="Arial" w:eastAsia="Arial" w:hAnsi="Arial"/>
                <w:sz w:val="16"/>
                <w:szCs w:val="16"/>
                <w:color w:val="auto"/>
                <w:w w:val="98"/>
              </w:rPr>
              <w:t>Class B Voting Common Stock, convertible, par value $.01 per share; 3 million shares authorized; issued and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9020" w:type="dxa"/>
            <w:vAlign w:val="bottom"/>
          </w:tcPr>
          <w:p>
            <w:pPr>
              <w:ind w:left="500"/>
              <w:spacing w:after="0"/>
              <w:rPr>
                <w:sz w:val="20"/>
                <w:szCs w:val="20"/>
                <w:color w:val="auto"/>
              </w:rPr>
            </w:pPr>
            <w:r>
              <w:rPr>
                <w:rFonts w:ascii="Arial" w:cs="Arial" w:eastAsia="Arial" w:hAnsi="Arial"/>
                <w:sz w:val="16"/>
                <w:szCs w:val="16"/>
                <w:color w:val="auto"/>
              </w:rPr>
              <w:t>2,970,171</w:t>
            </w:r>
          </w:p>
        </w:tc>
        <w:tc>
          <w:tcPr>
            <w:tcW w:w="200" w:type="dxa"/>
            <w:vAlign w:val="bottom"/>
          </w:tcPr>
          <w:p>
            <w:pPr>
              <w:spacing w:after="0"/>
              <w:rPr>
                <w:sz w:val="17"/>
                <w:szCs w:val="17"/>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321,531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318,723</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334,996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319,808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(42,544)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(44,089)</w:t>
            </w:r>
          </w:p>
        </w:tc>
      </w:tr>
      <w:tr>
        <w:trPr>
          <w:trHeight w:val="217"/>
        </w:trPr>
        <w:tc>
          <w:tcPr>
            <w:tcW w:w="9020" w:type="dxa"/>
            <w:vAlign w:val="bottom"/>
          </w:tcPr>
          <w:p>
            <w:pPr>
              <w:ind w:left="720"/>
              <w:spacing w:after="0"/>
              <w:rPr>
                <w:sz w:val="20"/>
                <w:szCs w:val="20"/>
                <w:color w:val="auto"/>
              </w:rPr>
            </w:pPr>
            <w:r>
              <w:rPr>
                <w:rFonts w:ascii="Arial" w:cs="Arial" w:eastAsia="Arial" w:hAnsi="Arial"/>
                <w:sz w:val="16"/>
                <w:szCs w:val="16"/>
                <w:color w:val="auto"/>
              </w:rPr>
              <w:t>EZCORP, Inc. stockholders’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614,526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594,983</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7"/>
        </w:trPr>
        <w:tc>
          <w:tcPr>
            <w:tcW w:w="9020" w:type="dxa"/>
            <w:vAlign w:val="bottom"/>
          </w:tcPr>
          <w:p>
            <w:pPr>
              <w:ind w:left="72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613,464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594,205</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961,967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2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264"/>
        </w:trPr>
        <w:tc>
          <w:tcPr>
            <w:tcW w:w="60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379"/>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110,238</w:t>
            </w:r>
          </w:p>
        </w:tc>
        <w:tc>
          <w:tcPr>
            <w:tcW w:w="12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109,343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221,751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217,927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22,401</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67,092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136,105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130,724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4,717</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189,628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188,212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382,252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375,769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134,591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11,085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17,185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19,161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109,897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108,364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221,862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220,974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74,460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72,256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152,106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148,274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35,604</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6,030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6,606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12,403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14,148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1,910</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93,844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200,618</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16,053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13,014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30,149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20,356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15,911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5,449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8,427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10,231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10,185</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(89,935)</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(84,209)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(5,923)</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(78,286)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54,291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54,843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54,224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54,869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54,346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54,278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54,943</w:t>
            </w:r>
          </w:p>
        </w:tc>
      </w:tr>
      <w:tr>
        <w:trPr>
          <w:trHeight w:val="33"/>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10"/>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1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79"/>
        </w:trPr>
        <w:tc>
          <w:tcPr>
            <w:tcW w:w="2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7,856</w:t>
            </w:r>
          </w:p>
        </w:tc>
        <w:tc>
          <w:tcPr>
            <w:tcW w:w="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(75,943)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14,894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(84,209)</w:t>
            </w:r>
          </w:p>
        </w:tc>
        <w:tc>
          <w:tcPr>
            <w:tcW w:w="0" w:type="dxa"/>
            <w:vAlign w:val="bottom"/>
          </w:tcPr>
          <w:p>
            <w:pPr>
              <w:spacing w:after="0"/>
              <w:rPr>
                <w:sz w:val="1"/>
                <w:szCs w:val="1"/>
                <w:color w:val="auto"/>
              </w:rPr>
            </w:pPr>
          </w:p>
        </w:tc>
      </w:tr>
      <w:tr>
        <w:trPr>
          <w:trHeight w:val="237"/>
        </w:trPr>
        <w:tc>
          <w:tcPr>
            <w:tcW w:w="460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gridSpan w:val="7"/>
            <w:shd w:val="clear" w:color="auto" w:fill="CCEEFF"/>
          </w:tcPr>
          <w:p>
            <w:pPr>
              <w:ind w:left="280"/>
              <w:spacing w:after="0"/>
              <w:rPr>
                <w:sz w:val="20"/>
                <w:szCs w:val="20"/>
                <w:color w:val="auto"/>
              </w:rPr>
            </w:pPr>
            <w:r>
              <w:rPr>
                <w:rFonts w:ascii="Arial" w:cs="Arial" w:eastAsia="Arial" w:hAnsi="Arial"/>
                <w:sz w:val="16"/>
                <w:szCs w:val="16"/>
                <w:color w:val="auto"/>
                <w:w w:val="96"/>
              </w:rPr>
              <w:t>Foreign currency translation gain (loss), net of income tax benefit (expense) for our</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80" w:type="dxa"/>
            <w:vAlign w:val="bottom"/>
            <w:gridSpan w:val="8"/>
            <w:shd w:val="clear" w:color="auto" w:fill="CCEEFF"/>
          </w:tcPr>
          <w:p>
            <w:pPr>
              <w:ind w:left="280"/>
              <w:spacing w:after="0"/>
              <w:rPr>
                <w:sz w:val="20"/>
                <w:szCs w:val="20"/>
                <w:color w:val="auto"/>
              </w:rPr>
            </w:pPr>
            <w:r>
              <w:rPr>
                <w:rFonts w:ascii="Arial" w:cs="Arial" w:eastAsia="Arial" w:hAnsi="Arial"/>
                <w:sz w:val="16"/>
                <w:szCs w:val="16"/>
                <w:color w:val="auto"/>
                <w:w w:val="93"/>
              </w:rPr>
              <w:t>investment in unconsolidated affiliate of $974 and $530 for the three and six months ended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7"/>
            <w:shd w:val="clear" w:color="auto" w:fill="CCEEFF"/>
          </w:tcPr>
          <w:p>
            <w:pPr>
              <w:ind w:left="280"/>
              <w:spacing w:after="0"/>
              <w:rPr>
                <w:sz w:val="20"/>
                <w:szCs w:val="20"/>
                <w:color w:val="auto"/>
              </w:rPr>
            </w:pPr>
            <w:r>
              <w:rPr>
                <w:rFonts w:ascii="Arial" w:cs="Arial" w:eastAsia="Arial" w:hAnsi="Arial"/>
                <w:sz w:val="16"/>
                <w:szCs w:val="16"/>
                <w:color w:val="auto"/>
                <w:w w:val="90"/>
              </w:rPr>
              <w:t>March 31, 2017 respectively, and ($789) and $1,814 for the three and six months ended</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March 31, 2016, respectively</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(2,137)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(11,496)</w:t>
            </w:r>
          </w:p>
        </w:tc>
        <w:tc>
          <w:tcPr>
            <w:tcW w:w="0" w:type="dxa"/>
            <w:vAlign w:val="bottom"/>
          </w:tcPr>
          <w:p>
            <w:pPr>
              <w:spacing w:after="0"/>
              <w:rPr>
                <w:sz w:val="1"/>
                <w:szCs w:val="1"/>
                <w:color w:val="auto"/>
              </w:rPr>
            </w:pPr>
          </w:p>
        </w:tc>
      </w:tr>
      <w:tr>
        <w:trPr>
          <w:trHeight w:val="237"/>
        </w:trPr>
        <w:tc>
          <w:tcPr>
            <w:tcW w:w="4600" w:type="dxa"/>
            <w:vAlign w:val="bottom"/>
            <w:gridSpan w:val="3"/>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loss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12,876</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(78,080)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16,449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(95,683)</w:t>
            </w:r>
          </w:p>
        </w:tc>
        <w:tc>
          <w:tcPr>
            <w:tcW w:w="0" w:type="dxa"/>
            <w:vAlign w:val="bottom"/>
          </w:tcPr>
          <w:p>
            <w:pPr>
              <w:spacing w:after="0"/>
              <w:rPr>
                <w:sz w:val="1"/>
                <w:szCs w:val="1"/>
                <w:color w:val="auto"/>
              </w:rPr>
            </w:pPr>
          </w:p>
        </w:tc>
      </w:tr>
      <w:tr>
        <w:trPr>
          <w:trHeight w:val="237"/>
        </w:trPr>
        <w:tc>
          <w:tcPr>
            <w:tcW w:w="4600" w:type="dxa"/>
            <w:vAlign w:val="bottom"/>
            <w:gridSpan w:val="3"/>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w w:val="90"/>
              </w:rPr>
              <w:t>(5,451)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(6,293)</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Comprehensive income (loss) attributable to EZCORP, Inc.</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13,056</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(72,629)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16,733</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(89,390)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4"/>
            <w:vMerge w:val="restart"/>
          </w:tcPr>
          <w:p>
            <w:pPr>
              <w:jc w:val="right"/>
              <w:spacing w:after="0"/>
              <w:rPr>
                <w:sz w:val="20"/>
                <w:szCs w:val="20"/>
                <w:color w:val="auto"/>
              </w:rPr>
            </w:pPr>
            <w:r>
              <w:rPr>
                <w:rFonts w:ascii="Arial" w:cs="Arial" w:eastAsia="Arial" w:hAnsi="Arial"/>
                <w:sz w:val="16"/>
                <w:szCs w:val="16"/>
                <w:b w:val="1"/>
                <w:bCs w:val="1"/>
                <w:color w:val="auto"/>
                <w:w w:val="98"/>
              </w:rPr>
              <w:t>EZCORP, Inc.</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6760" w:type="dxa"/>
            <w:vAlign w:val="bottom"/>
            <w:gridSpan w:val="20"/>
          </w:tcPr>
          <w:p>
            <w:pPr>
              <w:ind w:left="500"/>
              <w:spacing w:after="0"/>
              <w:rPr>
                <w:sz w:val="20"/>
                <w:szCs w:val="20"/>
                <w:color w:val="auto"/>
              </w:rPr>
            </w:pPr>
            <w:r>
              <w:rPr>
                <w:rFonts w:ascii="Arial" w:cs="Arial" w:eastAsia="Arial" w:hAnsi="Arial"/>
                <w:sz w:val="16"/>
                <w:szCs w:val="16"/>
                <w:b w:val="1"/>
                <w:bCs w:val="1"/>
                <w:color w:val="auto"/>
              </w:rPr>
              <w:t>CONDENSED CONSOLIDATED STATEMENT OF STOCKHOLDERS' EQUITY</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2"/>
                <w:szCs w:val="22"/>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EZCORP, Inc.</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221"/>
              <w:spacing w:after="0" w:line="13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4"/>
            <w:vMerge w:val="restart"/>
          </w:tcPr>
          <w:p>
            <w:pPr>
              <w:ind w:left="2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5"/>
        </w:trPr>
        <w:tc>
          <w:tcPr>
            <w:tcW w:w="23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79"/>
        </w:trPr>
        <w:tc>
          <w:tcPr>
            <w:tcW w:w="2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17"/>
          </w:tcPr>
          <w:p>
            <w:pPr>
              <w:jc w:val="right"/>
              <w:ind w:right="460"/>
              <w:spacing w:after="0"/>
              <w:rPr>
                <w:sz w:val="20"/>
                <w:szCs w:val="20"/>
                <w:color w:val="auto"/>
              </w:rPr>
            </w:pPr>
            <w:r>
              <w:rPr>
                <w:rFonts w:ascii="Arial" w:cs="Arial" w:eastAsia="Arial" w:hAnsi="Arial"/>
                <w:sz w:val="14"/>
                <w:szCs w:val="14"/>
                <w:b w:val="1"/>
                <w:bCs w:val="1"/>
                <w:color w:val="auto"/>
                <w:w w:val="90"/>
              </w:rPr>
              <w:t>(Unaudited, except balances as of September 30, 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4"/>
                <w:szCs w:val="14"/>
                <w:i w:val="1"/>
                <w:iCs w:val="1"/>
                <w:color w:val="auto"/>
                <w:w w:val="94"/>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8"/>
                <w:shd w:val="clear" w:color="auto" w:fill="CCEEFF"/>
              </w:rPr>
              <w:t>Balances as of September 30, 2016</w:t>
            </w:r>
          </w:p>
        </w:tc>
        <w:tc>
          <w:tcPr>
            <w:tcW w:w="2280" w:type="dxa"/>
            <w:vAlign w:val="bottom"/>
            <w:tcBorders>
              <w:bottom w:val="single" w:sz="8" w:color="CCEEFF"/>
            </w:tcBorders>
            <w:gridSpan w:val="2"/>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54,099</w:t>
            </w:r>
          </w:p>
        </w:tc>
        <w:tc>
          <w:tcPr>
            <w:tcW w:w="780" w:type="dxa"/>
            <w:vAlign w:val="bottom"/>
            <w:tcBorders>
              <w:bottom w:val="single" w:sz="8" w:color="CCEEFF"/>
            </w:tcBorders>
            <w:gridSpan w:val="3"/>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2"/>
              </w:rPr>
              <w:t>541</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318,723</w:t>
            </w:r>
          </w:p>
        </w:tc>
        <w:tc>
          <w:tcPr>
            <w:tcW w:w="34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319,808</w:t>
            </w:r>
          </w:p>
        </w:tc>
        <w:tc>
          <w:tcPr>
            <w:tcW w:w="540" w:type="dxa"/>
            <w:vAlign w:val="bottom"/>
            <w:tcBorders>
              <w:bottom w:val="single" w:sz="8" w:color="CCEEFF"/>
            </w:tcBorders>
            <w:gridSpan w:val="3"/>
            <w:shd w:val="clear" w:color="auto" w:fill="CCEEFF"/>
          </w:tcPr>
          <w:p>
            <w:pPr>
              <w:jc w:val="right"/>
              <w:ind w:right="16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(44,089)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594,983</w:t>
            </w:r>
          </w:p>
        </w:tc>
        <w:tc>
          <w:tcPr>
            <w:tcW w:w="0" w:type="dxa"/>
            <w:vAlign w:val="bottom"/>
          </w:tcPr>
          <w:p>
            <w:pPr>
              <w:spacing w:after="0"/>
              <w:rPr>
                <w:sz w:val="1"/>
                <w:szCs w:val="1"/>
                <w:color w:val="auto"/>
              </w:rPr>
            </w:pPr>
          </w:p>
        </w:tc>
      </w:tr>
      <w:tr>
        <w:trPr>
          <w:trHeight w:val="237"/>
        </w:trPr>
        <w:tc>
          <w:tcPr>
            <w:tcW w:w="4600" w:type="dxa"/>
            <w:vAlign w:val="bottom"/>
            <w:gridSpan w:val="3"/>
          </w:tcPr>
          <w:p>
            <w:pPr>
              <w:ind w:left="280"/>
              <w:spacing w:after="0"/>
              <w:rPr>
                <w:sz w:val="20"/>
                <w:szCs w:val="20"/>
                <w:color w:val="auto"/>
              </w:rPr>
            </w:pPr>
            <w:r>
              <w:rPr>
                <w:rFonts w:ascii="Arial" w:cs="Arial" w:eastAsia="Arial" w:hAnsi="Arial"/>
                <w:sz w:val="16"/>
                <w:szCs w:val="16"/>
                <w:color w:val="auto"/>
              </w:rPr>
              <w:t>Stock compensation</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3,575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600" w:type="dxa"/>
            <w:vAlign w:val="bottom"/>
            <w:gridSpan w:val="3"/>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37"/>
        </w:trPr>
        <w:tc>
          <w:tcPr>
            <w:tcW w:w="4600" w:type="dxa"/>
            <w:vAlign w:val="bottom"/>
            <w:gridSpan w:val="3"/>
          </w:tcPr>
          <w:p>
            <w:pPr>
              <w:ind w:left="280"/>
              <w:spacing w:after="0"/>
              <w:rPr>
                <w:sz w:val="20"/>
                <w:szCs w:val="20"/>
                <w:color w:val="auto"/>
              </w:rPr>
            </w:pPr>
            <w:r>
              <w:rPr>
                <w:rFonts w:ascii="Arial" w:cs="Arial" w:eastAsia="Arial" w:hAnsi="Arial"/>
                <w:sz w:val="16"/>
                <w:szCs w:val="16"/>
                <w:color w:val="auto"/>
              </w:rPr>
              <w:t>Net income attributable to EZCORP, Inc.</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15,188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15,188</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Balances as of March 31, 2017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54,292</w:t>
            </w:r>
          </w:p>
        </w:tc>
        <w:tc>
          <w:tcPr>
            <w:tcW w:w="780" w:type="dxa"/>
            <w:vAlign w:val="bottom"/>
            <w:gridSpan w:val="3"/>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543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321,531</w:t>
            </w:r>
          </w:p>
        </w:tc>
        <w:tc>
          <w:tcPr>
            <w:tcW w:w="340" w:type="dxa"/>
            <w:vAlign w:val="bottom"/>
            <w:gridSpan w:val="4"/>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334,996</w:t>
            </w:r>
          </w:p>
        </w:tc>
        <w:tc>
          <w:tcPr>
            <w:tcW w:w="540" w:type="dxa"/>
            <w:vAlign w:val="bottom"/>
            <w:gridSpan w:val="3"/>
            <w:shd w:val="clear" w:color="auto" w:fill="CCEEFF"/>
          </w:tcPr>
          <w:p>
            <w:pPr>
              <w:jc w:val="right"/>
              <w:ind w:right="16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(42,544)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614,526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8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379"/>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tcPr>
          <w:p>
            <w:pPr>
              <w:spacing w:after="0"/>
              <w:rPr>
                <w:sz w:val="24"/>
                <w:szCs w:val="24"/>
                <w:color w:val="auto"/>
              </w:rPr>
            </w:pPr>
          </w:p>
        </w:tc>
      </w:tr>
      <w:tr>
        <w:trPr>
          <w:trHeight w:val="209"/>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508"/>
              <w:spacing w:after="0"/>
              <w:rPr>
                <w:sz w:val="20"/>
                <w:szCs w:val="20"/>
                <w:color w:val="auto"/>
              </w:rPr>
            </w:pPr>
            <w:r>
              <w:rPr>
                <w:rFonts w:ascii="Arial" w:cs="Arial" w:eastAsia="Arial" w:hAnsi="Arial"/>
                <w:sz w:val="14"/>
                <w:szCs w:val="14"/>
                <w:i w:val="1"/>
                <w:iCs w:val="1"/>
                <w:color w:val="auto"/>
                <w:w w:val="94"/>
              </w:rPr>
              <w:t>(in thousands)</w:t>
            </w:r>
          </w:p>
        </w:tc>
        <w:tc>
          <w:tcPr>
            <w:tcW w:w="820" w:type="dxa"/>
            <w:vAlign w:val="bottom"/>
          </w:tcPr>
          <w:p>
            <w:pPr>
              <w:spacing w:after="0"/>
              <w:rPr>
                <w:sz w:val="18"/>
                <w:szCs w:val="18"/>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14,894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(84,209)</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(loss) to net cash flows from operating activities: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15,141</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debt discount and deferred financing costs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5,932</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Amortization of prepaid commissions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7,754</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Accretion of notes receivable discount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18,662</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(12,635)</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73,244</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adjustments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(Gain) loss on sale or disposal of assets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682</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 compensation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Income from investment in unconsolidated affiliate</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(3,932)</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Service charges and fees receivable</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10,140</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Prepaid expenses, other current assets and other assets</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(10,795)</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(8,702)</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Customer layaway deposits</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851</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taxes receivable and payable, current, net of excess tax benefit from stock compensation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51,300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of restructuring charges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(6,701)</w:t>
            </w:r>
          </w:p>
        </w:tc>
      </w:tr>
      <w:tr>
        <w:trPr>
          <w:trHeight w:val="256"/>
        </w:trPr>
        <w:tc>
          <w:tcPr>
            <w:tcW w:w="88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17,965</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55,739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made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(323,980)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Loans repaid</w:t>
            </w: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199,080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225,138</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128,238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121,830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Additions to property and equipment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(2,950)</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Principal collections on notes receivable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15,051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8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Net cash provided by investing activities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36,472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14,038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Payout of deferred consideration</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(14,875)</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redeemable common stock issued due to acquisitions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Proceeds from settlement of forward currency contracts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3,557</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restricted cash</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6,519</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Proceeds from borrowings, net of issuance costs</w:t>
            </w: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14,302</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borrowings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(47,698)</w:t>
            </w:r>
          </w:p>
        </w:tc>
      </w:tr>
      <w:tr>
        <w:trPr>
          <w:trHeight w:val="250"/>
        </w:trPr>
        <w:tc>
          <w:tcPr>
            <w:tcW w:w="8800" w:type="dxa"/>
            <w:vAlign w:val="bottom"/>
          </w:tcPr>
          <w:p>
            <w:pPr>
              <w:ind w:left="82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(49,945)</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(3,620)</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54,362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16,212</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65,737</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59,124</w:t>
            </w:r>
          </w:p>
        </w:tc>
      </w:tr>
      <w:tr>
        <w:trPr>
          <w:trHeight w:val="283"/>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120,099</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75,336</w:t>
            </w:r>
          </w:p>
        </w:tc>
      </w:tr>
      <w:tr>
        <w:trPr>
          <w:trHeight w:val="251"/>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Pawn loans forfeited and transferred to inventory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125,165</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122,709</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 reinvestment acquisition of additional ownership in unconsolidated affiliate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354"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354"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report, the terms “we,” “us,” “our,” “EZCORP” and the “Company” mean EZCORP, Inc. and its consolidated subsidiaries, collectively.</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a leading provider of pawn loans in the United States and Mexico.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9. All intercompany accounts and transactions have been eliminated in consolidation.</w:t>
      </w:r>
    </w:p>
    <w:p>
      <w:pPr>
        <w:spacing w:after="0" w:line="10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accompanying financial statements should be read in conjunction with the consolidated financial statements and notes included in our Annual Report on Form 10-K for the year ended September 30, 2016. The balance sheet as of September 30, 2016 has been derived from the audited financial statements at that date but does not include all of the information and footnotes required by GAAP for complete financial statements.</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business is subject to seasonal variations, and operating results for the three and six months ended March 31, 2017 and 2016 (the "current quarter" and "current six-months" and "prior-year quarter" and "prior-year six-months," respectively) are not necessarily indicative of the results of operations for the full fiscal year.</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have been no changes in significant accounting policies as described in our Annual Report on Form 10-K for the year ended September 30, 2016, other than those described below, and we have eliminated certain disclosures previously presented in our historical financial statements that we do not consider material to the overall financial statements presented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to Prior Period Financial Statements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Certain reclassifications of prior period amounts have been made. These reclassifications, other than those pertaining to discontinued operations discussed in Note 9, the adoption of Financial Accounting Standards Board ("FASB") Accounting Standards Updates ("ASUs") discussed below and immaterial corrections for the three months ended March 31, 2016 discussed in "Part II, Item 8 — Financial Statements and Supplementary Data — Note 2" of our Annual Report on Form 10-K for the year ended September 30, 2016, were made to conform to the current period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jc w:val="both"/>
        <w:ind w:left="660" w:right="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early adopted ASU 2016-09, Compensation — Stock Compensation (Topic 718): Improvements to Employee Share-Based Payment Accounting during the quarter ended December 31, 2016. This ASU simplifies several aspects of the accounting for share-based payment transactions, including income tax consequences, calculation of the dilutive impact of awards, classification of awards as either equity or liabilities and classification on the statement of cash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line="306" w:lineRule="auto"/>
        <w:rPr>
          <w:sz w:val="20"/>
          <w:szCs w:val="20"/>
          <w:color w:val="auto"/>
        </w:rPr>
      </w:pPr>
      <w:r>
        <w:rPr>
          <w:rFonts w:ascii="Arial" w:cs="Arial" w:eastAsia="Arial" w:hAnsi="Arial"/>
          <w:sz w:val="18"/>
          <w:szCs w:val="18"/>
          <w:color w:val="auto"/>
        </w:rPr>
        <w:t>flows. We prospectively applied the requirement to present excess tax benefits as an operating activity on the statement of cash flows. Further, we continue to estimate the number of award forfeitures in recording costs for share-based awards. The financial impact of adopting ASU 2016-09 was a $0.4 million income tax benefit during the three and six months ended March 31, 2017 for excess tax benefits on vested awards which previously would have been recorded to "Additional paid-in capital" prior to adoption of ASU 2016-09.</w:t>
      </w:r>
    </w:p>
    <w:p>
      <w:pPr>
        <w:spacing w:after="0" w:line="1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further adopted ASU 2015-11, Inventory (Topic 330): Simplifying the Measurement of Inventory, ASU 2015-05, Intangibles — Goodwill and</w:t>
      </w:r>
    </w:p>
    <w:p>
      <w:pPr>
        <w:spacing w:after="0" w:line="34" w:lineRule="exact"/>
        <w:rPr>
          <w:rFonts w:ascii="Arial" w:cs="Arial" w:eastAsia="Arial" w:hAnsi="Arial"/>
          <w:sz w:val="17"/>
          <w:szCs w:val="17"/>
          <w:color w:val="auto"/>
        </w:rPr>
      </w:pPr>
    </w:p>
    <w:p>
      <w:pPr>
        <w:ind w:left="660" w:right="20"/>
        <w:spacing w:after="0" w:line="255" w:lineRule="auto"/>
        <w:rPr>
          <w:rFonts w:ascii="Arial" w:cs="Arial" w:eastAsia="Arial" w:hAnsi="Arial"/>
          <w:sz w:val="17"/>
          <w:szCs w:val="17"/>
          <w:color w:val="auto"/>
        </w:rPr>
      </w:pPr>
      <w:r>
        <w:rPr>
          <w:rFonts w:ascii="Arial" w:cs="Arial" w:eastAsia="Arial" w:hAnsi="Arial"/>
          <w:sz w:val="18"/>
          <w:szCs w:val="18"/>
          <w:color w:val="auto"/>
        </w:rPr>
        <w:t>Other — Internal-Use Software (Subtopic 350-40): Customer's Accounting for Fees Paid in a Cloud Computing Arrangement and ASU 2014-15, Presentation of Financial Statements — Going Concern (Subtopic 205-40) during the quarter ended December 31, 2016. The impacts of adoption for each ASU are as follows:</w:t>
      </w:r>
    </w:p>
    <w:p>
      <w:pPr>
        <w:spacing w:after="0" w:line="136" w:lineRule="exact"/>
        <w:rPr>
          <w:rFonts w:ascii="Arial" w:cs="Arial" w:eastAsia="Arial" w:hAnsi="Arial"/>
          <w:sz w:val="17"/>
          <w:szCs w:val="17"/>
          <w:color w:val="auto"/>
        </w:rPr>
      </w:pPr>
    </w:p>
    <w:p>
      <w:pPr>
        <w:ind w:left="1300" w:right="120" w:hanging="320"/>
        <w:spacing w:after="0" w:line="27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early adopted ASU 2015-11 during the quarter ended December 31, 2016 on a prospective basis, and such adoption did not have a material impact on our consolidated financial position, results of operations or cash flows. We now measure our inventories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w:t>
      </w:r>
    </w:p>
    <w:p>
      <w:pPr>
        <w:spacing w:after="0" w:line="118" w:lineRule="exact"/>
        <w:rPr>
          <w:rFonts w:ascii="Arial" w:cs="Arial" w:eastAsia="Arial" w:hAnsi="Arial"/>
          <w:sz w:val="17"/>
          <w:szCs w:val="17"/>
          <w:color w:val="auto"/>
        </w:rPr>
      </w:pPr>
    </w:p>
    <w:p>
      <w:pPr>
        <w:ind w:left="1300" w:right="20" w:hanging="320"/>
        <w:spacing w:after="0" w:line="255"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adopted ASU 2015-05 during the quarter ended December 31, 2016 on a prospective basis for all arrangements entered into or materially modified after adoption of the ASU, and such adoption did not have a material impact on our consolidated financial position, results of operations or cash flows. We now consider whether cloud computing arrangements include a software license. If a cloud computing arrangement includes a software license, then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39" w:lineRule="exact"/>
        <w:rPr>
          <w:rFonts w:ascii="Arial" w:cs="Arial" w:eastAsia="Arial" w:hAnsi="Arial"/>
          <w:sz w:val="18"/>
          <w:szCs w:val="18"/>
          <w:color w:val="auto"/>
        </w:rPr>
      </w:pPr>
    </w:p>
    <w:p>
      <w:pPr>
        <w:ind w:left="1300" w:right="260" w:hanging="320"/>
        <w:spacing w:after="0" w:line="28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early adopted ASU 2014-15 during the quarter ended December 31, 2016. Upon adoption of the ASU, management has the responsibility to evaluate whether there is substantial doubt about our ability to continue as a going concern for a period of one year after the date that the financial statements are issued (or available to be issued) or to provide related footnote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and Significant Accounting Policies</w:t>
      </w:r>
    </w:p>
    <w:p>
      <w:pPr>
        <w:spacing w:after="0" w:line="171" w:lineRule="exact"/>
        <w:rPr>
          <w:sz w:val="20"/>
          <w:szCs w:val="20"/>
          <w:color w:val="auto"/>
        </w:rPr>
      </w:pPr>
    </w:p>
    <w:p>
      <w:pPr>
        <w:ind w:left="660" w:right="120" w:hanging="328"/>
        <w:spacing w:after="0" w:line="28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January 2017, the FASB issued ASU 2017-04, Intangibles — Goodwill and Other (Topic 350): Simplifying the Test for Goodwill Impairment. This ASU eliminates Step 2 from the goodwill impairment test which previously required measurement of any goodwill impairment loss by comparing the implied fair value of a reporting unit’s goodwill with the carrying amount of that goodwill. Under the new standard, an entity should perform its annual, or interim, goodwill impairment test by comparing the fair value of a reporting unit with its carrying amount and recognize an impairment charge for the amount by which the carrying amount exceeds the reporting unit’s fair value; without exceeding the total amount of goodwill allocated to that reporting unit. The provisions of this ASU are effective for fiscal years, and any interim goodwill impairment tests within those fiscal years beginning after December 15, 2019. Early adoption is permitted for interim or annual goodwill impairment tests performed on testing dates after January 1, 2017. A reporting entity should apply the amendment on a prospective basis. We currently anticipate adoption of ASU 2017-04 in the fourth quarter of our fiscal 2017 with little to no impact on our consolidated financial position, results of operations or cash flows.</w:t>
      </w:r>
    </w:p>
    <w:p>
      <w:pPr>
        <w:spacing w:after="0" w:line="180" w:lineRule="exact"/>
        <w:rPr>
          <w:rFonts w:ascii="Arial" w:cs="Arial" w:eastAsia="Arial" w:hAnsi="Arial"/>
          <w:sz w:val="16"/>
          <w:szCs w:val="16"/>
          <w:color w:val="auto"/>
        </w:rPr>
      </w:pPr>
    </w:p>
    <w:p>
      <w:pPr>
        <w:ind w:left="660" w:right="40" w:hanging="328"/>
        <w:spacing w:after="0" w:line="29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and interim periods within those fiscal years, beginning after December 15, 2018. Early adoption is permitted based upon guidance issued within the ASU. Although we are in the process of evaluating the impact of adopting ASU 2016-02 on our consolidated financial position, results of operations and cash flows, we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are evaluating upgrades to our third party software solution concurrently with our adoption. We believe we are following an appropriate timeline to allow for proper recognition, presentation and disclosure upon adoption of the ASU which is effective for our fiscal 2020.</w:t>
      </w:r>
    </w:p>
    <w:p>
      <w:pPr>
        <w:spacing w:after="0" w:line="112" w:lineRule="exact"/>
        <w:rPr>
          <w:rFonts w:ascii="Arial" w:cs="Arial" w:eastAsia="Arial" w:hAnsi="Arial"/>
          <w:sz w:val="16"/>
          <w:szCs w:val="16"/>
          <w:color w:val="auto"/>
        </w:rPr>
      </w:pPr>
    </w:p>
    <w:p>
      <w:pPr>
        <w:ind w:left="660" w:right="2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ASU 2014-09, and the subsequently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60"/>
        <w:spacing w:after="0" w:line="334" w:lineRule="auto"/>
        <w:rPr>
          <w:sz w:val="20"/>
          <w:szCs w:val="20"/>
          <w:color w:val="auto"/>
        </w:rPr>
      </w:pPr>
      <w:r>
        <w:rPr>
          <w:rFonts w:ascii="Arial" w:cs="Arial" w:eastAsia="Arial" w:hAnsi="Arial"/>
          <w:sz w:val="16"/>
          <w:szCs w:val="16"/>
          <w:color w:val="auto"/>
        </w:rPr>
        <w:t>issued ASUs modifying or clarifying ASU 2014-09,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w:t>
      </w:r>
    </w:p>
    <w:p>
      <w:pPr>
        <w:spacing w:after="0" w:line="3" w:lineRule="exact"/>
        <w:rPr>
          <w:sz w:val="20"/>
          <w:szCs w:val="20"/>
          <w:color w:val="auto"/>
        </w:rPr>
      </w:pPr>
    </w:p>
    <w:p>
      <w:pPr>
        <w:ind w:left="660" w:right="720" w:hanging="4"/>
        <w:spacing w:after="0" w:line="395" w:lineRule="auto"/>
        <w:tabs>
          <w:tab w:leader="none" w:pos="905" w:val="left"/>
        </w:tabs>
        <w:numPr>
          <w:ilvl w:val="0"/>
          <w:numId w:val="6"/>
        </w:numPr>
        <w:rPr>
          <w:rFonts w:ascii="Arial" w:cs="Arial" w:eastAsia="Arial" w:hAnsi="Arial"/>
          <w:sz w:val="16"/>
          <w:szCs w:val="16"/>
          <w:color w:val="auto"/>
        </w:rPr>
      </w:pPr>
      <w:r>
        <w:rPr>
          <w:rFonts w:ascii="Arial" w:cs="Arial" w:eastAsia="Arial" w:hAnsi="Arial"/>
          <w:sz w:val="16"/>
          <w:szCs w:val="16"/>
          <w:color w:val="auto"/>
        </w:rPr>
        <w:t>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4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We are evaluating the impact that will result from adopting ASU 2014-09 on our consolidated financial position, results of operations, and cash flows. We currently anticipate adopting the ASU using the modified retrospective method. We do not believe the adoption will have an impact on our pawn service charge revenue recognition as we do not believe such charges are within the scope of the ASU. Further, we have not identified any impacts to our financial statements that we believe will be material as a result of the adoption of the ASU for other revenue streams, although we continue to evaluate the impact of adoption. We believe we are following an appropriate timeline to allow for proper recognition, presentation and disclosure upon adoption of the ASU which is effective for our fiscal 2019.</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refer to Note 1, Summary of Significant Accounting Policies, of Notes to Consolidated Financial Statements included in "Part II, Item 8 — Financial Statements and Supplementary Data" of our Annual Report on Form 10-K for the year ended September 30, 2016 for discussion of our significant accounting policies and other accounting pronouncements issued but not yet adopted.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23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60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31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4"/>
                <w:szCs w:val="14"/>
                <w:i w:val="1"/>
                <w:iCs w:val="1"/>
                <w:color w:val="auto"/>
                <w:w w:val="99"/>
              </w:rPr>
              <w:t>(in thousands, except per share amounts)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EZCORP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(84,335)</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EZCORP (C)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54,346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54,936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54,278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54,943</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EZCORP:</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97"/>
        </w:trPr>
        <w:tc>
          <w:tcPr>
            <w:tcW w:w="6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(loss) per share (C / 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109"/>
        </w:trPr>
        <w:tc>
          <w:tcPr>
            <w:tcW w:w="6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(loss) per share attributable to EZCORP:</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(loss) per share (C / 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Potential common shares excluded from the calculation of diluted earnings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above: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16,919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15,801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16,760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15,717</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right="1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2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5 for discussion of the terms and conditions of these potential common shares.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STRATEGIC INVESTMENTS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31, 2017, we owned 156,552,484 shares, or approximately 32%, of our unconsolidated affiliate Cash Converters International Limited ("Cash Converters International"). The following tables present summary financial information for Cash Converters International’s most recently reported results as of March 31, 2017 after translation to U.S. dollars: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158,235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176,105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141,218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143,466</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299,453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319,571</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70,468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68,857</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48,181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48,263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180,803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202,450</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r>
      <w:tr>
        <w:trPr>
          <w:trHeight w:val="257"/>
        </w:trPr>
        <w:tc>
          <w:tcPr>
            <w:tcW w:w="85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299,453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319,571</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Half Year Ended December 31,</w:t>
            </w: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108,161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110,219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74,343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81,139</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profit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8,633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11,483</w:t>
            </w:r>
          </w:p>
        </w:tc>
      </w:tr>
      <w:tr>
        <w:trPr>
          <w:trHeight w:val="27"/>
        </w:trPr>
        <w:tc>
          <w:tcPr>
            <w:tcW w:w="8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right="36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Cash Converters International announced during its fiscal 2016 that certain of its United Kingdom operations would be discontinued, including a historical recasting of such operations as discontinued operations. We have recast the above information pertaining to the half year ended December 31, 2015 to reflect this historical recasting.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FASB Accounting Standards Codification ("ASC") 820-10, our assets and liabilities discussed below are classified in one of the following three categories based on the inputs used to develop their fair values: Level 1 — Quoted market prices in active markets for identical assets or liabilities; Level 2 — Other observable market-based inputs or unobservable inputs that are corroborated by market data; and Level 3 — Unobservable inputs that are not corroborated by market data.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(liabilities) that were carried and measured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vMerge w:val="restart"/>
          </w:tcPr>
          <w:p>
            <w:pPr>
              <w:spacing w:after="0"/>
              <w:rPr>
                <w:sz w:val="14"/>
                <w:szCs w:val="14"/>
                <w:color w:val="auto"/>
              </w:rPr>
            </w:pPr>
          </w:p>
        </w:tc>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4"/>
          </w:tcPr>
          <w:p>
            <w:pPr>
              <w:jc w:val="right"/>
              <w:ind w:right="79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Guarantee asset — Level 3</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Accounts payable, accrued expenses and other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Guarantee liability — Level 3</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 — Level 2</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37,692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 — Level 2</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(37,692)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We initially measured the guarantee asset and liability at fair value and are subsequently amortizing the guarantees based upon the principal payments received on the associated notes receivable, which approximates the fair value of the guarantees on a recurring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measured the fair value of the Cash Convertible Notes Hedges and the Cash Convertible Notes Embedded Derivative using an option pricing model based on observable Level 1 and Level 2 inputs such as conversion price of underlying shares, current share price, implied volatility, risk free interest rate and other factors. See Note 5 for additional discussion.</w:t>
      </w:r>
    </w:p>
    <w:p>
      <w:pPr>
        <w:spacing w:after="0" w:line="12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tables below present our financial assets and liabilities that were not measured at fair value (including those discussed below the following tables)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18"/>
              <w:spacing w:after="0"/>
              <w:rPr>
                <w:sz w:val="20"/>
                <w:szCs w:val="20"/>
                <w:color w:val="auto"/>
              </w:rPr>
            </w:pPr>
            <w:r>
              <w:rPr>
                <w:rFonts w:ascii="Arial" w:cs="Arial" w:eastAsia="Arial" w:hAnsi="Arial"/>
                <w:sz w:val="14"/>
                <w:szCs w:val="14"/>
                <w:b w:val="1"/>
                <w:bCs w:val="1"/>
                <w:color w:val="auto"/>
                <w:w w:val="94"/>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March 31,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70,297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71,921</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71,921</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324"/>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Cash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203,464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213,417</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213,417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 Facility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50,403</w:t>
            </w:r>
          </w:p>
        </w:tc>
      </w:tr>
      <w:tr>
        <w:trPr>
          <w:trHeight w:val="399"/>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18"/>
              <w:spacing w:after="0"/>
              <w:rPr>
                <w:sz w:val="20"/>
                <w:szCs w:val="20"/>
                <w:color w:val="auto"/>
              </w:rPr>
            </w:pPr>
            <w:r>
              <w:rPr>
                <w:rFonts w:ascii="Arial" w:cs="Arial" w:eastAsia="Arial" w:hAnsi="Arial"/>
                <w:sz w:val="14"/>
                <w:szCs w:val="14"/>
                <w:b w:val="1"/>
                <w:bCs w:val="1"/>
                <w:color w:val="auto"/>
                <w:w w:val="94"/>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83,065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83,065</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83,065</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324"/>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Cash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197,954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227,332</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227,332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47,965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48,688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48,688</w:t>
            </w:r>
          </w:p>
        </w:tc>
      </w:tr>
      <w:tr>
        <w:trPr>
          <w:trHeight w:val="27"/>
        </w:trPr>
        <w:tc>
          <w:tcPr>
            <w:tcW w:w="4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Based on the short-term nature of cash and cash equivalents, pawn loans, pawn service charges receivable and current consumer loans, fees and interest receivable, we estimate that their carrying value approximates fair value. We consider our cash and cash equivalents to be measured using Level 1 inputs and our pawn loans, pawn service charges receivable and current consumer loans, fees and interest receivable to be measured using Level 3 inputs. Significant increases or decreases in the underlying assumptions used to value pawn loans, pawn service charges receivable and current consumer loans, fees and interest receivable could significantly increase or decrease these fair value estimates.</w:t>
      </w:r>
    </w:p>
    <w:p>
      <w:pPr>
        <w:spacing w:after="0" w:line="11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measured the fair value of the notes receivable under a discounted cash flow approach considering the synthetic credit ratings for Prestaciones Finmart, S.A.P.I. de C.V., SOFOM, E.N.R. ("Grupo Finmart") and Alpha Holding, S.A. de C.V. (“AlphaCredit”), as applicable, with discount rates ranging primarily from 8% to 15%. Certain of the significant inputs used for the valuation were not observable in the market. Significant increases or decreases in the underlying assumptions used to value the notes receivable could significantly increase or decrease these fair value estimates.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measured the fair value of the Cash Convertible Notes using quoted price inputs from Bloomberg. The Cash Convertible Notes are not actively traded and thus the price inputs represent a Level 2 measurement. As the Cash Convertible Notes are not</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actively traded, the quoted price inputs obtained from Bloomberg are highly variable from day to day and thus the fair value estimates disclosed above could significantly increase or decrease.</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measured the fair value of the Term Loan Facility under a discounted cash flow approach considering our synthetic credit rating, including inputs that are not observable in the market, with discount rates up to approximately 8%. A 50 basis point increase or decrease in the calculated credit spread based on our underlying synthetic credit rating would increase or decrease the fair value of our Term Loan Facility by approximately $1.3 million. The fair value of the Term Loan Facility approximated its carrying value, inclusive of issuance costs and exclusive of deferred financing costs, as of September 30, 2016. Significant increases or decreases in the underlying assumptions used to value our notes receivable could significantly increase or decrease these fair value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from Grupo Finmart Divestiture</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Subsequent to the sale of Grupo Finmart in September 2016, we determined that we retained a variable interest in Grupo Finmart, including notes receivable and a guarantee liability of the future cash outflows of certain Grupo Finmart foreign exchange forward contracts with a backup guarantee provided by AlphaCredit for any payments we make under the guarantee. We determined that we are not the primary beneficiary of Grupo Finmart subsequent to its disposition as we lack a controlling financial interest in Grupo Finmart. As of March 31, 2017, we had a total gross outstanding balance on our notes receivable of $75.1 million. We have collected $7.3 million and $15.1 million, respectively, in principal on these notes receivable during the three and six months ended March 31, 2017.</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carrying amount and classification of the assets and liabilities pertaining to our variable interest compared to the maximum exposure to loss for each asset and liability: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Asset (Liability)</w:t>
            </w: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Asset (Liability)</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Recorded in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Recorded in</w:t>
            </w: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2"/>
                <w:szCs w:val="12"/>
                <w:color w:val="auto"/>
              </w:rPr>
            </w:pPr>
          </w:p>
        </w:tc>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Exposure to</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6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Exposure to Loss</w:t>
            </w:r>
          </w:p>
        </w:tc>
        <w:tc>
          <w:tcPr>
            <w:tcW w:w="0" w:type="dxa"/>
            <w:vAlign w:val="bottom"/>
          </w:tcPr>
          <w:p>
            <w:pPr>
              <w:spacing w:after="0"/>
              <w:rPr>
                <w:sz w:val="1"/>
                <w:szCs w:val="1"/>
                <w:color w:val="auto"/>
              </w:rPr>
            </w:pPr>
          </w:p>
        </w:tc>
      </w:tr>
      <w:tr>
        <w:trPr>
          <w:trHeight w:val="385"/>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ind w:left="6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Notes receivable, net (including discount of</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$4.8</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million and</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$6.7 million as of March 31, 2017 and September</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30, 2016,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70,297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70,297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83,065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83,065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Guarantee asset</w:t>
            </w:r>
          </w:p>
        </w:tc>
        <w:tc>
          <w:tcPr>
            <w:tcW w:w="458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Guarantee liability*</w:t>
            </w:r>
          </w:p>
        </w:tc>
        <w:tc>
          <w:tcPr>
            <w:tcW w:w="4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right="260" w:hanging="332"/>
        <w:spacing w:after="0" w:line="257"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Maximum exposure to loss under the guarantee liability was $11.8 million and $25.3 million as of March 31, 2017 and September 30, 2016, respectively. However such amount is included within the maximum exposure to loss for the notes receivable above, as the guarantee liability is a guarantee by us of Grupo Finmart’s repayment of our notes receivable owed by Grupo Finmart.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long-term debt instruments outstanding as well as future principal payments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vMerge w:val="restart"/>
          </w:tcPr>
          <w:p>
            <w:pPr>
              <w:spacing w:after="0"/>
              <w:rPr>
                <w:sz w:val="13"/>
                <w:szCs w:val="13"/>
                <w:color w:val="auto"/>
              </w:rPr>
            </w:pPr>
          </w:p>
        </w:tc>
        <w:tc>
          <w:tcPr>
            <w:tcW w:w="13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Debt Discount and</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Gross Amount</w:t>
            </w:r>
          </w:p>
        </w:tc>
        <w:tc>
          <w:tcPr>
            <w:tcW w:w="100" w:type="dxa"/>
            <w:vAlign w:val="bottom"/>
            <w:vMerge w:val="restart"/>
          </w:tcPr>
          <w:p>
            <w:pPr>
              <w:spacing w:after="0"/>
              <w:rPr>
                <w:sz w:val="13"/>
                <w:szCs w:val="13"/>
                <w:color w:val="auto"/>
              </w:rPr>
            </w:pP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Debt Discount and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7"/>
              </w:rPr>
              <w:t>Issuance Costs</w:t>
            </w:r>
          </w:p>
        </w:tc>
        <w:tc>
          <w:tcPr>
            <w:tcW w:w="1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7"/>
              </w:rPr>
              <w:t>Issuance Costs</w:t>
            </w:r>
          </w:p>
        </w:tc>
        <w:tc>
          <w:tcPr>
            <w:tcW w:w="1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ind w:left="56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Recourse to EZCORP:</w:t>
            </w: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2.125% Cash convertible senior notes</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due 2019</w:t>
            </w: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(26,536)</w:t>
            </w:r>
          </w:p>
        </w:tc>
        <w:tc>
          <w:tcPr>
            <w:tcW w:w="120" w:type="dxa"/>
            <w:vAlign w:val="bottom"/>
          </w:tcPr>
          <w:p>
            <w:pPr>
              <w:spacing w:after="0"/>
              <w:rPr>
                <w:sz w:val="20"/>
                <w:szCs w:val="20"/>
                <w:color w:val="auto"/>
              </w:rPr>
            </w:pPr>
          </w:p>
        </w:tc>
        <w:tc>
          <w:tcPr>
            <w:tcW w:w="340" w:type="dxa"/>
            <w:vAlign w:val="bottom"/>
          </w:tcPr>
          <w:p>
            <w:pPr>
              <w:jc w:val="right"/>
              <w:ind w:right="15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203,464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(32,046)</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197,954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Cash convertible senior notes due 2019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embedded derivative</w:t>
            </w: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37,692</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Term loan facility</w:t>
            </w:r>
          </w:p>
        </w:tc>
        <w:tc>
          <w:tcPr>
            <w:tcW w:w="4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47,965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266,724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317,692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283,611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2"/>
              </w:rPr>
              <w:t>Principal Payment Schedule</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385"/>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2.125% Cash convertible senior notes due 2019 (a)</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Term loan facility (b)</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the potential impact of the embedded derivative.</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discussion regarding acceleration of maturity date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Term Loan Facility up to $100 Million</w:t>
      </w:r>
    </w:p>
    <w:p>
      <w:pPr>
        <w:spacing w:after="0" w:line="3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12, 2016 (the “Closing Date”), EZCORP, Inc. (as borrower) and certain of its subsidiaries (as guarantors) entered into a “Financing Agreement” with certain lenders (the “Lenders”) and Fortress Credit Co LLC (as collateral and administrative agent for the Lenders). The Financing Agreement provides for a senior secured credit facility in an aggregate principal amount of $100 million, subject to various terms and conditions contained in the Financing Agreement. The credit facility (“Term Loan Facility”) consists of an initial Term Loan of $50 million (“Initial Term Loan”) that was drawn on the Closing Date, and one or more “Delayed Draw Term Loans” of up to $50 million in the aggregate that may be drawn in whole or in part at any time and from time to time during the first 18 months from the Closing Date.</w:t>
      </w:r>
    </w:p>
    <w:p>
      <w:pPr>
        <w:spacing w:after="0" w:line="301"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Borrowings under the facility bear interest at an annual rate initially equal to the London Interbank Offered Rate (“LIBOR”) plus 7.5% or, at our election, a “Reference Rate” plus 6.5%, but will be reduced to LIBOR plus 6.5% or, at our election, the Reference Rate plus 5.5% upon the later of December 31, 2017 or the occurrence of a specified investment return event. The LIBOR is subject to a floor of 1% and the Reference Rate is subject to a floor of 3%. We pay a monthly fee of 2.75% per annum on the average daily unused portion of the Delayed Draw Term Loan facility and a quarterly loan servicing fee of $15,000. At the time of each draw under the Delayed Draw Term Loan facility, we will pay a funding fee of .875% of the funded Delayed Draw Term Loan.</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amounts outstanding under the new facility must be repaid on the Final Maturity Date, which will occur on September 12, 2022 (six years after the Closing Date); provided, however, that the Final Maturity Date will occur on May 15, 2019 if, on that date, more than 10% of our 2.125% Cash Convertible Senior Notes Due 2019 (“Cash Convertible Notes”) remain outstanding or there is no lender-approved plan to refinance any lesser outstanding amount of the Cash Convertible Notes. The facility is subject to mandatory prepayments upon the occurrence of certain specified events, such as asset sales, certain debt issuances, certain equity issuances, casualty and condemnation events and receipt of tax refunds or proceeds of settlements or judgments (subject to customary exceptions, materiality thresholds and reinvestment rights). We may voluntarily prepay the facility at any time subject to a prepayment premium of 2% during the first year after the Closing Date and 1% during the second year after the Closing Date.</w:t>
      </w:r>
    </w:p>
    <w:p>
      <w:pPr>
        <w:spacing w:after="0" w:line="12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Financing Agreement contains affirmative and negative covenants, indemnities, representations and warranties, and other terms and conditions customary for financings of this type, including limitations on certain indebtedness, liens, acquisitions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investments, fundamental changes (including mergers, consolidations and dissolutions), asset dispositions, dividends and other distributions, prepayments of other indebtedness, sale and leaseback transactions, and transactions with affiliates. The Financing Agreement also contains quarterly financial covenants consisting of a maximum Senior Leverage Ratio and a minimum Fixed Charge Coverage Ratio, as well as customary events of default. We were not in default of any of these covenants as of March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252525"/>
        </w:rPr>
        <w:t xml:space="preserve">In June 2014 ("Original Issuance Date"), we issued $200 million aggregate principal amount of 2.125% Cash Convertible </w:t>
      </w:r>
      <w:r>
        <w:rPr>
          <w:rFonts w:ascii="Arial" w:cs="Arial" w:eastAsia="Arial" w:hAnsi="Arial"/>
          <w:sz w:val="17"/>
          <w:szCs w:val="17"/>
          <w:color w:val="000000"/>
        </w:rPr>
        <w:t>Notes, with an additional $30</w:t>
      </w:r>
      <w:r>
        <w:rPr>
          <w:rFonts w:ascii="Arial" w:cs="Arial" w:eastAsia="Arial" w:hAnsi="Arial"/>
          <w:sz w:val="17"/>
          <w:szCs w:val="17"/>
          <w:color w:val="252525"/>
        </w:rPr>
        <w:t xml:space="preserve"> </w:t>
      </w:r>
      <w:r>
        <w:rPr>
          <w:rFonts w:ascii="Arial" w:cs="Arial" w:eastAsia="Arial" w:hAnsi="Arial"/>
          <w:sz w:val="17"/>
          <w:szCs w:val="17"/>
          <w:color w:val="000000"/>
        </w:rPr>
        <w:t xml:space="preserve">million principal amount of Cash Convertible Notes issued in July 2014. All of the Cash Convertible Notes were issued </w:t>
      </w:r>
      <w:r>
        <w:rPr>
          <w:rFonts w:ascii="Arial" w:cs="Arial" w:eastAsia="Arial" w:hAnsi="Arial"/>
          <w:sz w:val="17"/>
          <w:szCs w:val="17"/>
          <w:color w:val="252525"/>
        </w:rPr>
        <w:t>pursuant to an indenture dated June</w:t>
      </w:r>
      <w:r>
        <w:rPr>
          <w:rFonts w:ascii="Arial" w:cs="Arial" w:eastAsia="Arial" w:hAnsi="Arial"/>
          <w:sz w:val="17"/>
          <w:szCs w:val="17"/>
          <w:color w:val="000000"/>
        </w:rPr>
        <w:t xml:space="preserve"> </w:t>
      </w:r>
      <w:r>
        <w:rPr>
          <w:rFonts w:ascii="Arial" w:cs="Arial" w:eastAsia="Arial" w:hAnsi="Arial"/>
          <w:sz w:val="17"/>
          <w:szCs w:val="17"/>
          <w:color w:val="252525"/>
        </w:rPr>
        <w:t xml:space="preserve">23, 2014 (the "Indenture") by and between EZCORP and Wells Fargo Bank, National Association, as the trustee. The Cash Convertible Notes were issued in a private offering </w:t>
      </w:r>
      <w:r>
        <w:rPr>
          <w:rFonts w:ascii="Arial" w:cs="Arial" w:eastAsia="Arial" w:hAnsi="Arial"/>
          <w:sz w:val="17"/>
          <w:szCs w:val="17"/>
          <w:color w:val="000000"/>
        </w:rPr>
        <w:t>and resold under Rule 144A under the Securities Act of 1933.</w:t>
      </w:r>
      <w:r>
        <w:rPr>
          <w:rFonts w:ascii="Arial" w:cs="Arial" w:eastAsia="Arial" w:hAnsi="Arial"/>
          <w:sz w:val="17"/>
          <w:szCs w:val="17"/>
          <w:color w:val="252525"/>
        </w:rPr>
        <w:t xml:space="preserve"> The Cash Convertible Notes pay interest semi-annually in arrears at a rate of 2.125% per annum on June 15 and December 15 of each year and mature on June 15, 2019 (the "Maturity Date").</w:t>
      </w:r>
    </w:p>
    <w:p>
      <w:pPr>
        <w:spacing w:after="0" w:line="11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 cash equal to the principal amount of the Cash Convertible Notes plus unpaid accrued interest.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Embedded Derivative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account for the cash conversion feature of the Cash Convertible Notes as a separate derivative instrument (the “Cash Convertible Notes </w:t>
      </w:r>
      <w:r>
        <w:rPr>
          <w:rFonts w:ascii="Arial" w:cs="Arial" w:eastAsia="Arial" w:hAnsi="Arial"/>
          <w:sz w:val="17"/>
          <w:szCs w:val="17"/>
          <w:color w:val="252525"/>
        </w:rPr>
        <w:t>Embedded</w:t>
      </w:r>
      <w:r>
        <w:rPr>
          <w:rFonts w:ascii="Arial" w:cs="Arial" w:eastAsia="Arial" w:hAnsi="Arial"/>
          <w:sz w:val="17"/>
          <w:szCs w:val="17"/>
          <w:color w:val="auto"/>
        </w:rPr>
        <w:t xml:space="preserve"> </w:t>
      </w:r>
      <w:r>
        <w:rPr>
          <w:rFonts w:ascii="Arial" w:cs="Arial" w:eastAsia="Arial" w:hAnsi="Arial"/>
          <w:sz w:val="17"/>
          <w:szCs w:val="17"/>
          <w:color w:val="252525"/>
        </w:rPr>
        <w:t>Derivative</w:t>
      </w:r>
      <w:r>
        <w:rPr>
          <w:rFonts w:ascii="Arial" w:cs="Arial" w:eastAsia="Arial" w:hAnsi="Arial"/>
          <w:sz w:val="17"/>
          <w:szCs w:val="17"/>
          <w:color w:val="000000"/>
        </w:rPr>
        <w:t>”). The Cash Convertible Notes are convertible into cash, subject to satisfaction of certain conditions and during the periods described below, based</w:t>
      </w:r>
      <w:r>
        <w:rPr>
          <w:rFonts w:ascii="Arial" w:cs="Arial" w:eastAsia="Arial" w:hAnsi="Arial"/>
          <w:sz w:val="17"/>
          <w:szCs w:val="17"/>
          <w:color w:val="252525"/>
        </w:rPr>
        <w:t xml:space="preserve"> </w:t>
      </w:r>
      <w:r>
        <w:rPr>
          <w:rFonts w:ascii="Arial" w:cs="Arial" w:eastAsia="Arial" w:hAnsi="Arial"/>
          <w:sz w:val="17"/>
          <w:szCs w:val="17"/>
          <w:color w:val="000000"/>
        </w:rPr>
        <w:t>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6"/>
          <w:szCs w:val="16"/>
          <w:color w:val="252525"/>
        </w:rPr>
        <w:t>On or after December 15, 2018 until the close of business on the second scheduled trading day immediately</w:t>
      </w:r>
      <w:r>
        <w:rPr>
          <w:rFonts w:ascii="Arial" w:cs="Arial" w:eastAsia="Arial" w:hAnsi="Arial"/>
          <w:sz w:val="16"/>
          <w:szCs w:val="16"/>
          <w:color w:val="000000"/>
        </w:rPr>
        <w:t xml:space="preserve"> </w:t>
      </w:r>
      <w:r>
        <w:rPr>
          <w:rFonts w:ascii="Arial" w:cs="Arial" w:eastAsia="Arial" w:hAnsi="Arial"/>
          <w:sz w:val="16"/>
          <w:szCs w:val="16"/>
          <w:color w:val="252525"/>
        </w:rPr>
        <w:t>preceding the Maturity Date, holders may convert their notes into cash at any time, regardless of the foregoing circumstances.</w:t>
      </w:r>
    </w:p>
    <w:p>
      <w:pPr>
        <w:spacing w:after="0" w:line="11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none of the note holders had elected to convert their Cash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Cash Convertible Notes, we purchased cash-settled call options (the “Cash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Cash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14.3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Cash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Conversion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Price of the Cash Convertible Notes. The Cash Convertible Notes Hedges have </w:t>
      </w:r>
      <w:r>
        <w:rPr>
          <w:rFonts w:ascii="Arial" w:cs="Arial" w:eastAsia="Arial" w:hAnsi="Arial"/>
          <w:sz w:val="16"/>
          <w:szCs w:val="16"/>
          <w:color w:val="252525"/>
        </w:rPr>
        <w:t>an expiration date that is the same as the Maturity Date of the Cash</w:t>
      </w:r>
      <w:r>
        <w:rPr>
          <w:rFonts w:ascii="Arial" w:cs="Arial" w:eastAsia="Arial" w:hAnsi="Arial"/>
          <w:sz w:val="16"/>
          <w:szCs w:val="16"/>
          <w:color w:val="auto"/>
        </w:rPr>
        <w:t xml:space="preserve"> </w:t>
      </w:r>
      <w:r>
        <w:rPr>
          <w:rFonts w:ascii="Arial" w:cs="Arial" w:eastAsia="Arial" w:hAnsi="Arial"/>
          <w:sz w:val="16"/>
          <w:szCs w:val="16"/>
          <w:color w:val="252525"/>
        </w:rPr>
        <w:t>Convertible Notes, subject to earlier exercise</w:t>
      </w:r>
      <w:r>
        <w:rPr>
          <w:rFonts w:ascii="Arial" w:cs="Arial" w:eastAsia="Arial" w:hAnsi="Arial"/>
          <w:sz w:val="16"/>
          <w:szCs w:val="16"/>
          <w:color w:val="000000"/>
        </w:rPr>
        <w:t>. The Cash Convertible Notes Hedges have customary anti-dilution provisions similar to the Cash Convertible</w:t>
      </w:r>
      <w:r>
        <w:rPr>
          <w:rFonts w:ascii="Arial" w:cs="Arial" w:eastAsia="Arial" w:hAnsi="Arial"/>
          <w:sz w:val="16"/>
          <w:szCs w:val="16"/>
          <w:color w:val="252525"/>
        </w:rPr>
        <w:t xml:space="preserve"> </w:t>
      </w:r>
      <w:r>
        <w:rPr>
          <w:rFonts w:ascii="Arial" w:cs="Arial" w:eastAsia="Arial" w:hAnsi="Arial"/>
          <w:sz w:val="16"/>
          <w:szCs w:val="16"/>
          <w:color w:val="000000"/>
        </w:rPr>
        <w:t xml:space="preserve">Notes. </w:t>
      </w:r>
      <w:r>
        <w:rPr>
          <w:rFonts w:ascii="Arial" w:cs="Arial" w:eastAsia="Arial" w:hAnsi="Arial"/>
          <w:sz w:val="16"/>
          <w:szCs w:val="16"/>
          <w:color w:val="252525"/>
        </w:rPr>
        <w:t>If we exercise the Cash Convertible Notes</w:t>
      </w:r>
      <w:r>
        <w:rPr>
          <w:rFonts w:ascii="Arial" w:cs="Arial" w:eastAsia="Arial" w:hAnsi="Arial"/>
          <w:sz w:val="16"/>
          <w:szCs w:val="16"/>
          <w:color w:val="000000"/>
        </w:rPr>
        <w:t xml:space="preserve"> Hedges</w:t>
      </w:r>
      <w:r>
        <w:rPr>
          <w:rFonts w:ascii="Arial" w:cs="Arial" w:eastAsia="Arial" w:hAnsi="Arial"/>
          <w:sz w:val="16"/>
          <w:szCs w:val="16"/>
          <w:color w:val="252525"/>
        </w:rPr>
        <w:t>, the aggregate amount of cash we will receive from the option counterparties to the Cash</w:t>
      </w:r>
      <w:r>
        <w:rPr>
          <w:rFonts w:ascii="Arial" w:cs="Arial" w:eastAsia="Arial" w:hAnsi="Arial"/>
          <w:sz w:val="16"/>
          <w:szCs w:val="16"/>
          <w:color w:val="000000"/>
        </w:rPr>
        <w:t xml:space="preserve"> </w:t>
      </w:r>
      <w:r>
        <w:rPr>
          <w:rFonts w:ascii="Arial" w:cs="Arial" w:eastAsia="Arial" w:hAnsi="Arial"/>
          <w:sz w:val="16"/>
          <w:szCs w:val="16"/>
          <w:color w:val="252525"/>
        </w:rPr>
        <w:t xml:space="preserve">Convertible Notes </w:t>
      </w:r>
      <w:r>
        <w:rPr>
          <w:rFonts w:ascii="Arial" w:cs="Arial" w:eastAsia="Arial" w:hAnsi="Arial"/>
          <w:sz w:val="16"/>
          <w:szCs w:val="16"/>
          <w:color w:val="000000"/>
        </w:rPr>
        <w:t>Hedges</w:t>
      </w:r>
      <w:r>
        <w:rPr>
          <w:rFonts w:ascii="Arial" w:cs="Arial" w:eastAsia="Arial" w:hAnsi="Arial"/>
          <w:sz w:val="16"/>
          <w:szCs w:val="16"/>
          <w:color w:val="252525"/>
        </w:rPr>
        <w:t xml:space="preserve"> will cover the aggregate amount of cash that we would be required to pay to the holders of the converted Cash Convertible Notes, less the principal amount thereof. </w:t>
      </w:r>
      <w:r>
        <w:rPr>
          <w:rFonts w:ascii="Arial" w:cs="Arial" w:eastAsia="Arial" w:hAnsi="Arial"/>
          <w:sz w:val="16"/>
          <w:szCs w:val="16"/>
          <w:color w:val="000000"/>
        </w:rPr>
        <w:t>As of March 31, 2017, we have not purchased any shares under the Cash Convertible Notes Hedges.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The Cash Convertible Notes Embedded Derivative liability and the Cash Convertible Notes Hedges asset will be adjusted to fair value each reporting period and unrealized gains and losses will be reflected in the condensed consolidated statements of operations. The Cash Convertible Notes Embedded Derivative and the Cash Convertible Notes Hedges are designed to have similar fair values. Accordingly, the changes in the fair values of these instruments are expected to offset and not have a net impact on the condensed consolidated statements of operations. See Note 4 for discussion of fair value of the Cash Convertible Notes Embedded Derivative liability and the Cash Convertible Notes Hedges asset.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March 31, 2017, there were 14.3 million warrants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 COMPENSATION</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May 1, 2010 our Board of Directors approved the adoption of the EZCORP, Inc. 2010 Long-Term Incentive Plan (the “2010 Plan”). As of September 30, 2016, the 2010 Plan permitted grants of options, restricted stock awards and stock appreciation rights covering up to 3,485,649 shares of our Class A Common Stock. In December 2016, the Board of Directors and the voting stockholder approved the addition of 500,000 shares to the 2010 Plan.</w:t>
      </w:r>
    </w:p>
    <w:p>
      <w:pPr>
        <w:spacing w:after="0" w:line="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November and December 2016, we granted 919,898 restricted stock unit awards to employees and 72,500 restricted stock awards to non-employee directors with a grant date fair value of primarily $9.60 per share. The awards granted to employees vest on September 30, 2019 subject to the achievement of certain performance targets. As of March 31, 2017, we considered the achievement of these performance targets probable. The awards granted to non-employee directors vest over two years, 50% on September 30, 2017 and 50% on September 30, 2018 and are subject only to service conditions.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CONTINGENCIES</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March 31, 2017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3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March 4, 2016, the plaintiff filed a Second Amended Derivative Complaint against Mr. Roberts, Mr. Cohen, Madison Park, MS Pawn Corporation and MS Pawn Limited Partnership with EZCORP, Inc., as nominal defendant. The case is now in the discovery stage.</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Federal securities litigation (SDNY) </w:t>
      </w:r>
      <w:r>
        <w:rPr>
          <w:rFonts w:ascii="Arial" w:cs="Arial" w:eastAsia="Arial" w:hAnsi="Arial"/>
          <w:sz w:val="18"/>
          <w:szCs w:val="18"/>
          <w:color w:val="auto"/>
        </w:rPr>
        <w:t>— On August 22, 2014, Jason Close,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That lawsuit named as defendants EZCORP, Inc., Paul. E. Rothamel (the Company's former Chief Executive Officer) and Mark Kuchenrither (the Company's former Chief Financial Officer). That lawsuit was consolidated with a similar lawsuit filed in the same court on October 17, 2014 by the Automotive Machinists Pension Plan and styled </w:t>
      </w:r>
      <w:r>
        <w:rPr>
          <w:rFonts w:ascii="Arial" w:cs="Arial" w:eastAsia="Arial" w:hAnsi="Arial"/>
          <w:sz w:val="18"/>
          <w:szCs w:val="18"/>
          <w:i w:val="1"/>
          <w:iCs w:val="1"/>
          <w:color w:val="auto"/>
        </w:rPr>
        <w:t>Automotive Machinists Pension Plan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EZCORP, Inc., et al. </w:t>
      </w:r>
      <w:r>
        <w:rPr>
          <w:rFonts w:ascii="Arial" w:cs="Arial" w:eastAsia="Arial" w:hAnsi="Arial"/>
          <w:sz w:val="18"/>
          <w:szCs w:val="18"/>
          <w:color w:val="auto"/>
        </w:rPr>
        <w:t>(Case No. 1:14-cv-8349-ALC). On November 18, 2014, the court consolidated the two lawsuits under the caption</w:t>
      </w:r>
      <w:r>
        <w:rPr>
          <w:rFonts w:ascii="Arial" w:cs="Arial" w:eastAsia="Arial" w:hAnsi="Arial"/>
          <w:sz w:val="18"/>
          <w:szCs w:val="18"/>
          <w:i w:val="1"/>
          <w:iCs w:val="1"/>
          <w:color w:val="auto"/>
        </w:rPr>
        <w:t xml:space="preserve"> In Re EZCORP, Inc. Securities Litigation </w:t>
      </w:r>
      <w:r>
        <w:rPr>
          <w:rFonts w:ascii="Arial" w:cs="Arial" w:eastAsia="Arial" w:hAnsi="Arial"/>
          <w:sz w:val="18"/>
          <w:szCs w:val="18"/>
          <w:color w:val="auto"/>
        </w:rPr>
        <w:t>(Case No. 1:14-cv-06834-ALC).</w:t>
      </w:r>
    </w:p>
    <w:p>
      <w:pPr>
        <w:spacing w:after="0" w:line="1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Amended Class Action Complaint asserted violations of Sections 10(b) and 20(a) of the Securities Exchange Act of 1934, as well as Rule 10b-5 promulgated thereunder, alleging generally that:</w:t>
      </w:r>
    </w:p>
    <w:p>
      <w:pPr>
        <w:spacing w:after="0" w:line="116" w:lineRule="exact"/>
        <w:rPr>
          <w:sz w:val="20"/>
          <w:szCs w:val="20"/>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EZCORP and the officer defendants issued false and misleading statements and omissions regarding the Company's online lending operations in the U.K. (Cash Genie) and Cash Genie's compliance history;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64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(as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March 31, 2016, the Court, in response to the defendants' motions to dismiss, dismissed the Section 10(b) and Rule 10b-5 claims insofar as they were based on (1) the alleged misstatements about the nature of and approval process related to the Company's consulting relationship with Madison Park, (2) the alleged misstatements regarding the impairment of the Company's investment in Albemarle &amp; Bond, and (3) some of the alleged misstatements about Cash Genie. The Section 10(b) and Rule 10b-5 claims survived the motions to dismiss insofar as they were based on certain alleged misstatements about Cash Genie. The Section 20(a) claims also survived the motions to dismiss.</w:t>
      </w:r>
    </w:p>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November 23, 2016, the parties agreed to a mediated settlement of all remaining claims. The settlement provides for the payment of $5.9 million by the defendants, which was covered by applicable directors’ and officers’ liability insurance. Following a Settlement Hearing on April 25, 2017, the Court entered an order to approve the settlement and dismiss the case.</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Federal Securities Litigation (WDT) </w:t>
      </w:r>
      <w:r>
        <w:rPr>
          <w:rFonts w:ascii="Arial" w:cs="Arial" w:eastAsia="Arial" w:hAnsi="Arial"/>
          <w:sz w:val="18"/>
          <w:szCs w:val="18"/>
          <w:color w:val="auto"/>
        </w:rPr>
        <w:t>— On July 20, 2015, Wu Winfred Huang,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Western District of Texas styled </w:t>
      </w:r>
      <w:r>
        <w:rPr>
          <w:rFonts w:ascii="Arial" w:cs="Arial" w:eastAsia="Arial" w:hAnsi="Arial"/>
          <w:sz w:val="18"/>
          <w:szCs w:val="18"/>
          <w:i w:val="1"/>
          <w:iCs w:val="1"/>
          <w:color w:val="auto"/>
        </w:rPr>
        <w:t>Huang v. EZCORP, Inc., et al.</w:t>
      </w:r>
      <w:r>
        <w:rPr>
          <w:rFonts w:ascii="Arial" w:cs="Arial" w:eastAsia="Arial" w:hAnsi="Arial"/>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3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 The motion to dismiss is currently pending before the Court.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defend vigorously against all allegations and claims.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SEC Investigation </w:t>
      </w:r>
      <w:r>
        <w:rPr>
          <w:rFonts w:ascii="Arial" w:cs="Arial" w:eastAsia="Arial" w:hAnsi="Arial"/>
          <w:sz w:val="18"/>
          <w:szCs w:val="18"/>
          <w:color w:val="auto"/>
        </w:rPr>
        <w:t>— On October 23, 2014, we received a notice from the Fort Worth Regional Office of the SEC that it was conducting an investigation into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matters involving EZCORP, Inc. The notice was accompanied by a subpoena, directing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122" w:right="3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report our segments as follows: U.S. Pawn — all pawn activities in the United States, Mexico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condensed consolidated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Three Months Ended March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95,550</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14,688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110,238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110,238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10,219</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67,092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164,323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189,628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189,628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70,493</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95,934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109,897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109,897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8,901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74,460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74,460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97"/>
        </w:trPr>
        <w:tc>
          <w:tcPr>
            <w:tcW w:w="4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29,725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33,589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13,680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3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2016</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94,740</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14,603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109,343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109,343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64,130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3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163,002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188,212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188,212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11,085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94,633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108,364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108,364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72,256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gridSpan w:val="2"/>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33,166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430"/>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March 31, 2017</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190,411</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31,340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221,751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221,751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120,706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136,105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136,105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3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329,125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382,252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142,225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142,225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192,938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221,862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221,862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130,906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152,106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152,106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56,838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7,451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66,225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430"/>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Six Months Ended March 31, 2016</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186,734</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31,189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217,927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217,927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115,235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130,724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130,724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323,410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375,769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375,769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134,591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7"/>
        </w:trPr>
        <w:tc>
          <w:tcPr>
            <w:tcW w:w="378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191,520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220,974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220,974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124,785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148,274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148,274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35,604</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Equity in net income of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58,474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Income from continuing operations before income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65,695</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(49,784)</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15,911</w:t>
            </w:r>
          </w:p>
        </w:tc>
        <w:tc>
          <w:tcPr>
            <w:tcW w:w="0" w:type="dxa"/>
            <w:vAlign w:val="bottom"/>
          </w:tcPr>
          <w:p>
            <w:pPr>
              <w:spacing w:after="0"/>
              <w:rPr>
                <w:sz w:val="1"/>
                <w:szCs w:val="1"/>
                <w:color w:val="auto"/>
              </w:rPr>
            </w:pPr>
          </w:p>
        </w:tc>
      </w:tr>
      <w:tr>
        <w:trPr>
          <w:trHeight w:val="242"/>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vMerge w:val="restart"/>
          </w:tcPr>
          <w:p>
            <w:pPr>
              <w:jc w:val="right"/>
              <w:ind w:right="1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160"/>
        <w:spacing w:after="0" w:line="440" w:lineRule="auto"/>
        <w:rPr>
          <w:sz w:val="20"/>
          <w:szCs w:val="20"/>
          <w:color w:val="auto"/>
        </w:rPr>
      </w:pPr>
      <w:r>
        <w:rPr>
          <w:rFonts w:ascii="Arial" w:cs="Arial" w:eastAsia="Arial" w:hAnsi="Arial"/>
          <w:sz w:val="18"/>
          <w:szCs w:val="18"/>
          <w:b w:val="1"/>
          <w:bCs w:val="1"/>
          <w:color w:val="auto"/>
        </w:rPr>
        <w:t xml:space="preserve">NOTE 9: SUPPLEMENTAL CONSOLIDATED FINANCIAL INFORMATION AND DISCONTINUED OPERATIONS </w:t>
      </w:r>
      <w:r>
        <w:rPr>
          <w:rFonts w:ascii="Arial" w:cs="Arial" w:eastAsia="Arial" w:hAnsi="Arial"/>
          <w:sz w:val="18"/>
          <w:szCs w:val="18"/>
          <w:b w:val="1"/>
          <w:bCs w:val="1"/>
          <w:i w:val="1"/>
          <w:iCs w:val="1"/>
          <w:color w:val="auto"/>
        </w:rPr>
        <w:t>Supplemental Consolidated Financial Information</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 with additional comparative information as of March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2016</w:t>
            </w:r>
          </w:p>
        </w:tc>
      </w:tr>
      <w:tr>
        <w:trPr>
          <w:trHeight w:val="318"/>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143,267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167,329</w:t>
            </w:r>
          </w:p>
        </w:tc>
      </w:tr>
      <w:tr>
        <w:trPr>
          <w:trHeight w:val="122"/>
        </w:trPr>
        <w:tc>
          <w:tcPr>
            <w:tcW w:w="7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(10,396)</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27,626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31,062</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(6,143)</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137,008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126,446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140,224</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(151,854)</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53,630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63,575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58,455</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September 2016 we completed the previously announced sale of all of our interests in Grupo Finmart to AlphaCredit. The information presented below includes the assets, liabilities, revenues and expenses of variable interest entities which were deconsolidated as a result of the sale of Grupo Finmart.</w:t>
      </w:r>
    </w:p>
    <w:p>
      <w:pPr>
        <w:spacing w:after="0" w:line="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table presents the reconciliation of the major line items constituting "Loss from discontinued operations, net of tax" of Grupo Finmart and other operations discontinued prior to the adoption of ASU 2014-08 that are presented in the condensed consolidated statements of operations: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8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March 31, 2016</w:t>
            </w:r>
          </w:p>
        </w:tc>
      </w:tr>
      <w:tr>
        <w:trPr>
          <w:trHeight w:val="385"/>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4"/>
          </w:tcPr>
          <w:p>
            <w:pPr>
              <w:jc w:val="right"/>
              <w:ind w:right="97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(20,243)</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(90,858)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(9,312)</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other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 of Grupo Finmart</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(97,466)</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w w:val="95"/>
              </w:rPr>
              <w:t>Loss from discontinued operations, net of tax of operations discontinued prior to the adoption of ASU 2014-08*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(89,935)</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8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of Grupo Finmart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(88,603)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Grupo Finmart attributable to noncontrolling interest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5,600</w:t>
            </w: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of Grupo Finmart attributable to EZCORP,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(83,003)</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revenues of $2.1 million for the three and six months ended March 31, 2016.</w:t>
      </w:r>
    </w:p>
    <w:p>
      <w:pPr>
        <w:spacing w:after="0" w:line="16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Cash flows from Grupo Finmart operating and investing activities for the three months ended March 31, 2016 were $0.6 million and $5.9 million, respectively, and $7.1 million and $0.2 million, respectively for the six months ended March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300"/>
        <w:spacing w:after="0" w:line="464" w:lineRule="auto"/>
        <w:rPr>
          <w:sz w:val="20"/>
          <w:szCs w:val="20"/>
          <w:color w:val="auto"/>
        </w:rPr>
      </w:pPr>
      <w:r>
        <w:rPr>
          <w:rFonts w:ascii="Arial" w:cs="Arial" w:eastAsia="Arial" w:hAnsi="Arial"/>
          <w:sz w:val="17"/>
          <w:szCs w:val="17"/>
          <w:color w:val="auto"/>
        </w:rPr>
        <w:t xml:space="preserve">2016, with immaterial cash flows from Grupo Finmart operating and investing activities for the three and six months ended March 31, 2017. </w:t>
      </w:r>
      <w:r>
        <w:rPr>
          <w:rFonts w:ascii="Arial" w:cs="Arial" w:eastAsia="Arial" w:hAnsi="Arial"/>
          <w:sz w:val="17"/>
          <w:szCs w:val="17"/>
          <w:b w:val="1"/>
          <w:bCs w:val="1"/>
          <w:color w:val="auto"/>
        </w:rPr>
        <w:t>ITEM 2. MANAGEMENT'S DISCUSSION AND ANALYSIS OF FINANCIAL CONDITION AND RESULTS OPERATIONS</w:t>
      </w:r>
    </w:p>
    <w:p>
      <w:pPr>
        <w:spacing w:after="0" w:line="291"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Arial" w:cs="Arial" w:eastAsia="Arial" w:hAnsi="Arial"/>
          <w:sz w:val="16"/>
          <w:szCs w:val="16"/>
          <w:color w:val="auto"/>
        </w:rPr>
        <w:t>— Risk Factors" of our Annual Report on Form 10-K for the year ended September 30, 2016, as supplemented by the information set forth in “Part I, Item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Quantitative and Qualitative Disclosures about Market Risk” and "Part II, Item 1 — Legal Proceedings" of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EZCORP is a Delaware corporation headquartered in Austin, Texas. We are a leading provider of pawn loans in the United States and Mexico.</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charts present sources of net revenues including merchandise sales and jewelry scrapping gross profit ("GP") and pawn service charges ("PSC"):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48985" cy="237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5848985" cy="2375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our pawn stores, we offer secured loans, which are typically small, non-recourse loans collateralized by tangible personal property. We earn pawn service charge revenue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 the U.S. involve gold and jewelry, our results can be heavily influenced by the market price of gold.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We believe there are growth opportunities with de novo stores in Mexico and pawn store acquisitions in both Mexico and in the U.S. Our ability to add new stores is dependent on several variables, such as the availability of acceptable sites or acquisition candidates, the regulatory environment, local zoning ordinances, access to capital, availability of qualified personnel and the attainment of internal return on investment hurdles.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in our third fiscal quarter, with balances peaking in our fourth and first fiscal quarters. Loan balances are generally lower in our second fiscal quarter. Merchandise sales are highest in the first and second fiscal quarters (October through March) due to the holiday season, jewelry sales surrounding Valentine’s Day and the availability of tax refunds in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5"/>
              </w:rPr>
              <w:t>Three Months Ended March 31, 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1"/>
              </w:rPr>
              <w:t>Company-owned Stores</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Mexico Pawn</w:t>
            </w: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28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8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As of March 31, 2017</w:t>
            </w:r>
          </w:p>
        </w:tc>
        <w:tc>
          <w:tcPr>
            <w:tcW w:w="1820" w:type="dxa"/>
            <w:vAlign w:val="bottom"/>
          </w:tcPr>
          <w:p>
            <w:pPr>
              <w:spacing w:after="0"/>
              <w:rPr>
                <w:sz w:val="20"/>
                <w:szCs w:val="20"/>
                <w:color w:val="auto"/>
              </w:rPr>
            </w:pPr>
          </w:p>
        </w:tc>
        <w:tc>
          <w:tcPr>
            <w:tcW w:w="10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vMerge w:val="restart"/>
          </w:tcPr>
          <w:p>
            <w:pPr>
              <w:jc w:val="right"/>
              <w:ind w:right="150"/>
              <w:spacing w:after="0"/>
              <w:rPr>
                <w:sz w:val="20"/>
                <w:szCs w:val="20"/>
                <w:color w:val="auto"/>
              </w:rPr>
            </w:pPr>
            <w:r>
              <w:rPr>
                <w:rFonts w:ascii="Arial" w:cs="Arial" w:eastAsia="Arial" w:hAnsi="Arial"/>
                <w:sz w:val="18"/>
                <w:szCs w:val="18"/>
                <w:color w:val="auto"/>
              </w:rPr>
              <w:t>24</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44"/>
        </w:trPr>
        <w:tc>
          <w:tcPr>
            <w:tcW w:w="102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5"/>
              </w:rPr>
              <w:t>Three Months Ended March 31, 2016</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Company-owned Stores</w:t>
            </w: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138"/>
              <w:spacing w:after="0"/>
              <w:rPr>
                <w:sz w:val="20"/>
                <w:szCs w:val="20"/>
                <w:color w:val="auto"/>
              </w:rPr>
            </w:pPr>
            <w:r>
              <w:rPr>
                <w:rFonts w:ascii="Arial" w:cs="Arial" w:eastAsia="Arial" w:hAnsi="Arial"/>
                <w:sz w:val="14"/>
                <w:szCs w:val="14"/>
                <w:b w:val="1"/>
                <w:bCs w:val="1"/>
                <w:color w:val="auto"/>
              </w:rPr>
              <w:t>Mexico Pawn</w:t>
            </w:r>
          </w:p>
        </w:tc>
        <w:tc>
          <w:tcPr>
            <w:tcW w:w="340" w:type="dxa"/>
            <w:vAlign w:val="bottom"/>
          </w:tcPr>
          <w:p>
            <w:pPr>
              <w:spacing w:after="0"/>
              <w:rPr>
                <w:sz w:val="22"/>
                <w:szCs w:val="22"/>
                <w:color w:val="auto"/>
              </w:rPr>
            </w:pPr>
          </w:p>
        </w:tc>
        <w:tc>
          <w:tcPr>
            <w:tcW w:w="17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10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4660" w:type="dxa"/>
            <w:vAlign w:val="bottom"/>
            <w:gridSpan w:val="2"/>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five buy/sell stores which were converted to Mexico Pawn stores during the three months ended March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left="38"/>
              <w:spacing w:after="0"/>
              <w:rPr>
                <w:sz w:val="20"/>
                <w:szCs w:val="20"/>
                <w:color w:val="auto"/>
              </w:rPr>
            </w:pPr>
            <w:r>
              <w:rPr>
                <w:rFonts w:ascii="Arial" w:cs="Arial" w:eastAsia="Arial" w:hAnsi="Arial"/>
                <w:sz w:val="14"/>
                <w:szCs w:val="14"/>
                <w:b w:val="1"/>
                <w:bCs w:val="1"/>
                <w:color w:val="auto"/>
                <w:w w:val="94"/>
              </w:rPr>
              <w:t>Six Months Ended March 31, 2017</w:t>
            </w:r>
          </w:p>
        </w:tc>
        <w:tc>
          <w:tcPr>
            <w:tcW w:w="124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1"/>
              </w:rPr>
              <w:t>Company-owned Stores</w:t>
            </w:r>
          </w:p>
        </w:tc>
        <w:tc>
          <w:tcPr>
            <w:tcW w:w="124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Consolidated</w:t>
            </w:r>
          </w:p>
        </w:tc>
      </w:tr>
      <w:tr>
        <w:trPr>
          <w:trHeight w:val="121"/>
        </w:trPr>
        <w:tc>
          <w:tcPr>
            <w:tcW w:w="60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As of September 30,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As of March 31, 2017</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w:t>
            </w:r>
          </w:p>
        </w:tc>
      </w:tr>
      <w:tr>
        <w:trPr>
          <w:trHeight w:val="27"/>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Six Months Ended March 31, 2016</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Company-owned Stores</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140" w:type="dxa"/>
            <w:vAlign w:val="bottom"/>
          </w:tcPr>
          <w:p>
            <w:pPr>
              <w:jc w:val="right"/>
              <w:ind w:right="16"/>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five buy/sell stores which were converted to Mexico Pawn stores during the three months ended March 31, 2016.</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2017 vs. Three Months Ended March 31, 2016</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59,661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56,614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95,550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94,740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35,051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36,499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11,599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(22)%</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(21)%</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14%</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95,934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94,633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324"/>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63,556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61,240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3,042</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29,718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30,351</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(income) expenses</w:t>
            </w:r>
          </w:p>
        </w:tc>
        <w:tc>
          <w:tcPr>
            <w:tcW w:w="3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676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29,725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29,675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245,323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231,956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 (b)</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Inventory turnover — jewelry (b)</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 (d)</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80" w:hanging="345"/>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ectPr>
          <w:pgSz w:w="11900" w:h="16838" w:orient="portrait"/>
          <w:cols w:equalWidth="0" w:num="1">
            <w:col w:w="11420"/>
          </w:cols>
          <w:pgMar w:left="240" w:top="121"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revenue increased $1.3 million, or 1%. The increase in net revenue attributable to same stores and new stores added since the prior-year quarter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15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7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tcPr>
          <w:p>
            <w:pPr>
              <w:ind w:left="40"/>
              <w:spacing w:after="0"/>
              <w:rPr>
                <w:sz w:val="20"/>
                <w:szCs w:val="20"/>
                <w:color w:val="auto"/>
              </w:rPr>
            </w:pPr>
            <w:r>
              <w:rPr>
                <w:rFonts w:ascii="Arial" w:cs="Arial" w:eastAsia="Arial" w:hAnsi="Arial"/>
                <w:sz w:val="18"/>
                <w:szCs w:val="18"/>
                <w:color w:val="auto"/>
              </w:rPr>
              <w:t>Change in jewelery scrapping sales gross profit and other revenues</w:t>
            </w: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Pawn service charges increased 5% primarily due to an increase in average pawn loan balances outstanding during the quarter, driven by continued intense focus on market leadership in meeting our customers' desire for cash.</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Merchandise sales increased 1% with gross margin on merchandise sales of 37%, consistent with recent prior quarters and within our target range of 35-38%, but 200bps lower than the prior-year quarter. As a result, merchandise sales gross profit decreased 4% to $35.1 million.</w:t>
      </w:r>
    </w:p>
    <w:p>
      <w:pPr>
        <w:spacing w:after="0" w:line="11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Jewelry scrapping sales gross profit remained relatively flat at 1% of current quarter net revenues, in-line with our strategy to sell rather than scrap merchandise. Jewelry scrapping margins were stable.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maintained a consistent level of total segment expenses at 40% of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exchange rate as of March 31, 2017 and 2016 was 18.7 to 1</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and 17.3 to 1, respectively. The approximate average exchange rate for the three months ended March 31, 2017 and 2016 was 20.4 to 1 and 18.0 to 1. The approximate average exchange rate for the six months ended March 31, 2017 and 2016 was 20.1 to 1 and 17.4 to 1, respectively, however our statement of operations constant currency results reflect the impact of monthly effects of exchange rates and so are not directly calculable from the above rates. Constant currency results, where presented, also exclude the foreign currency gain or loss and the related foreign currency derivative gain or loss impact. We have experienced a prolonged weakening of the Mexican peso to the U.S. dollar and may continue to experience further weakening in future reporting periods, which may adversely impact our future operating results when stated on a GAAP basis.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right"/>
              <w:ind w:right="77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2017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2016 (GAAP)</w:t>
            </w: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2017 (Constant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Change (Constant</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Currency)</w:t>
            </w: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4"/>
          </w:tcPr>
          <w:p>
            <w:pPr>
              <w:jc w:val="right"/>
              <w:ind w:right="572"/>
              <w:spacing w:after="0"/>
              <w:rPr>
                <w:sz w:val="20"/>
                <w:szCs w:val="20"/>
                <w:color w:val="auto"/>
              </w:rPr>
            </w:pPr>
            <w:r>
              <w:rPr>
                <w:rFonts w:ascii="Arial" w:cs="Arial" w:eastAsia="Arial" w:hAnsi="Arial"/>
                <w:sz w:val="14"/>
                <w:szCs w:val="14"/>
                <w:i w:val="1"/>
                <w:iCs w:val="1"/>
                <w:color w:val="auto"/>
              </w:rPr>
              <w:t>(in USD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7,516</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8,377</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14,603</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16,612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4,513</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5,299</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1,181</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1,300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169</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12,136</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14,081</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8,901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9,024</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10,076</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764</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2,348</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3,257</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segment (income) expenses (a)</w:t>
            </w:r>
          </w:p>
        </w:tc>
        <w:tc>
          <w:tcPr>
            <w:tcW w:w="1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277</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(292)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2,071</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3,549</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34,926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34,655</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37,876</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w w:val="94"/>
              </w:rPr>
              <w:t>Average monthly ending pawn loan balance per store (d)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loan redemption rate (e)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300" w:hanging="345"/>
        <w:spacing w:after="0" w:line="25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three months ended March 31, 2017 constant currency balance excludes nominal net foreign currency transaction gains resulting from movement in exchange rates. The three months ended March 31, 2016 includes net foreign currency transaction gains totaling $0.1 million that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Mexico market continues to be fast-growing and we have plans to open an additional eight de novo stores during the remainder of fiscal 2017. Net revenue increased $0.3 million, or 3% (up $1.9 million, or 16%, on a constant currency basis). The increase in net revenue attributable to same stores and new stores added since the prior-year quarter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Change in Net Revenue</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15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7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40" w:type="dxa"/>
            <w:vAlign w:val="bottom"/>
          </w:tcPr>
          <w:p>
            <w:pPr>
              <w:spacing w:after="0"/>
              <w:rPr>
                <w:sz w:val="13"/>
                <w:szCs w:val="13"/>
                <w:color w:val="auto"/>
              </w:rPr>
            </w:pPr>
          </w:p>
        </w:tc>
        <w:tc>
          <w:tcPr>
            <w:tcW w:w="10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8"/>
              </w:rPr>
              <w:t>(in millions)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tcPr>
          <w:p>
            <w:pPr>
              <w:ind w:left="40"/>
              <w:spacing w:after="0"/>
              <w:rPr>
                <w:sz w:val="20"/>
                <w:szCs w:val="20"/>
                <w:color w:val="auto"/>
              </w:rPr>
            </w:pPr>
            <w:r>
              <w:rPr>
                <w:rFonts w:ascii="Arial" w:cs="Arial" w:eastAsia="Arial" w:hAnsi="Arial"/>
                <w:sz w:val="18"/>
                <w:szCs w:val="18"/>
                <w:color w:val="auto"/>
              </w:rPr>
              <w:t>Change in jewelery scrapping sales gross profit and other revenues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353"/>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15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7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40" w:type="dxa"/>
            <w:vAlign w:val="bottom"/>
          </w:tcPr>
          <w:p>
            <w:pPr>
              <w:spacing w:after="0"/>
              <w:rPr>
                <w:sz w:val="13"/>
                <w:szCs w:val="13"/>
                <w:color w:val="auto"/>
              </w:rPr>
            </w:pPr>
          </w:p>
        </w:tc>
        <w:tc>
          <w:tcPr>
            <w:tcW w:w="10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8"/>
              </w:rPr>
              <w:t>(in millions)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tcPr>
          <w:p>
            <w:pPr>
              <w:ind w:left="40"/>
              <w:spacing w:after="0"/>
              <w:rPr>
                <w:sz w:val="20"/>
                <w:szCs w:val="20"/>
                <w:color w:val="auto"/>
              </w:rPr>
            </w:pPr>
            <w:r>
              <w:rPr>
                <w:rFonts w:ascii="Arial" w:cs="Arial" w:eastAsia="Arial" w:hAnsi="Arial"/>
                <w:sz w:val="18"/>
                <w:szCs w:val="18"/>
                <w:color w:val="auto"/>
              </w:rPr>
              <w:t>Change in jewelery scrapping sales gross profit and other revenues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Pawn service charges were down 1% (up 11% on a constant currency basis) primarily as a result of same store growth, offset by foreign currency impacts. We experienced an increase in average pawn loan balances outstanding during the quarter, driven by continued intense focus on market leadership in meeting our customers' desire for cash, offset by foreign currency impacts.</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Merchandise sales increased 1% (up 14% on a constant currency basis), with gross margin on merchandise sales of 32%, consistent with recent prior quarters, and 100bps higher than the prior-year quarter. Merchandise sales gross profit increased 4% to $4.7 million (up 17% to $5.3 million on a constant currency basis).</w:t>
      </w:r>
    </w:p>
    <w:p>
      <w:pPr>
        <w:spacing w:after="0" w:line="12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Segment operating expenses decreased to $9.2 million, or 39% of revenues ($10.5 million on a constant currency basis, or 40% of revenues), from $10.1 million or 43% of revenues, primarily due to $0.3 million in interest income on a GAAP basis recorded during the current quarter on outstanding notes receivable. Additionally, we incurred approximately $0.5 million in losses, net of insurance recoveries, on a GAAP basis associated with looting of 12 stores during the current quarter as well as nominal increased security costs (approximately $0.1 million increase on a constant currency basis).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gridSpan w:val="3"/>
          </w:tcPr>
          <w:p>
            <w:pPr>
              <w:jc w:val="right"/>
              <w:ind w:right="51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2,027</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1,595</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2,048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(1,243)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(1,877)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(34)%</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1,424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10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1,420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decreased $0.8 million, or 56%, primarily due to a decrease in earnings from Cash Converters International.</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fair value of our investment in Cash Converters International was $1.2 million below its carrying value as of March 31, 2017 and such fair value has continued to decline through the date of this filing. We have taken impairment charges on such investment in prior periods and continue to monitor the fair value of our investment for other-than-temporary impairments in future reporting periods. We may record an impairment charge should the fair value of our investment remain below its carrying value for an extended period of time.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33,166</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15,621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2,744</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3,874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8,427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(78,250)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EZCORP,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decreased $2.3 million, or 15%, due primarily to:</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$2.1 million decrease in business and professional fees due to completion of remediation efforts in the prior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$0.4 million reduction in labors costs including the impact of corporate headcount reductions.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Interest expense increased $1.8 million, or 45%, as a result of our Term Loan Facility obtained in September 2016, including accruals of interest in addition to amortization of associated discounts and deferred financings costs. Interest income increased $1.9 million as a result of our notes receivable from the sale of Grupo Finmart, including ordinary accruals of interest in addition to accretion of associated discounts.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decreased $3.0 million, from $8.4 million in the prior-year quarter to $5.4 million in the current quarter, due to discrete tax expense of</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$3.7 million recorded in the prior-year quarter related to a change in estimate of our fiscal 2015 tax provision, offset by the impacts of a $2.9 million increase in income from continuing operations before income taxes. Income tax expense includes other items that do not necessarily correspond to pre-tax earnings and create volatility in our effective tax rate, of which no items were material during the current quarter.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have substantially eliminated activities associated with our discontinued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March 31, 2017 vs. Six Months Ended March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120,706</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115,235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190,411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186,734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69,664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73,032</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r>
      <w:tr>
        <w:trPr>
          <w:trHeight w:val="243"/>
        </w:trPr>
        <w:tc>
          <w:tcPr>
            <w:tcW w:w="6580" w:type="dxa"/>
            <w:vAlign w:val="bottom"/>
          </w:tcPr>
          <w:p>
            <w:pPr>
              <w:ind w:left="48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(200)bps</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Jewelry scrapping sales</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17,901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21,199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(16)%</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3,011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(18)%</w:t>
            </w:r>
          </w:p>
        </w:tc>
      </w:tr>
      <w:tr>
        <w:trPr>
          <w:trHeight w:val="243"/>
        </w:trPr>
        <w:tc>
          <w:tcPr>
            <w:tcW w:w="6580" w:type="dxa"/>
            <w:vAlign w:val="bottom"/>
          </w:tcPr>
          <w:p>
            <w:pPr>
              <w:ind w:left="48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242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(56)%</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192,938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191,520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324"/>
        </w:trPr>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130,906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124,785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5,277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6,602</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(20)%</w:t>
            </w:r>
          </w:p>
        </w:tc>
      </w:tr>
      <w:tr>
        <w:trPr>
          <w:trHeight w:val="237"/>
        </w:trPr>
        <w:tc>
          <w:tcPr>
            <w:tcW w:w="6580" w:type="dxa"/>
            <w:vAlign w:val="bottom"/>
          </w:tcPr>
          <w:p>
            <w:pPr>
              <w:ind w:left="480"/>
              <w:spacing w:after="0"/>
              <w:rPr>
                <w:sz w:val="20"/>
                <w:szCs w:val="20"/>
                <w:color w:val="auto"/>
              </w:rPr>
            </w:pPr>
            <w:r>
              <w:rPr>
                <w:rFonts w:ascii="Arial" w:cs="Arial" w:eastAsia="Arial" w:hAnsi="Arial"/>
                <w:sz w:val="18"/>
                <w:szCs w:val="18"/>
                <w:color w:val="auto"/>
              </w:rPr>
              <w:t>Segment operating contribution</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56,755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60,133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318"/>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segment (income) expenses</w:t>
            </w:r>
          </w:p>
        </w:tc>
        <w:tc>
          <w:tcPr>
            <w:tcW w:w="3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1,659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56,838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58,474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w:t>
            </w:r>
          </w:p>
        </w:tc>
      </w:tr>
      <w:tr>
        <w:trPr>
          <w:trHeight w:val="20"/>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1"/>
        </w:trPr>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data: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Average monthly ending pawn loan balance per store (a)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265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Monthly average yield on pawn loans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Pawn loan redemption rate (b)</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380" w:hanging="345"/>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revenue increased $1.4 million, or 1%. The increase in net revenue attributable to same stores and new stores added since the prior-year six-months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15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7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tcPr>
          <w:p>
            <w:pPr>
              <w:ind w:left="40"/>
              <w:spacing w:after="0"/>
              <w:rPr>
                <w:sz w:val="20"/>
                <w:szCs w:val="20"/>
                <w:color w:val="auto"/>
              </w:rPr>
            </w:pPr>
            <w:r>
              <w:rPr>
                <w:rFonts w:ascii="Arial" w:cs="Arial" w:eastAsia="Arial" w:hAnsi="Arial"/>
                <w:sz w:val="18"/>
                <w:szCs w:val="18"/>
                <w:color w:val="auto"/>
              </w:rPr>
              <w:t>Change in jewelery scrapping sales gross profit and other revenues</w:t>
            </w: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Pawn service charges increased 5% primarily due to an increase in average pawn loan balances outstanding during the current six-months, driven by continued intense focus on market leadership in meeting our customers' desire for cash.</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Merchandise sales increased 2% with gross margin on merchandise sales of 37%, consistent with recent prior periods and within our target range of 35-38%, but 200bps lower than the prior-year six-months. As a result, merchandise sales gross profit decreased 5% to $69.7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Jewelry scrapping sales gross profit remained flat at 1% of current six-months net revenues, in-line with our strategy to sell rather than scrap merchandise.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Jewelry margins were stable.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maintained a consistent level of total segment expenses at 41% of revenues.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122" w:right="3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832"/>
              <w:spacing w:after="0"/>
              <w:rPr>
                <w:sz w:val="20"/>
                <w:szCs w:val="20"/>
                <w:color w:val="auto"/>
              </w:rPr>
            </w:pPr>
            <w:r>
              <w:rPr>
                <w:rFonts w:ascii="Arial" w:cs="Arial" w:eastAsia="Arial" w:hAnsi="Arial"/>
                <w:sz w:val="14"/>
                <w:szCs w:val="14"/>
                <w:b w:val="1"/>
                <w:bCs w:val="1"/>
                <w:color w:val="auto"/>
                <w:w w:val="94"/>
              </w:rPr>
              <w:t>Six Months Ended March 31,</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2017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9"/>
              </w:rPr>
              <w:t>2016 (GAAP)</w:t>
            </w:r>
          </w:p>
        </w:tc>
        <w:tc>
          <w:tcPr>
            <w:tcW w:w="1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2"/>
              <w:spacing w:after="0" w:line="153" w:lineRule="exact"/>
              <w:rPr>
                <w:sz w:val="20"/>
                <w:szCs w:val="20"/>
                <w:color w:val="auto"/>
              </w:rPr>
            </w:pPr>
            <w:r>
              <w:rPr>
                <w:rFonts w:ascii="Arial" w:cs="Arial" w:eastAsia="Arial" w:hAnsi="Arial"/>
                <w:sz w:val="14"/>
                <w:szCs w:val="14"/>
                <w:b w:val="1"/>
                <w:bCs w:val="1"/>
                <w:color w:val="auto"/>
                <w:w w:val="93"/>
              </w:rPr>
              <w:t>2017 (Constant</w:t>
            </w:r>
          </w:p>
        </w:tc>
        <w:tc>
          <w:tcPr>
            <w:tcW w:w="12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Currency)</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12"/>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vMerge w:val="restart"/>
          </w:tcPr>
          <w:p>
            <w:pPr>
              <w:jc w:val="right"/>
              <w:ind w:right="591"/>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15,489</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17,804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31,340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31,189</w:t>
            </w:r>
          </w:p>
        </w:tc>
        <w:tc>
          <w:tcPr>
            <w:tcW w:w="10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36,380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10,301</w:t>
            </w:r>
          </w:p>
        </w:tc>
        <w:tc>
          <w:tcPr>
            <w:tcW w:w="13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11,433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520" w:type="dxa"/>
            <w:vAlign w:val="bottom"/>
          </w:tcPr>
          <w:p>
            <w:pPr>
              <w:ind w:left="48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(200)bps</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1,181</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4"/>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2,428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224</w:t>
            </w:r>
          </w:p>
        </w:tc>
        <w:tc>
          <w:tcPr>
            <w:tcW w:w="132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4"/>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89%</w:t>
            </w:r>
          </w:p>
        </w:tc>
        <w:tc>
          <w:tcPr>
            <w:tcW w:w="0" w:type="dxa"/>
            <w:vAlign w:val="bottom"/>
          </w:tcPr>
          <w:p>
            <w:pPr>
              <w:spacing w:after="0"/>
              <w:rPr>
                <w:sz w:val="1"/>
                <w:szCs w:val="1"/>
                <w:color w:val="auto"/>
              </w:rPr>
            </w:pPr>
          </w:p>
        </w:tc>
      </w:tr>
      <w:tr>
        <w:trPr>
          <w:trHeight w:val="243"/>
        </w:trPr>
        <w:tc>
          <w:tcPr>
            <w:tcW w:w="4520" w:type="dxa"/>
            <w:vAlign w:val="bottom"/>
          </w:tcPr>
          <w:p>
            <w:pPr>
              <w:ind w:left="48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(200)bps</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74</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323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26,088</w:t>
            </w:r>
          </w:p>
        </w:tc>
        <w:tc>
          <w:tcPr>
            <w:tcW w:w="13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29,984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97"/>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20,217</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5"/>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20,299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1,565</w:t>
            </w:r>
          </w:p>
        </w:tc>
        <w:tc>
          <w:tcPr>
            <w:tcW w:w="132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5"/>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37"/>
        </w:trPr>
        <w:tc>
          <w:tcPr>
            <w:tcW w:w="4520" w:type="dxa"/>
            <w:vAlign w:val="bottom"/>
          </w:tcPr>
          <w:p>
            <w:pPr>
              <w:ind w:left="480"/>
              <w:spacing w:after="0"/>
              <w:rPr>
                <w:sz w:val="20"/>
                <w:szCs w:val="20"/>
                <w:color w:val="auto"/>
              </w:rPr>
            </w:pPr>
            <w:r>
              <w:rPr>
                <w:rFonts w:ascii="Arial" w:cs="Arial" w:eastAsia="Arial" w:hAnsi="Arial"/>
                <w:sz w:val="18"/>
                <w:szCs w:val="18"/>
                <w:color w:val="auto"/>
              </w:rPr>
              <w:t>Segment operating contribution</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4,306</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4"/>
              </w:rPr>
              <w:t>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8,192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 segment (income) expenses (a)</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799</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7,451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3,507</w:t>
            </w:r>
          </w:p>
        </w:tc>
        <w:tc>
          <w:tcPr>
            <w:tcW w:w="132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8,565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data:</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w w:val="93"/>
              </w:rPr>
              <w:t>Average monthly ending pawn loan balance per store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68</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rPr>
              <w:t>Pawn loan redemption rate (c)</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140" w:hanging="345"/>
        <w:spacing w:after="0" w:line="253"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six months ended March 31, 2017 constant currency balance excludes nominal net foreign currency transaction gains resulting from movement in exchange rates. The six months ended March 31, 2016 includes nominal net foreign currency transaction losses that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 decreased $0.2 million, or 1% (up $3.9 million, or 15%, on a constant currency basis). The increase in net revenue attributable to same stores and new stores added since the prior-year six-months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Change in Net Revenue</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15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7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40" w:type="dxa"/>
            <w:vAlign w:val="bottom"/>
          </w:tcPr>
          <w:p>
            <w:pPr>
              <w:spacing w:after="0"/>
              <w:rPr>
                <w:sz w:val="13"/>
                <w:szCs w:val="13"/>
                <w:color w:val="auto"/>
              </w:rPr>
            </w:pPr>
          </w:p>
        </w:tc>
        <w:tc>
          <w:tcPr>
            <w:tcW w:w="10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8"/>
              </w:rPr>
              <w:t>(in millions)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tcPr>
          <w:p>
            <w:pPr>
              <w:ind w:left="40"/>
              <w:spacing w:after="0"/>
              <w:rPr>
                <w:sz w:val="20"/>
                <w:szCs w:val="20"/>
                <w:color w:val="auto"/>
              </w:rPr>
            </w:pPr>
            <w:r>
              <w:rPr>
                <w:rFonts w:ascii="Arial" w:cs="Arial" w:eastAsia="Arial" w:hAnsi="Arial"/>
                <w:sz w:val="18"/>
                <w:szCs w:val="18"/>
                <w:color w:val="auto"/>
              </w:rPr>
              <w:t>Change in jewelery scrapping sales gross profit and other revenues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353"/>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15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7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40" w:type="dxa"/>
            <w:vAlign w:val="bottom"/>
          </w:tcPr>
          <w:p>
            <w:pPr>
              <w:spacing w:after="0"/>
              <w:rPr>
                <w:sz w:val="13"/>
                <w:szCs w:val="13"/>
                <w:color w:val="auto"/>
              </w:rPr>
            </w:pPr>
          </w:p>
        </w:tc>
        <w:tc>
          <w:tcPr>
            <w:tcW w:w="10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8"/>
              </w:rPr>
              <w:t>(in millions)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4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tcPr>
          <w:p>
            <w:pPr>
              <w:ind w:left="40"/>
              <w:spacing w:after="0"/>
              <w:rPr>
                <w:sz w:val="20"/>
                <w:szCs w:val="20"/>
                <w:color w:val="auto"/>
              </w:rPr>
            </w:pPr>
            <w:r>
              <w:rPr>
                <w:rFonts w:ascii="Arial" w:cs="Arial" w:eastAsia="Arial" w:hAnsi="Arial"/>
                <w:sz w:val="18"/>
                <w:szCs w:val="18"/>
                <w:color w:val="auto"/>
              </w:rPr>
              <w:t>Change in jewelery scrapping sales gross profit and other revenues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Pawn service charges were down 1% (up 15% on a constant currency basis) primarily as a result of same store growth, offset by foreign currency impacts. We experienced an increase in average pawn loan balances outstanding during the quarter, driven by continued intense focus on market leadership in meeting our customers' desire for cash, offset by foreign currency impacts.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Merchandise sales were flat (up 17% on a constant currency basis), with gross margin on merchandise sales of 31%, consistent with recent prior quarters, but 200bps lower than the prior-year six-months. As a result of the combination of these effects, offset by foreign currency impacts, merchandise sales gross profit decreased 4% to $9.9 million (up 11% to $11.4 million in constant currency).</w:t>
      </w:r>
    </w:p>
    <w:p>
      <w:pPr>
        <w:spacing w:after="0" w:line="12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Segment operating expenses decreased to $18.5 million, or 38% of revenues ($21.4 million, or 38% of revenues, on a constant currency basis) from $22.6 million (47% of revenues) primarily due to a $2.7 million, or 13%, decrease in operations expense ($0.1 million, or 0%, decrease on a constant currency basis), primarily as a result of foreign currency impacts and $$0.4 million in interest income on a GAAP basis recorded during the current six-months on outstanding notes receivable. Additionally, we incurred approximately $0.5 million in losses, net of insurance recoveries, on a GAAP basis associated with looting of 12 stores during the current quarter as well as nominal increased security costs (approximately $0.1 million increase on a constant currency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4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476"/>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Consumer loan fees and interest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4,401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loan bad debt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(1,043)</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Other revenues, net</w:t>
            </w:r>
          </w:p>
        </w:tc>
        <w:tc>
          <w:tcPr>
            <w:tcW w:w="9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324"/>
        </w:trPr>
        <w:tc>
          <w:tcPr>
            <w:tcW w:w="6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expenses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3,379</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net income of unconsolidated affiliate</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(2,721)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(3,932)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37"/>
        </w:trPr>
        <w:tc>
          <w:tcPr>
            <w:tcW w:w="6940" w:type="dxa"/>
            <w:vAlign w:val="bottom"/>
          </w:tcPr>
          <w:p>
            <w:pPr>
              <w:ind w:left="480"/>
              <w:spacing w:after="0"/>
              <w:rPr>
                <w:sz w:val="20"/>
                <w:szCs w:val="20"/>
                <w:color w:val="auto"/>
              </w:rPr>
            </w:pPr>
            <w:r>
              <w:rPr>
                <w:rFonts w:ascii="Arial" w:cs="Arial" w:eastAsia="Arial" w:hAnsi="Arial"/>
                <w:sz w:val="18"/>
                <w:szCs w:val="18"/>
                <w:color w:val="auto"/>
              </w:rPr>
              <w:t>Segment operating contribution</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3,919</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Other segment expenses</w:t>
            </w:r>
          </w:p>
        </w:tc>
        <w:tc>
          <w:tcPr>
            <w:tcW w:w="9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contribution</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(48)%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decreased $1.8 million or 48%, primarily due to a decrease in earnings from Cash Converters International.</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fair value of our investment in Cash Converters International was $1.2 million below its carrying value as of March 31, 2017 and such fair value has continued to decline through the date of this filing. We have taken impairment charges on such investment in prior periods and continue to monitor the fair value of our investment for other-than-temporary impairments in future reporting periods. We may record an impairment charge should the fair value of our investment remain below its carrying value for an extended period of time.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65,695</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7280" w:type="dxa"/>
            <w:vAlign w:val="bottom"/>
          </w:tcPr>
          <w:p>
            <w:pPr>
              <w:ind w:left="26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43"/>
        </w:trPr>
        <w:tc>
          <w:tcPr>
            <w:tcW w:w="72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5,874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43"/>
        </w:trPr>
        <w:tc>
          <w:tcPr>
            <w:tcW w:w="728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7,875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48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68%</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10,231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10,185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(89,935)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(84,209)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00" w:hanging="238"/>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decreased $8.4 million, or 24%, due primarily to:</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$7.1 million decrease in business and professional fees due to completion of remediation efforts in the prior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$2.6 million reduction in labors costs including the impact of corporate headcount reductions.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expense increased $3.3 million, or 42%, as a result of our Term Loan Facility obtained in September 2016, including accruals of interest in addition to amortization of associated discounts and deferred financings costs. Interest income increased $4.4 million as a result of our notes receivable from the sale of Grupo Finmart, including ordinary accruals of interest in addition to accretion of associated discounts.</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Income tax expense was flat from the prior-year six-months, due to discrete tax expense of $3.7 million recorded in the prior-year six-months related to a change in estimate of our fiscal 2015 tax provision, offset by the impacts of a $10.8 million increase in income from continuing operations before income taxes. Income tax expense includes other items that do not necessarily correspond to pre-tax earnings and create volatility in our effective tax rate, of which no items were material during the current quarter.</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substantially eliminated activities associated with our discontinued operations except for certain remaining immaterial charges associated primarily with ongoing employee service requirements which have not yet been recorded.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71"/>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17,965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55,739</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(68)%</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36,472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14,038</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(49,945)</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98%</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54,362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16,212</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the Six Months Ended March 31, 2017 vs. Six Months Ended March 31, 2016</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decrease in cash flows from operating activities year over year was due to a $56.1 million decrease from changes in operating assets and liabilities, offset by an $11.6 million increase in net income exclusive of non-cash items due to improved operational results and a $6.7 million decrease in restructuring payments as we have substantially completed all prior restructuring actions. The decrease from changes in operating assets and liabilities was primarily driven by a $34.2 million tax refund received in March 2016 as a result of the carryback of fiscal 2015 tax net operating losses and $15.6 million paid out during the three months ended December 31, 2016 for accrued fiscal 2016 incentive compensation.</w:t>
      </w:r>
    </w:p>
    <w:p>
      <w:pPr>
        <w:spacing w:after="0" w:line="13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increase in cash flows from investing activities year over year was due to $15.1 million in principal collections on notes receivable, a $3.7 million net increase in proceeds related to loan activities (net loans repaid and recovery of pawn loan principal through sale of forfeited collateral) and a $6.0 million decrease in acquisition expenditures, offset by a $2.3 million increase in additions to property and equipment.</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cash flows from financing activities year over year was primarily due to the elimination of Grupo Finmart activities and deferred expenditures on previous acquisitions.</w:t>
      </w:r>
    </w:p>
    <w:p>
      <w:pPr>
        <w:spacing w:after="0" w:line="116"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net effect of these and other smaller items was a $54.4 million increase in cash on hand during the six months ended March 31, 2017, resulting in a $120.1 million ending cash balance, $10.9 million of which was not available to fund domestic operations as we intend to permanently reinvest those earnings in our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"Part II, Item 7 — Management's Discussion and Analysis of Financial Condition and Results of Operations" of our Annual Report on Form 10-K for the year ended September 30, 2016, we reported that we had $592.8 million in total contractual obligations as of September 30, 2016. There have been no material changes to this total obligation during the current six-month period ended March 31, 2017, other than ordinary fulfillment of obligations.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2016, these collectively amounted to $21.3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anticipate that cash flow from operations, cash on hand and available credit facilities will be adequate to fund our contractual obligations, planned store growth, capital expenditures and working capital requirements during fiscal 2017. Our ability to repay our longer-term debt obligations (including the Cash Convertible Notes) will likely require us to refinance those obligations through the issuance of new debt securities or through new credit facilities.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Grupo Finmart Divestiture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March 31, 2017, we had a total gross outstanding balance on our notes receivable of $75.1 million. We have collected $15.1 million in principal on these notes receivable during the six months ended March 31, 2017 and anticipate an additional principal collection of $30.8 million of these notes receivable during the remainder of fiscal 2017, based on the exchange rate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2017, with the balance to be collected through fiscal 2019. Further, the notes receivable are subject to certain foreign currency impacts as a result of changes in the value of the Mexican dollar relative to the U.S. dollar.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Convertible Notes and Term Loan Facility</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description of the Cash Convertible Notes, the conversion terms thereof and the hedges and warrants transactions as well as our Term Loan Facility, see Note 5 of Notes to Interim Condensed Consolidated Financial Statements included in "Part I, Item 1 —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2016, supplemented by those described in "Part II, Item 1A — Risk Factors" of this Quarterly Report.</w:t>
      </w:r>
    </w:p>
    <w:p>
      <w:pPr>
        <w:spacing w:after="0" w:line="1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2016. There have been no material changes to our exposure to market risks since September 30,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March 31, 2017. Based on that evaluation, our Chief Executive Officer and Chief Financial Officer concluded that our disclosure controls and procedures were effective as of March 31, 2017.</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2017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right="60" w:hanging="325"/>
        <w:spacing w:after="0" w:line="27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320" w:hanging="325"/>
        <w:spacing w:after="0" w:line="27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7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2"/>
        </w:trPr>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31.</w:t>
              </w:r>
              <w:r>
                <w:rPr>
                  <w:rFonts w:ascii="Arial" w:cs="Arial" w:eastAsia="Arial" w:hAnsi="Arial"/>
                  <w:sz w:val="18"/>
                  <w:szCs w:val="18"/>
                  <w:u w:val="single" w:color="auto"/>
                  <w:color w:val="0000EE"/>
                  <w:w w:val="93"/>
                </w:rPr>
                <w:t>1†</w:t>
              </w:r>
            </w:hyperlink>
          </w:p>
        </w:tc>
        <w:tc>
          <w:tcPr>
            <w:tcW w:w="540" w:type="dxa"/>
            <w:vAlign w:val="bottom"/>
            <w:tcBorders>
              <w:bottom w:val="single" w:sz="8" w:color="CCEEFF"/>
            </w:tcBorders>
            <w:gridSpan w:val="3"/>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Stuart I. Grimshaw, Chief Executive Officer, pursuant to Rule 13a-14(a) under the Securities Exchange Act of 1934, as</w:t>
              </w:r>
            </w:hyperlink>
          </w:p>
        </w:tc>
        <w:tc>
          <w:tcPr>
            <w:tcW w:w="28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adopted pursuant to Section 302 of the Sarbanes-Oxley Act of 2002</w:t>
              </w:r>
            </w:hyperlink>
          </w:p>
        </w:tc>
        <w:tc>
          <w:tcPr>
            <w:tcW w:w="512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center"/>
              <w:spacing w:after="0" w:line="202"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31.</w:t>
              </w:r>
              <w:r>
                <w:rPr>
                  <w:rFonts w:ascii="Arial" w:cs="Arial" w:eastAsia="Arial" w:hAnsi="Arial"/>
                  <w:sz w:val="18"/>
                  <w:szCs w:val="18"/>
                  <w:u w:val="single" w:color="auto"/>
                  <w:color w:val="0000EE"/>
                  <w:w w:val="93"/>
                </w:rPr>
                <w:t>2†</w:t>
              </w:r>
            </w:hyperlink>
          </w:p>
        </w:tc>
        <w:tc>
          <w:tcPr>
            <w:tcW w:w="5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6"/>
          </w:tcPr>
          <w:p>
            <w:pPr>
              <w:spacing w:after="0" w:line="20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Certification of Mark S. Ashby, Chief Financial Officer, pursuant to Rule 13a-14(a) under the Securities Exchange Act of 1934, as</w:t>
              </w:r>
            </w:hyperlink>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adopted pursuant to Section 302 of the Sarbanes-Oxley Act of 2002</w:t>
              </w:r>
            </w:hyperlink>
          </w:p>
        </w:tc>
        <w:tc>
          <w:tcPr>
            <w:tcW w:w="620" w:type="dxa"/>
            <w:vAlign w:val="bottom"/>
            <w:gridSpan w:val="3"/>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8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3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1††</w:t>
              </w:r>
            </w:hyperlink>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Certifications of Stuart I. Grimshaw, Chief Executive Officer, and Mark S. Ashby, Chief Financial Officer, pursuant to 18 U.S.C. Section</w:t>
              </w:r>
            </w:hyperlink>
          </w:p>
        </w:tc>
        <w:tc>
          <w:tcPr>
            <w:tcW w:w="140" w:type="dxa"/>
            <w:vAlign w:val="bottom"/>
            <w:tcBorders>
              <w:bottom w:val="single" w:sz="8" w:color="CCEEFF"/>
            </w:tcBorders>
            <w:shd w:val="clear" w:color="auto" w:fill="CCEEFF"/>
          </w:tcPr>
          <w:p>
            <w:pPr>
              <w:spacing w:after="0"/>
              <w:rPr>
                <w:sz w:val="17"/>
                <w:szCs w:val="17"/>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1350, as adopted pursuant to Section 906 of the Sarbanes-Oxley Act of 2002</w:t>
              </w:r>
            </w:hyperlink>
          </w:p>
        </w:tc>
        <w:tc>
          <w:tcPr>
            <w:tcW w:w="4480" w:type="dxa"/>
            <w:vAlign w:val="bottom"/>
            <w:tcBorders>
              <w:bottom w:val="single" w:sz="8" w:color="CCEEFF"/>
            </w:tcBorders>
            <w:gridSpan w:val="4"/>
            <w:shd w:val="clear" w:color="auto" w:fill="CCEEFF"/>
          </w:tcPr>
          <w:p>
            <w:pPr>
              <w:spacing w:after="0"/>
              <w:rPr>
                <w:sz w:val="21"/>
                <w:szCs w:val="21"/>
                <w:color w:val="auto"/>
              </w:rPr>
            </w:pP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101.INS†††</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1"/>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3"/>
              </w:rPr>
              <w:t>101.CAL†††</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4"/>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1380" w:type="dxa"/>
            <w:vAlign w:val="bottom"/>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40" w:type="dxa"/>
            <w:vAlign w:val="bottom"/>
            <w:shd w:val="clear" w:color="auto" w:fill="CCEEFF"/>
          </w:tcPr>
          <w:p>
            <w:pPr>
              <w:spacing w:after="0"/>
              <w:rPr>
                <w:sz w:val="21"/>
                <w:szCs w:val="21"/>
                <w:color w:val="auto"/>
              </w:rPr>
            </w:pPr>
          </w:p>
        </w:tc>
        <w:tc>
          <w:tcPr>
            <w:tcW w:w="10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hanging="465"/>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80" w:hanging="465"/>
        <w:spacing w:after="0" w:line="255"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8"/>
          <w:szCs w:val="18"/>
          <w:color w:val="auto"/>
        </w:rPr>
        <w:t>Filed herewith as Exhibit 101 to this report are the following formatted in XBRL (Extensible Business Reporting Language): (i) Condensed Consolidated Balance Sheets as of March 31, 2017 and September 30, 2016; (ii) Condensed Consolidated Statements of Operations for the three and six months ended March 31, 2017 and March 31, 2016; (iii) Condensed Consolidated Statements of Comprehensive Income (Loss) for the three and six months ended March 31, 2017 and March 31, 2016; (iv) Condensed Consolidated Statement of Stockholders' Equity for the six months ended March 31, 2017; (v) Condensed Consolidated Statements of Cash Flows for the six months ended March 31, 2017 and March 31, 2016; and (vi) Notes to Interim Condensed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May 3, 2017</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2"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3, 2017</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3, 2017</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Certifications of Stuart I. Grimshaw, Chief Executive Officer, and Mark S. Ashby,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March 31, 2017,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Date: May 3, 2017</w:t>
            </w:r>
          </w:p>
        </w:tc>
        <w:tc>
          <w:tcPr>
            <w:tcW w:w="3640" w:type="dxa"/>
            <w:vAlign w:val="bottom"/>
          </w:tcPr>
          <w:p>
            <w:pPr>
              <w:ind w:left="20"/>
              <w:spacing w:after="0"/>
              <w:rPr>
                <w:sz w:val="20"/>
                <w:szCs w:val="20"/>
                <w:color w:val="auto"/>
              </w:rPr>
            </w:pPr>
            <w:r>
              <w:rPr>
                <w:rFonts w:ascii="Arial" w:cs="Arial" w:eastAsia="Arial" w:hAnsi="Arial"/>
                <w:sz w:val="18"/>
                <w:szCs w:val="18"/>
                <w:color w:val="auto"/>
              </w:rPr>
              <w:t>/s/ Stuart I. Grimshaw</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Stuart I. Grimshaw</w:t>
            </w:r>
          </w:p>
        </w:tc>
      </w:tr>
      <w:tr>
        <w:trPr>
          <w:trHeight w:val="270"/>
        </w:trPr>
        <w:tc>
          <w:tcPr>
            <w:tcW w:w="750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94"/>
        </w:trPr>
        <w:tc>
          <w:tcPr>
            <w:tcW w:w="7500" w:type="dxa"/>
            <w:vAlign w:val="bottom"/>
          </w:tcPr>
          <w:p>
            <w:pPr>
              <w:spacing w:after="0"/>
              <w:rPr>
                <w:sz w:val="20"/>
                <w:szCs w:val="20"/>
                <w:color w:val="auto"/>
              </w:rPr>
            </w:pPr>
            <w:r>
              <w:rPr>
                <w:rFonts w:ascii="Arial" w:cs="Arial" w:eastAsia="Arial" w:hAnsi="Arial"/>
                <w:sz w:val="18"/>
                <w:szCs w:val="18"/>
                <w:color w:val="auto"/>
              </w:rPr>
              <w:t>Date: May 3, 2017</w:t>
            </w:r>
          </w:p>
        </w:tc>
        <w:tc>
          <w:tcPr>
            <w:tcW w:w="3640" w:type="dxa"/>
            <w:vAlign w:val="bottom"/>
          </w:tcPr>
          <w:p>
            <w:pPr>
              <w:ind w:left="20"/>
              <w:spacing w:after="0"/>
              <w:rPr>
                <w:sz w:val="20"/>
                <w:szCs w:val="20"/>
                <w:color w:val="auto"/>
              </w:rPr>
            </w:pPr>
            <w:r>
              <w:rPr>
                <w:rFonts w:ascii="Arial" w:cs="Arial" w:eastAsia="Arial" w:hAnsi="Arial"/>
                <w:sz w:val="18"/>
                <w:szCs w:val="18"/>
                <w:color w:val="auto"/>
              </w:rPr>
              <w:t>/s/ Mark S. Ashby</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Mark S. Ashby</w:t>
            </w:r>
          </w:p>
        </w:tc>
      </w:tr>
      <w:tr>
        <w:trPr>
          <w:trHeight w:val="432"/>
        </w:trPr>
        <w:tc>
          <w:tcPr>
            <w:tcW w:w="750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emdash "/>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2020-01-17T06:08:21Z</dcterms:created>
  <dcterms:modified xsi:type="dcterms:W3CDTF">2020-01-17T06:08:21Z</dcterms:modified>
</cp:coreProperties>
</file>