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18415</wp:posOffset>
            </wp:positionV>
            <wp:extent cx="6995795" cy="5803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80326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Powell John Blair Jr.</w:t>
        </w:r>
      </w:hyperlink>
    </w:p>
    <w:p>
      <w:pPr>
        <w:spacing w:after="0" w:line="2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220" w:type="dxa"/>
            <w:vAlign w:val="bottom"/>
          </w:tcPr>
          <w:p>
            <w:pPr>
              <w:ind w:left="42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Arial" w:cs="Arial" w:eastAsia="Arial" w:hAnsi="Arial"/>
                <w:sz w:val="16"/>
                <w:szCs w:val="16"/>
                <w:color w:val="0000FF"/>
              </w:rPr>
              <w:t>2500 BEE CAVE RD., BLD 1 STE 200</w:t>
            </w:r>
          </w:p>
        </w:tc>
      </w:tr>
      <w:tr>
        <w:trPr>
          <w:trHeight w:val="472"/>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2060" w:type="dxa"/>
            <w:vAlign w:val="bottom"/>
            <w:gridSpan w:val="2"/>
          </w:tcPr>
          <w:p>
            <w:pPr>
              <w:ind w:left="40"/>
              <w:spacing w:after="0"/>
              <w:rPr>
                <w:sz w:val="20"/>
                <w:szCs w:val="20"/>
                <w:color w:val="auto"/>
              </w:rPr>
            </w:pPr>
            <w:r>
              <w:rPr>
                <w:rFonts w:ascii="Arial" w:cs="Arial" w:eastAsia="Arial" w:hAnsi="Arial"/>
                <w:sz w:val="16"/>
                <w:szCs w:val="16"/>
                <w:color w:val="0000FF"/>
              </w:rPr>
              <w:t>ROLLINGWOOD TX</w:t>
            </w:r>
          </w:p>
        </w:tc>
        <w:tc>
          <w:tcPr>
            <w:tcW w:w="880" w:type="dxa"/>
            <w:vAlign w:val="bottom"/>
          </w:tcPr>
          <w:p>
            <w:pPr>
              <w:ind w:left="460"/>
              <w:spacing w:after="0"/>
              <w:rPr>
                <w:sz w:val="20"/>
                <w:szCs w:val="20"/>
                <w:color w:val="auto"/>
              </w:rPr>
            </w:pPr>
            <w:r>
              <w:rPr>
                <w:rFonts w:ascii="Arial" w:cs="Arial" w:eastAsia="Arial" w:hAnsi="Arial"/>
                <w:sz w:val="16"/>
                <w:szCs w:val="16"/>
                <w:color w:val="0000FF"/>
                <w:w w:val="89"/>
              </w:rPr>
              <w:t>78746</w:t>
            </w:r>
          </w:p>
        </w:tc>
      </w:tr>
      <w:tr>
        <w:trPr>
          <w:trHeight w:val="460"/>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gridSpan w:val="4"/>
          </w:tcPr>
          <w:p>
            <w:pPr>
              <w:ind w:left="8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EZCORP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EZPW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1240" w:type="dxa"/>
            <w:vAlign w:val="bottom"/>
            <w:gridSpan w:val="3"/>
          </w:tcPr>
          <w:p>
            <w:pPr>
              <w:ind w:left="80"/>
              <w:spacing w:after="0"/>
              <w:rPr>
                <w:sz w:val="20"/>
                <w:szCs w:val="20"/>
                <w:color w:val="auto"/>
              </w:rPr>
            </w:pPr>
            <w:r>
              <w:rPr>
                <w:rFonts w:ascii="Arial" w:cs="Arial" w:eastAsia="Arial" w:hAnsi="Arial"/>
                <w:sz w:val="16"/>
                <w:szCs w:val="16"/>
                <w:color w:val="0000FF"/>
              </w:rPr>
              <w:t>11/14/2023</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Operating Officer</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00"/>
        <w:spacing w:after="0" w:line="27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38"/>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6"/>
                <w:szCs w:val="16"/>
                <w:color w:val="0000FF"/>
              </w:rPr>
              <w:t>86,482</w:t>
            </w:r>
          </w:p>
        </w:tc>
        <w:tc>
          <w:tcPr>
            <w:tcW w:w="640" w:type="dxa"/>
            <w:vAlign w:val="bottom"/>
          </w:tcPr>
          <w:p>
            <w:pPr>
              <w:ind w:left="340"/>
              <w:spacing w:after="0"/>
              <w:rPr>
                <w:sz w:val="20"/>
                <w:szCs w:val="20"/>
                <w:color w:val="auto"/>
              </w:rPr>
            </w:pPr>
            <w:r>
              <w:rPr>
                <w:rFonts w:ascii="Arial" w:cs="Arial" w:eastAsia="Arial" w:hAnsi="Arial"/>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ind w:left="360"/>
              <w:spacing w:after="0"/>
              <w:rPr>
                <w:sz w:val="20"/>
                <w:szCs w:val="20"/>
                <w:color w:val="auto"/>
              </w:rPr>
            </w:pPr>
            <w:r>
              <w:rPr>
                <w:rFonts w:ascii="Arial" w:cs="Arial" w:eastAsia="Arial" w:hAnsi="Arial"/>
                <w:sz w:val="16"/>
                <w:szCs w:val="16"/>
                <w:color w:val="0000FF"/>
              </w:rPr>
              <w:t>174,497</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w w:val="95"/>
              </w:rPr>
              <w:t>Class A Non-Voting Common Stock</w:t>
            </w:r>
          </w:p>
        </w:tc>
        <w:tc>
          <w:tcPr>
            <w:tcW w:w="1840" w:type="dxa"/>
            <w:vAlign w:val="bottom"/>
            <w:gridSpan w:val="3"/>
          </w:tcPr>
          <w:p>
            <w:pPr>
              <w:jc w:val="center"/>
              <w:ind w:left="694"/>
              <w:spacing w:after="0"/>
              <w:rPr>
                <w:sz w:val="20"/>
                <w:szCs w:val="20"/>
                <w:color w:val="auto"/>
              </w:rPr>
            </w:pPr>
            <w:r>
              <w:rPr>
                <w:rFonts w:ascii="Arial" w:cs="Arial" w:eastAsia="Arial" w:hAnsi="Arial"/>
                <w:sz w:val="16"/>
                <w:szCs w:val="16"/>
                <w:color w:val="0000FF"/>
                <w:w w:val="94"/>
              </w:rPr>
              <w:t>11/14/2023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F</w:t>
            </w:r>
          </w:p>
        </w:tc>
        <w:tc>
          <w:tcPr>
            <w:tcW w:w="700" w:type="dxa"/>
            <w:vAlign w:val="bottom"/>
          </w:tcPr>
          <w:p>
            <w:pPr>
              <w:jc w:val="right"/>
              <w:spacing w:after="0"/>
              <w:rPr>
                <w:sz w:val="20"/>
                <w:szCs w:val="20"/>
                <w:color w:val="auto"/>
              </w:rPr>
            </w:pPr>
            <w:r>
              <w:rPr>
                <w:rFonts w:ascii="Arial" w:cs="Arial" w:eastAsia="Arial" w:hAnsi="Arial"/>
                <w:sz w:val="16"/>
                <w:szCs w:val="16"/>
                <w:color w:val="0000FF"/>
              </w:rPr>
              <w:t>34,030</w:t>
            </w:r>
          </w:p>
        </w:tc>
        <w:tc>
          <w:tcPr>
            <w:tcW w:w="640" w:type="dxa"/>
            <w:vAlign w:val="bottom"/>
          </w:tcPr>
          <w:p>
            <w:pPr>
              <w:ind w:left="340"/>
              <w:spacing w:after="0"/>
              <w:rPr>
                <w:sz w:val="20"/>
                <w:szCs w:val="20"/>
                <w:color w:val="auto"/>
              </w:rPr>
            </w:pPr>
            <w:r>
              <w:rPr>
                <w:rFonts w:ascii="Arial" w:cs="Arial" w:eastAsia="Arial" w:hAnsi="Arial"/>
                <w:sz w:val="16"/>
                <w:szCs w:val="16"/>
                <w:color w:val="0000FF"/>
              </w:rPr>
              <w:t>D</w:t>
            </w:r>
          </w:p>
        </w:tc>
        <w:tc>
          <w:tcPr>
            <w:tcW w:w="520" w:type="dxa"/>
            <w:vAlign w:val="bottom"/>
          </w:tcPr>
          <w:p>
            <w:pPr>
              <w:ind w:left="12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8.52</w:t>
            </w:r>
          </w:p>
        </w:tc>
        <w:tc>
          <w:tcPr>
            <w:tcW w:w="40" w:type="dxa"/>
            <w:vAlign w:val="bottom"/>
          </w:tcPr>
          <w:p>
            <w:pPr>
              <w:spacing w:after="0"/>
              <w:rPr>
                <w:sz w:val="21"/>
                <w:szCs w:val="21"/>
                <w:color w:val="auto"/>
              </w:rPr>
            </w:pPr>
          </w:p>
        </w:tc>
        <w:tc>
          <w:tcPr>
            <w:tcW w:w="1260" w:type="dxa"/>
            <w:vAlign w:val="bottom"/>
            <w:gridSpan w:val="3"/>
          </w:tcPr>
          <w:p>
            <w:pPr>
              <w:ind w:left="360"/>
              <w:spacing w:after="0"/>
              <w:rPr>
                <w:sz w:val="20"/>
                <w:szCs w:val="20"/>
                <w:color w:val="auto"/>
              </w:rPr>
            </w:pPr>
            <w:r>
              <w:rPr>
                <w:rFonts w:ascii="Arial" w:cs="Arial" w:eastAsia="Arial" w:hAnsi="Arial"/>
                <w:sz w:val="16"/>
                <w:szCs w:val="16"/>
                <w:color w:val="0000FF"/>
              </w:rPr>
              <w:t>140,467</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58"/>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31,900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w w:val="91"/>
              </w:rPr>
              <w:t>A</w:t>
            </w:r>
          </w:p>
        </w:tc>
        <w:tc>
          <w:tcPr>
            <w:tcW w:w="520" w:type="dxa"/>
            <w:vAlign w:val="bottom"/>
          </w:tcPr>
          <w:p>
            <w:pPr>
              <w:ind w:left="100"/>
              <w:spacing w:after="0" w:line="140" w:lineRule="exact"/>
              <w:rPr>
                <w:sz w:val="20"/>
                <w:szCs w:val="20"/>
                <w:color w:val="auto"/>
              </w:rPr>
            </w:pPr>
            <w:r>
              <w:rPr>
                <w:rFonts w:ascii="Arial" w:cs="Arial" w:eastAsia="Arial" w:hAnsi="Arial"/>
                <w:sz w:val="13"/>
                <w:szCs w:val="13"/>
                <w:color w:val="0000FF"/>
              </w:rPr>
              <w:t>31,900</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329,264</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Non-</w:t>
            </w:r>
          </w:p>
        </w:tc>
        <w:tc>
          <w:tcPr>
            <w:tcW w:w="520" w:type="dxa"/>
            <w:vAlign w:val="bottom"/>
            <w:vMerge w:val="restart"/>
          </w:tcPr>
          <w:p>
            <w:pPr>
              <w:spacing w:after="0"/>
              <w:rPr>
                <w:sz w:val="20"/>
                <w:szCs w:val="20"/>
                <w:color w:val="auto"/>
              </w:rPr>
            </w:pPr>
            <w:r>
              <w:rPr>
                <w:rFonts w:ascii="Arial" w:cs="Arial" w:eastAsia="Arial" w:hAnsi="Arial"/>
                <w:sz w:val="16"/>
                <w:szCs w:val="16"/>
                <w:color w:val="0000FF"/>
              </w:rPr>
              <w:t>86,482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11/14/2023</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Arial" w:cs="Arial" w:eastAsia="Arial" w:hAnsi="Arial"/>
                <w:sz w:val="13"/>
                <w:szCs w:val="13"/>
                <w:color w:val="0000FF"/>
              </w:rPr>
              <w:t>86,482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92"/>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200"/>
              <w:spacing w:after="0" w:line="140" w:lineRule="exact"/>
              <w:rPr>
                <w:sz w:val="20"/>
                <w:szCs w:val="20"/>
                <w:color w:val="auto"/>
              </w:rPr>
            </w:pPr>
            <w:r>
              <w:rPr>
                <w:rFonts w:ascii="Arial" w:cs="Arial" w:eastAsia="Arial" w:hAnsi="Arial"/>
                <w:sz w:val="13"/>
                <w:szCs w:val="13"/>
                <w:color w:val="0000FF"/>
              </w:rPr>
              <w:t>242,782</w:t>
            </w:r>
          </w:p>
        </w:tc>
        <w:tc>
          <w:tcPr>
            <w:tcW w:w="62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at the time of vesting.</w:t>
      </w:r>
    </w:p>
    <w:p>
      <w:pPr>
        <w:spacing w:after="0" w:line="40" w:lineRule="exact"/>
        <w:rPr>
          <w:rFonts w:ascii="Arial" w:cs="Arial" w:eastAsia="Arial" w:hAnsi="Arial"/>
          <w:sz w:val="13"/>
          <w:szCs w:val="13"/>
          <w:color w:val="008000"/>
        </w:rPr>
      </w:pPr>
    </w:p>
    <w:p>
      <w:pPr>
        <w:ind w:left="40" w:right="140"/>
        <w:spacing w:after="0" w:line="232"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following "bonus" units: (1) 6,958 units attributable to the fiscal 2021 Restricted Stock Unit award earned with achievement of the specified performance goal for fiscal 2023 and vesting on September 30, 2023, subject to continued employment, plus (2) 14,884 units attributable to the fiscal 2022 Restricted Stock Unit award earned with achievement of the specified performance goal for fiscal 2023 and vesting on September 30, 2024, subject to continued employment, plus (3) 10,058 units attributable to the fiscal 2023 Restricted Stock Unit award earned with achievement of the specified performance goal for fiscal 2023 and vesting on September 30, 2025, subject to continued employment.</w:t>
      </w:r>
    </w:p>
    <w:p>
      <w:pPr>
        <w:sectPr>
          <w:pgSz w:w="11900" w:h="16838" w:orient="portrait"/>
          <w:cols w:equalWidth="0" w:num="1">
            <w:col w:w="11080"/>
          </w:cols>
          <w:pgMar w:left="460" w:top="220" w:right="35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The units vested on November 14, 2023 after specified performance goals were achieved.</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Carrie Putnam,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635</wp:posOffset>
            </wp:positionV>
            <wp:extent cx="1309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1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8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1300"/>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0000FF"/>
        </w:rPr>
        <w:t>11/16/2023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4"/>
          <w:szCs w:val="24"/>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4920"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2023-11-16T14:22:08Z</dcterms:created>
  <dcterms:modified xsi:type="dcterms:W3CDTF">2023-11-16T14:22:08Z</dcterms:modified>
</cp:coreProperties>
</file>