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ESPINOSA PABLO LAGOS</w:t>
              </w:r>
            </w:hyperlink>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tcBorders>
              <w:bottom w:val="single" w:sz="8" w:color="0000EE"/>
            </w:tcBorders>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2500 BEE CAVE ROAD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03/03/2023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BLDG. 1, SUITE 200</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ROLLINGWOOD TX</w:t>
            </w:r>
          </w:p>
        </w:tc>
        <w:tc>
          <w:tcPr>
            <w:tcW w:w="1340" w:type="dxa"/>
            <w:vAlign w:val="bottom"/>
            <w:gridSpan w:val="2"/>
          </w:tcPr>
          <w:p>
            <w:pPr>
              <w:jc w:val="right"/>
              <w:ind w:right="634"/>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58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4"/>
              </w:rPr>
              <w:t>Class A Non-Voting Common Stock</w:t>
            </w:r>
          </w:p>
        </w:tc>
        <w:tc>
          <w:tcPr>
            <w:tcW w:w="1580" w:type="dxa"/>
            <w:vAlign w:val="bottom"/>
            <w:tcBorders>
              <w:bottom w:val="single" w:sz="8" w:color="2C2C2C"/>
            </w:tcBorders>
            <w:gridSpan w:val="5"/>
          </w:tcPr>
          <w:p>
            <w:pPr>
              <w:ind w:left="620"/>
              <w:spacing w:after="0"/>
              <w:rPr>
                <w:sz w:val="20"/>
                <w:szCs w:val="20"/>
                <w:color w:val="auto"/>
              </w:rPr>
            </w:pPr>
            <w:r>
              <w:rPr>
                <w:rFonts w:ascii="Arial" w:cs="Arial" w:eastAsia="Arial" w:hAnsi="Arial"/>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18,038</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8.87</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233,140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00" w:type="dxa"/>
            <w:vAlign w:val="bottom"/>
            <w:gridSpan w:val="15"/>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2024 Stockholders Meeting (but no later than March 31, 2024)</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1, 2023 (day before the Company's 2023 Annual Stockholders Meeting).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03/06/2023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22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2023-03-06T15:15:13Z</dcterms:created>
  <dcterms:modified xsi:type="dcterms:W3CDTF">2023-03-06T15:15:13Z</dcterms:modified>
</cp:coreProperties>
</file>