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28034d10q.htm"/>
        <w:bookmarkStart w:id="1" w:name="ksd328034d10q"/>
        <w:bookmarkEnd w:id="0"/>
        <w:bookmarkEnd w:id="1"/>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QUARTERLY REPORT PURSUANT TO SECTION 13 OR 15(d) OF THE SECURITIES EXHANGE ACT OF 1934 </w:t>
            </w:r>
          </w:p>
        </w:tc>
      </w:tr>
    </w:tbl>
    <w:p>
      <w:pPr>
        <w:pStyle w:val="TextBody"/>
        <w:spacing w:before="180" w:after="0"/>
        <w:jc w:val="center"/>
        <w:rPr>
          <w:rFonts w:ascii="Times New Roman" w:hAnsi="Times New Roman"/>
          <w:b/>
          <w:sz w:val="20"/>
        </w:rPr>
      </w:pPr>
      <w:r>
        <w:rPr>
          <w:rFonts w:ascii="Times New Roman" w:hAnsi="Times New Roman"/>
          <w:b/>
          <w:sz w:val="20"/>
        </w:rPr>
        <w:t xml:space="preserve">For the quarterly period ended March 31, 2012 </w:t>
      </w:r>
    </w:p>
    <w:p>
      <w:pPr>
        <w:pStyle w:val="TextBody"/>
        <w:spacing w:before="180" w:after="0"/>
        <w:jc w:val="center"/>
        <w:rPr>
          <w:rFonts w:ascii="Times New Roman" w:hAnsi="Times New Roman"/>
          <w:b/>
          <w:sz w:val="20"/>
        </w:rPr>
      </w:pPr>
      <w:r>
        <w:rPr>
          <w:rFonts w:ascii="Times New Roman" w:hAnsi="Times New Roman"/>
          <w:b/>
          <w:sz w:val="20"/>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180" w:after="0"/>
        <w:jc w:val="center"/>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Commission File No. 0-19424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74-2540145</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5104" w:type="dxa"/>
            <w:tcBorders/>
            <w:shd w:fill="auto" w:val="clear"/>
            <w:vAlign w:val="center"/>
          </w:tcPr>
          <w:p>
            <w:pPr>
              <w:pStyle w:val="TableContents"/>
              <w:spacing w:before="0" w:after="283"/>
              <w:rPr>
                <w:sz w:val="4"/>
                <w:szCs w:val="4"/>
              </w:rPr>
            </w:pPr>
            <w:r>
              <w:rPr>
                <w:sz w:val="4"/>
                <w:szCs w:val="4"/>
              </w:rPr>
            </w:r>
          </w:p>
        </w:tc>
        <w:tc>
          <w:tcPr>
            <w:tcW w:w="5101" w:type="dxa"/>
            <w:gridSpan w:val="2"/>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1901 Capital Parkway</w:t>
            </w:r>
          </w:p>
          <w:p>
            <w:pPr>
              <w:pStyle w:val="TableContents"/>
              <w:spacing w:before="0" w:after="15"/>
              <w:jc w:val="center"/>
              <w:rPr>
                <w:rFonts w:ascii="Times New Roman" w:hAnsi="Times New Roman"/>
                <w:b/>
                <w:sz w:val="20"/>
              </w:rPr>
            </w:pPr>
            <w:r>
              <w:rPr>
                <w:rFonts w:ascii="Times New Roman" w:hAnsi="Times New Roman"/>
                <w:b/>
                <w:sz w:val="20"/>
              </w:rPr>
              <w:t>Austin, Texas</w:t>
            </w:r>
          </w:p>
        </w:tc>
        <w:tc>
          <w:tcPr>
            <w:tcW w:w="201"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78746</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(512) 314-3400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50"/>
        <w:gridCol w:w="107"/>
        <w:gridCol w:w="4352"/>
        <w:gridCol w:w="151"/>
        <w:gridCol w:w="2902"/>
        <w:gridCol w:w="107"/>
        <w:gridCol w:w="236"/>
      </w:tblGrid>
      <w:tr>
        <w:trPr/>
        <w:tc>
          <w:tcPr>
            <w:tcW w:w="235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35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2902"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2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Large accelerated filer</w:t>
            </w:r>
          </w:p>
        </w:tc>
        <w:tc>
          <w:tcPr>
            <w:tcW w:w="107" w:type="dxa"/>
            <w:tcBorders/>
            <w:shd w:fill="auto" w:val="clear"/>
            <w:vAlign w:val="bottom"/>
          </w:tcPr>
          <w:p>
            <w:pPr>
              <w:pStyle w:val="TableContents"/>
              <w:spacing w:before="0" w:after="283"/>
              <w:rPr/>
            </w:pPr>
            <w:r>
              <w:rPr/>
              <w:t> </w:t>
            </w:r>
          </w:p>
        </w:tc>
        <w:tc>
          <w:tcPr>
            <w:tcW w:w="4352" w:type="dxa"/>
            <w:tcBorders/>
            <w:shd w:fill="auto" w:val="clear"/>
            <w:vAlign w:val="bottom"/>
          </w:tcPr>
          <w:p>
            <w:pPr>
              <w:pStyle w:val="TableContents"/>
              <w:spacing w:before="0" w:after="283"/>
              <w:rPr/>
            </w:pPr>
            <w:r>
              <w:rPr/>
              <w:t>☒</w:t>
            </w:r>
          </w:p>
        </w:tc>
        <w:tc>
          <w:tcPr>
            <w:tcW w:w="151" w:type="dxa"/>
            <w:tcBorders/>
            <w:shd w:fill="auto" w:val="clear"/>
            <w:vAlign w:val="bottom"/>
          </w:tcPr>
          <w:p>
            <w:pPr>
              <w:pStyle w:val="TableContents"/>
              <w:spacing w:before="0" w:after="283"/>
              <w:rPr/>
            </w:pPr>
            <w:r>
              <w:rPr/>
              <w:t>  </w:t>
            </w:r>
          </w:p>
        </w:tc>
        <w:tc>
          <w:tcPr>
            <w:tcW w:w="29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w:t>
            </w:r>
          </w:p>
        </w:tc>
        <w:tc>
          <w:tcPr>
            <w:tcW w:w="10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r>
      <w:tr>
        <w:trPr>
          <w:trHeight w:val="120" w:hRule="atLeast"/>
        </w:trPr>
        <w:tc>
          <w:tcPr>
            <w:tcW w:w="2350" w:type="dxa"/>
            <w:tcBorders/>
            <w:shd w:fill="auto" w:val="clear"/>
            <w:vAlign w:val="center"/>
          </w:tcPr>
          <w:p>
            <w:pPr>
              <w:pStyle w:val="TableContents"/>
              <w:spacing w:before="0" w:after="283"/>
              <w:rPr>
                <w:sz w:val="4"/>
                <w:szCs w:val="4"/>
              </w:rPr>
            </w:pPr>
            <w:r>
              <w:rPr>
                <w:sz w:val="4"/>
                <w:szCs w:val="4"/>
              </w:rPr>
            </w:r>
          </w:p>
        </w:tc>
        <w:tc>
          <w:tcPr>
            <w:tcW w:w="4459" w:type="dxa"/>
            <w:gridSpan w:val="2"/>
            <w:tcBorders/>
            <w:shd w:fill="auto" w:val="clear"/>
            <w:vAlign w:val="center"/>
          </w:tcPr>
          <w:p>
            <w:pPr>
              <w:pStyle w:val="TableContents"/>
              <w:spacing w:before="0" w:after="283"/>
              <w:rPr>
                <w:sz w:val="4"/>
                <w:szCs w:val="4"/>
              </w:rPr>
            </w:pPr>
            <w:r>
              <w:rPr>
                <w:sz w:val="4"/>
                <w:szCs w:val="4"/>
              </w:rPr>
            </w:r>
          </w:p>
        </w:tc>
        <w:tc>
          <w:tcPr>
            <w:tcW w:w="3053" w:type="dxa"/>
            <w:gridSpan w:val="2"/>
            <w:tcBorders/>
            <w:shd w:fill="auto" w:val="clear"/>
            <w:vAlign w:val="center"/>
          </w:tcPr>
          <w:p>
            <w:pPr>
              <w:pStyle w:val="TableContents"/>
              <w:spacing w:before="0" w:after="283"/>
              <w:rPr>
                <w:sz w:val="4"/>
                <w:szCs w:val="4"/>
              </w:rPr>
            </w:pPr>
            <w:r>
              <w:rPr>
                <w:sz w:val="4"/>
                <w:szCs w:val="4"/>
              </w:rPr>
            </w:r>
          </w:p>
        </w:tc>
        <w:tc>
          <w:tcPr>
            <w:tcW w:w="343" w:type="dxa"/>
            <w:gridSpan w:val="2"/>
            <w:tcBorders/>
            <w:shd w:fill="auto" w:val="clear"/>
            <w:vAlign w:val="center"/>
          </w:tcPr>
          <w:p>
            <w:pPr>
              <w:pStyle w:val="TableContents"/>
              <w:spacing w:before="0" w:after="283"/>
              <w:rPr>
                <w:sz w:val="4"/>
                <w:szCs w:val="4"/>
              </w:rPr>
            </w:pPr>
            <w:r>
              <w:rPr>
                <w:sz w:val="4"/>
                <w:szCs w:val="4"/>
              </w:rPr>
            </w:r>
          </w:p>
        </w:tc>
      </w:tr>
      <w:tr>
        <w:trPr/>
        <w:tc>
          <w:tcPr>
            <w:tcW w:w="2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w:t>
            </w:r>
          </w:p>
        </w:tc>
        <w:tc>
          <w:tcPr>
            <w:tcW w:w="107" w:type="dxa"/>
            <w:tcBorders/>
            <w:shd w:fill="auto" w:val="clear"/>
            <w:vAlign w:val="bottom"/>
          </w:tcPr>
          <w:p>
            <w:pPr>
              <w:pStyle w:val="TableContents"/>
              <w:spacing w:before="0" w:after="283"/>
              <w:rPr/>
            </w:pPr>
            <w:r>
              <w:rPr/>
              <w:t> </w:t>
            </w:r>
          </w:p>
        </w:tc>
        <w:tc>
          <w:tcPr>
            <w:tcW w:w="4352" w:type="dxa"/>
            <w:tcBorders/>
            <w:shd w:fill="auto" w:val="clear"/>
            <w:vAlign w:val="bottom"/>
          </w:tcPr>
          <w:p>
            <w:pPr>
              <w:pStyle w:val="TableContents"/>
              <w:spacing w:before="0" w:after="283"/>
              <w:rPr/>
            </w:pPr>
            <w:r>
              <w:rPr/>
              <w:t>☐  </w:t>
            </w:r>
            <w:r>
              <w:rPr>
                <w:rFonts w:ascii="Times New Roman" w:hAnsi="Times New Roman"/>
                <w:sz w:val="20"/>
              </w:rPr>
              <w:t>(Do not check if a smaller reporting company)</w:t>
            </w:r>
          </w:p>
        </w:tc>
        <w:tc>
          <w:tcPr>
            <w:tcW w:w="151" w:type="dxa"/>
            <w:tcBorders/>
            <w:shd w:fill="auto" w:val="clear"/>
            <w:vAlign w:val="bottom"/>
          </w:tcPr>
          <w:p>
            <w:pPr>
              <w:pStyle w:val="TableContents"/>
              <w:spacing w:before="0" w:after="283"/>
              <w:rPr/>
            </w:pPr>
            <w:r>
              <w:rPr/>
              <w:t>  </w:t>
            </w:r>
          </w:p>
        </w:tc>
        <w:tc>
          <w:tcPr>
            <w:tcW w:w="29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10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r>
    </w:tbl>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spacing w:before="180" w:after="0"/>
        <w:jc w:val="center"/>
        <w:rPr>
          <w:rFonts w:ascii="Times New Roman" w:hAnsi="Times New Roman"/>
          <w:sz w:val="20"/>
        </w:rPr>
      </w:pPr>
      <w:r>
        <w:rPr>
          <w:rFonts w:ascii="Times New Roman" w:hAnsi="Times New Roman"/>
          <w:sz w:val="20"/>
        </w:rPr>
        <w:t xml:space="preserve">APPLICABLE ONLY TO CORPORATE ISSUERS: </w:t>
      </w:r>
    </w:p>
    <w:p>
      <w:pPr>
        <w:pStyle w:val="TextBody"/>
        <w:spacing w:before="180" w:after="0"/>
        <w:rPr>
          <w:rFonts w:ascii="Times New Roman" w:hAnsi="Times New Roman"/>
          <w:sz w:val="20"/>
        </w:rPr>
      </w:pPr>
      <w:r>
        <w:rPr>
          <w:rFonts w:ascii="Times New Roman" w:hAnsi="Times New Roman"/>
          <w:sz w:val="20"/>
        </w:rPr>
        <w:t xml:space="preserve">The only class of voting securities of the registrant issued and outstanding is the Class B Voting Common Stock, par value $.01 per share, all of which is owned by an affiliate of the registrant. There is no trading market for the Class B Voting Common Stock. </w:t>
      </w:r>
    </w:p>
    <w:p>
      <w:pPr>
        <w:pStyle w:val="TextBody"/>
        <w:spacing w:before="180" w:after="0"/>
        <w:rPr>
          <w:rFonts w:ascii="Times New Roman" w:hAnsi="Times New Roman"/>
          <w:sz w:val="20"/>
        </w:rPr>
      </w:pPr>
      <w:r>
        <w:rPr>
          <w:rFonts w:ascii="Times New Roman" w:hAnsi="Times New Roman"/>
          <w:sz w:val="20"/>
        </w:rPr>
        <w:t xml:space="preserve">As of March 31, 2012, 48,002,116 shares of the registrants Class A Non-voting Common Stock, par value $.01 per share, and 2,970,171 shares of the registrants Class B Voting Common Stock, par value $.01 per share, were outstanding.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EZCORP, I</w:t>
      </w:r>
      <w:r>
        <w:rPr>
          <w:rFonts w:ascii="Times New Roman" w:hAnsi="Times New Roman"/>
          <w:b/>
          <w:sz w:val="14"/>
        </w:rPr>
        <w:t>NC</w:t>
      </w:r>
      <w:r>
        <w:rPr>
          <w:rFonts w:ascii="Times New Roman" w:hAnsi="Times New Roman"/>
          <w:b/>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INDEX TO FORM 10-Q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97"/>
        <w:gridCol w:w="197"/>
        <w:gridCol w:w="60"/>
        <w:gridCol w:w="230"/>
        <w:gridCol w:w="121"/>
      </w:tblGrid>
      <w:tr>
        <w:trPr/>
        <w:tc>
          <w:tcPr>
            <w:tcW w:w="95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rFonts w:ascii="Times New Roman" w:hAnsi="Times New Roman"/>
                <w:sz w:val="20"/>
              </w:rPr>
            </w:pPr>
            <w:r>
              <w:rPr>
                <w:rFonts w:ascii="Times New Roman" w:hAnsi="Times New Roman"/>
                <w:sz w:val="20"/>
              </w:rPr>
              <w:t>PART I. FINANCIAL INFORMATION</w:t>
            </w:r>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2">
              <w:r>
                <w:rPr>
                  <w:rStyle w:val="InternetLink"/>
                  <w:rFonts w:ascii="Times New Roman" w:hAnsi="Times New Roman"/>
                  <w:i/>
                  <w:sz w:val="20"/>
                </w:rPr>
                <w:t>Item 1. Financial Statements and Supplementary Data (Unaudited)</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3">
              <w:r>
                <w:rPr>
                  <w:rStyle w:val="InternetLink"/>
                  <w:rFonts w:ascii="Times New Roman" w:hAnsi="Times New Roman"/>
                  <w:sz w:val="20"/>
                </w:rPr>
                <w:t xml:space="preserve">Condensed Consolidated Balance Sheets as of March 31, 2012, March 31, 2011 and September 30, 2011 (audited) </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4">
              <w:r>
                <w:rPr>
                  <w:rStyle w:val="InternetLink"/>
                  <w:rFonts w:ascii="Times New Roman" w:hAnsi="Times New Roman"/>
                  <w:sz w:val="20"/>
                </w:rPr>
                <w:t>Condensed Consolidated Statements of Operations for the Three Months and Six Months Ended March 31, 2012 and 2011</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5">
              <w:r>
                <w:rPr>
                  <w:rStyle w:val="InternetLink"/>
                  <w:rFonts w:ascii="Times New Roman" w:hAnsi="Times New Roman"/>
                  <w:sz w:val="20"/>
                </w:rPr>
                <w:t xml:space="preserve">Condensed Consolidated Statements of Comprehensive Income for the Three Months and Six Months Ended March 31, 2012 and 2011 </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6">
              <w:r>
                <w:rPr>
                  <w:rStyle w:val="InternetLink"/>
                  <w:rFonts w:ascii="Times New Roman" w:hAnsi="Times New Roman"/>
                  <w:sz w:val="20"/>
                </w:rPr>
                <w:t>Condensed Consolidated Statements of Cash Flows for the Six Months Ended March 31, 2012 and 2011</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7">
              <w:r>
                <w:rPr>
                  <w:rStyle w:val="InternetLink"/>
                  <w:rFonts w:ascii="Times New Roman" w:hAnsi="Times New Roman"/>
                  <w:sz w:val="20"/>
                </w:rPr>
                <w:t>Consolidated Statements of Stockholders Equity for the Six Months Ended March 31, 2012 and 2011</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8">
              <w:r>
                <w:rPr>
                  <w:rStyle w:val="InternetLink"/>
                  <w:rFonts w:ascii="Times New Roman" w:hAnsi="Times New Roman"/>
                  <w:sz w:val="20"/>
                </w:rPr>
                <w:t xml:space="preserve">Notes to Interim Condensed Consolidated Financial Statements </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9">
              <w:r>
                <w:rPr>
                  <w:rStyle w:val="InternetLink"/>
                  <w:rFonts w:ascii="Times New Roman" w:hAnsi="Times New Roman"/>
                  <w:i/>
                  <w:sz w:val="20"/>
                </w:rPr>
                <w:t>Item 2. Managements Discussion and Analysis of Financial Condition and Results of Operations</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10">
              <w:r>
                <w:rPr>
                  <w:rStyle w:val="InternetLink"/>
                  <w:rFonts w:ascii="Times New Roman" w:hAnsi="Times New Roman"/>
                  <w:i/>
                  <w:sz w:val="20"/>
                </w:rPr>
                <w:t>Item 3. Quantitative and Qualitative Disclosures about Market Risk</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11">
              <w:r>
                <w:rPr>
                  <w:rStyle w:val="InternetLink"/>
                  <w:rFonts w:ascii="Times New Roman" w:hAnsi="Times New Roman"/>
                  <w:i/>
                  <w:sz w:val="20"/>
                </w:rPr>
                <w:t>Item 4. Controls and Procedures</w:t>
              </w:r>
            </w:hyperlink>
            <w:hyperlink w:anchor="toc328034_11">
              <w:r>
                <w:rPr>
                  <w:rStyle w:val="InternetLink"/>
                  <w:rFonts w:ascii="Times New Roman" w:hAnsi="Times New Roman"/>
                  <w:sz w:val="20"/>
                </w:rPr>
                <w:t xml:space="preserve"> </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12">
              <w:r>
                <w:rPr>
                  <w:rStyle w:val="InternetLink"/>
                  <w:rFonts w:ascii="Times New Roman" w:hAnsi="Times New Roman"/>
                  <w:sz w:val="20"/>
                </w:rPr>
                <w:t>PART II. OTHER INFORMATION</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13">
              <w:r>
                <w:rPr>
                  <w:rStyle w:val="InternetLink"/>
                  <w:rFonts w:ascii="Times New Roman" w:hAnsi="Times New Roman"/>
                  <w:i/>
                  <w:sz w:val="20"/>
                </w:rPr>
                <w:t>Item 1. Legal Proceedings</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14">
              <w:r>
                <w:rPr>
                  <w:rStyle w:val="InternetLink"/>
                  <w:rFonts w:ascii="Times New Roman" w:hAnsi="Times New Roman"/>
                  <w:i/>
                  <w:sz w:val="20"/>
                </w:rPr>
                <w:t>Item 1A. Risk Factors</w:t>
              </w:r>
            </w:hyperlink>
            <w:hyperlink w:anchor="toc328034_14">
              <w:r>
                <w:rPr>
                  <w:rStyle w:val="InternetLink"/>
                  <w:rFonts w:ascii="Times New Roman" w:hAnsi="Times New Roman"/>
                  <w:sz w:val="20"/>
                </w:rPr>
                <w:t xml:space="preserve"> </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15">
              <w:r>
                <w:rPr>
                  <w:rStyle w:val="InternetLink"/>
                  <w:rFonts w:ascii="Times New Roman" w:hAnsi="Times New Roman"/>
                  <w:i/>
                  <w:sz w:val="20"/>
                </w:rPr>
                <w:t>Item 2. Unregistered Sales of Equity Securities and Use of Proceeds</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16">
              <w:r>
                <w:rPr>
                  <w:rStyle w:val="InternetLink"/>
                  <w:rFonts w:ascii="Times New Roman" w:hAnsi="Times New Roman"/>
                  <w:i/>
                  <w:sz w:val="20"/>
                </w:rPr>
                <w:t>Item 6. Exhibits</w:t>
              </w:r>
            </w:hyperlink>
            <w:hyperlink w:anchor="toc328034_16">
              <w:r>
                <w:rPr>
                  <w:rStyle w:val="InternetLink"/>
                  <w:rFonts w:ascii="Times New Roman" w:hAnsi="Times New Roman"/>
                  <w:sz w:val="20"/>
                </w:rPr>
                <w:t xml:space="preserve"> </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17">
              <w:r>
                <w:rPr>
                  <w:rStyle w:val="InternetLink"/>
                  <w:rFonts w:ascii="Times New Roman" w:hAnsi="Times New Roman"/>
                  <w:sz w:val="20"/>
                </w:rPr>
                <w:t xml:space="preserve">SIGNATURES </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1" w:type="dxa"/>
            <w:tcBorders/>
            <w:shd w:fill="auto" w:val="clear"/>
            <w:vAlign w:val="bottom"/>
          </w:tcPr>
          <w:p>
            <w:pPr>
              <w:pStyle w:val="TableContents"/>
              <w:spacing w:before="0" w:after="283"/>
              <w:rPr/>
            </w:pPr>
            <w:r>
              <w:rPr/>
              <w:t>  </w:t>
            </w:r>
          </w:p>
        </w:tc>
      </w:tr>
      <w:tr>
        <w:trPr>
          <w:trHeight w:val="120" w:hRule="atLeast"/>
        </w:trPr>
        <w:tc>
          <w:tcPr>
            <w:tcW w:w="9597" w:type="dxa"/>
            <w:tcBorders/>
            <w:shd w:fill="auto" w:val="clear"/>
            <w:vAlign w:val="center"/>
          </w:tcPr>
          <w:p>
            <w:pPr>
              <w:pStyle w:val="TableContents"/>
              <w:spacing w:before="0" w:after="283"/>
              <w:rPr>
                <w:sz w:val="4"/>
                <w:szCs w:val="4"/>
              </w:rPr>
            </w:pPr>
            <w:r>
              <w:rPr>
                <w:sz w:val="4"/>
                <w:szCs w:val="4"/>
              </w:rPr>
            </w:r>
          </w:p>
        </w:tc>
        <w:tc>
          <w:tcPr>
            <w:tcW w:w="608" w:type="dxa"/>
            <w:gridSpan w:val="4"/>
            <w:tcBorders/>
            <w:shd w:fill="auto" w:val="clear"/>
            <w:vAlign w:val="center"/>
          </w:tcPr>
          <w:p>
            <w:pPr>
              <w:pStyle w:val="TableContents"/>
              <w:spacing w:before="0" w:after="283"/>
              <w:rPr>
                <w:sz w:val="4"/>
                <w:szCs w:val="4"/>
              </w:rPr>
            </w:pPr>
            <w:r>
              <w:rPr>
                <w:sz w:val="4"/>
                <w:szCs w:val="4"/>
              </w:rPr>
            </w:r>
          </w:p>
        </w:tc>
      </w:tr>
      <w:tr>
        <w:trPr/>
        <w:tc>
          <w:tcPr>
            <w:tcW w:w="9597" w:type="dxa"/>
            <w:tcBorders/>
            <w:shd w:fill="auto" w:val="clear"/>
          </w:tcPr>
          <w:p>
            <w:pPr>
              <w:pStyle w:val="TableContents"/>
              <w:spacing w:before="0" w:after="283"/>
              <w:rPr/>
            </w:pPr>
            <w:hyperlink w:anchor="toc328034_18">
              <w:r>
                <w:rPr>
                  <w:rStyle w:val="InternetLink"/>
                  <w:rFonts w:ascii="Times New Roman" w:hAnsi="Times New Roman"/>
                  <w:sz w:val="20"/>
                </w:rPr>
                <w:t xml:space="preserve">EXHIBIT INDEX </w:t>
              </w:r>
            </w:hyperlink>
          </w:p>
        </w:tc>
        <w:tc>
          <w:tcPr>
            <w:tcW w:w="19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1"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bookmarkStart w:id="3" w:name="toc328034_2"/>
      <w:bookmarkEnd w:id="3"/>
      <w:r>
        <w:rPr>
          <w:rFonts w:ascii="Times New Roman" w:hAnsi="Times New Roman"/>
          <w:b/>
          <w:sz w:val="20"/>
        </w:rPr>
        <w:t>I</w:t>
      </w:r>
      <w:r>
        <w:rPr>
          <w:rFonts w:ascii="Times New Roman" w:hAnsi="Times New Roman"/>
          <w:b/>
          <w:sz w:val="14"/>
        </w:rPr>
        <w:t>TEM </w:t>
      </w:r>
      <w:r>
        <w:rPr>
          <w:rFonts w:ascii="Times New Roman" w:hAnsi="Times New Roman"/>
          <w:b/>
          <w:sz w:val="20"/>
        </w:rPr>
        <w:t>1. F</w:t>
      </w:r>
      <w:r>
        <w:rPr>
          <w:rFonts w:ascii="Times New Roman" w:hAnsi="Times New Roman"/>
          <w:b/>
          <w:sz w:val="14"/>
        </w:rPr>
        <w:t>INANCIAL</w:t>
      </w:r>
      <w:r>
        <w:rPr>
          <w:rFonts w:ascii="Times New Roman" w:hAnsi="Times New Roman"/>
          <w:b/>
          <w:sz w:val="20"/>
        </w:rPr>
        <w:t xml:space="preserve"> S</w:t>
      </w:r>
      <w:r>
        <w:rPr>
          <w:rFonts w:ascii="Times New Roman" w:hAnsi="Times New Roman"/>
          <w:b/>
          <w:sz w:val="14"/>
        </w:rPr>
        <w:t>TATEMENTS</w:t>
      </w:r>
      <w:r>
        <w:rPr>
          <w:rFonts w:ascii="Times New Roman" w:hAnsi="Times New Roman"/>
          <w:b/>
          <w:sz w:val="20"/>
        </w:rPr>
        <w:t xml:space="preserve"> </w:t>
      </w:r>
      <w:r>
        <w:rPr>
          <w:rFonts w:ascii="Times New Roman" w:hAnsi="Times New Roman"/>
          <w:b/>
          <w:sz w:val="14"/>
        </w:rPr>
        <w:t>AND</w:t>
      </w:r>
      <w:r>
        <w:rPr>
          <w:rFonts w:ascii="Times New Roman" w:hAnsi="Times New Roman"/>
          <w:b/>
          <w:sz w:val="20"/>
        </w:rPr>
        <w:t xml:space="preserve"> S</w:t>
      </w:r>
      <w:r>
        <w:rPr>
          <w:rFonts w:ascii="Times New Roman" w:hAnsi="Times New Roman"/>
          <w:b/>
          <w:sz w:val="14"/>
        </w:rPr>
        <w:t>UPPLEMENTARY</w:t>
      </w:r>
      <w:r>
        <w:rPr>
          <w:rFonts w:ascii="Times New Roman" w:hAnsi="Times New Roman"/>
          <w:b/>
          <w:sz w:val="20"/>
        </w:rPr>
        <w:t xml:space="preserve"> D</w:t>
      </w:r>
      <w:r>
        <w:rPr>
          <w:rFonts w:ascii="Times New Roman" w:hAnsi="Times New Roman"/>
          <w:b/>
          <w:sz w:val="14"/>
        </w:rPr>
        <w:t>ATA</w:t>
      </w:r>
      <w:r>
        <w:rPr>
          <w:rFonts w:ascii="Times New Roman" w:hAnsi="Times New Roman"/>
          <w:b/>
          <w:sz w:val="20"/>
        </w:rPr>
        <w:t xml:space="preserve"> </w:t>
      </w:r>
    </w:p>
    <w:p>
      <w:pPr>
        <w:pStyle w:val="TextBody"/>
        <w:spacing w:before="90" w:after="0"/>
        <w:jc w:val="center"/>
        <w:rPr>
          <w:rFonts w:ascii="Times New Roman" w:hAnsi="Times New Roman"/>
          <w:sz w:val="20"/>
        </w:rPr>
      </w:pPr>
      <w:bookmarkStart w:id="4" w:name="toc328034_3"/>
      <w:bookmarkEnd w:id="4"/>
      <w:r>
        <w:rPr>
          <w:rFonts w:ascii="Times New Roman" w:hAnsi="Times New Roman"/>
          <w:sz w:val="20"/>
        </w:rPr>
        <w:t xml:space="preserve">Condensed Consolidated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22"/>
        <w:gridCol w:w="223"/>
        <w:gridCol w:w="125"/>
        <w:gridCol w:w="874"/>
        <w:gridCol w:w="125"/>
        <w:gridCol w:w="188"/>
        <w:gridCol w:w="125"/>
        <w:gridCol w:w="710"/>
        <w:gridCol w:w="120"/>
        <w:gridCol w:w="223"/>
        <w:gridCol w:w="126"/>
        <w:gridCol w:w="715"/>
        <w:gridCol w:w="129"/>
      </w:tblGrid>
      <w:tr>
        <w:trPr/>
        <w:tc>
          <w:tcPr>
            <w:tcW w:w="65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br/>
              <w:t>2012</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br/>
              <w:t>2011</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br/>
              <w:t>2011</w:t>
            </w:r>
          </w:p>
        </w:tc>
        <w:tc>
          <w:tcPr>
            <w:tcW w:w="129" w:type="dxa"/>
            <w:tcBorders/>
            <w:shd w:fill="auto" w:val="clear"/>
            <w:vAlign w:val="bottom"/>
          </w:tcPr>
          <w:p>
            <w:pPr>
              <w:pStyle w:val="TableContents"/>
              <w:spacing w:before="0" w:after="283"/>
              <w:rPr/>
            </w:pPr>
            <w:r>
              <w:rPr/>
              <w:t> </w:t>
            </w:r>
          </w:p>
        </w:tc>
      </w:tr>
      <w:tr>
        <w:trPr/>
        <w:tc>
          <w:tcPr>
            <w:tcW w:w="6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6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3331"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47,499</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59,785</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122,305</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106,525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145,318</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net</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23,998</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11,948</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14,611</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22,296</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19,976</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26,455</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 receivable, net</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24,551</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6,026</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6,775</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87,891</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70,275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90,373</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18,228</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23,319</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18,125</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receivable</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2,391</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1,427</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34,443</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20,045</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30,611</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5"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383,602</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319,326</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356,237</w:t>
            </w:r>
          </w:p>
        </w:tc>
        <w:tc>
          <w:tcPr>
            <w:tcW w:w="129" w:type="dxa"/>
            <w:tcBorders/>
            <w:shd w:fill="auto" w:val="clear"/>
            <w:vAlign w:val="bottom"/>
          </w:tcPr>
          <w:p>
            <w:pPr>
              <w:pStyle w:val="TableContents"/>
              <w:spacing w:before="0" w:after="283"/>
              <w:rPr/>
            </w:pPr>
            <w:r>
              <w:rPr/>
              <w:t>  </w:t>
            </w:r>
          </w:p>
        </w:tc>
      </w:tr>
      <w:tr>
        <w:trPr>
          <w:trHeight w:val="120" w:hRule="atLeast"/>
        </w:trPr>
        <w:tc>
          <w:tcPr>
            <w:tcW w:w="6522" w:type="dxa"/>
            <w:tcBorders/>
            <w:shd w:fill="auto" w:val="clear"/>
            <w:vAlign w:val="center"/>
          </w:tcPr>
          <w:p>
            <w:pPr>
              <w:pStyle w:val="TableContents"/>
              <w:spacing w:before="0" w:after="283"/>
              <w:rPr>
                <w:sz w:val="4"/>
                <w:szCs w:val="4"/>
              </w:rPr>
            </w:pPr>
            <w:r>
              <w:rPr>
                <w:sz w:val="4"/>
                <w:szCs w:val="4"/>
              </w:rPr>
            </w:r>
          </w:p>
        </w:tc>
        <w:tc>
          <w:tcPr>
            <w:tcW w:w="1347" w:type="dxa"/>
            <w:gridSpan w:val="4"/>
            <w:tcBorders/>
            <w:shd w:fill="auto" w:val="clear"/>
            <w:vAlign w:val="center"/>
          </w:tcPr>
          <w:p>
            <w:pPr>
              <w:pStyle w:val="TableContents"/>
              <w:spacing w:before="0" w:after="283"/>
              <w:rPr>
                <w:sz w:val="4"/>
                <w:szCs w:val="4"/>
              </w:rPr>
            </w:pPr>
            <w:r>
              <w:rPr>
                <w:sz w:val="4"/>
                <w:szCs w:val="4"/>
              </w:rPr>
            </w:r>
          </w:p>
        </w:tc>
        <w:tc>
          <w:tcPr>
            <w:tcW w:w="1143" w:type="dxa"/>
            <w:gridSpan w:val="4"/>
            <w:tcBorders/>
            <w:shd w:fill="auto" w:val="clear"/>
            <w:vAlign w:val="center"/>
          </w:tcPr>
          <w:p>
            <w:pPr>
              <w:pStyle w:val="TableContents"/>
              <w:spacing w:before="0" w:after="283"/>
              <w:rPr>
                <w:sz w:val="4"/>
                <w:szCs w:val="4"/>
              </w:rPr>
            </w:pPr>
            <w:r>
              <w:rPr>
                <w:sz w:val="4"/>
                <w:szCs w:val="4"/>
              </w:rPr>
            </w:r>
          </w:p>
        </w:tc>
        <w:tc>
          <w:tcPr>
            <w:tcW w:w="1193" w:type="dxa"/>
            <w:gridSpan w:val="4"/>
            <w:tcBorders/>
            <w:shd w:fill="auto" w:val="clear"/>
            <w:vAlign w:val="center"/>
          </w:tcPr>
          <w:p>
            <w:pPr>
              <w:pStyle w:val="TableContents"/>
              <w:spacing w:before="0" w:after="283"/>
              <w:rPr>
                <w:sz w:val="4"/>
                <w:szCs w:val="4"/>
              </w:rPr>
            </w:pPr>
            <w:r>
              <w:rPr>
                <w:sz w:val="4"/>
                <w:szCs w:val="4"/>
              </w:rPr>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120,056</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112,364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120,319</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95,046</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70,105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78,498</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320,692</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143,404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38,904</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16,122</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19,790</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consumer loans, net</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52,740</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18,129</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7,572</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129" w:type="dxa"/>
            <w:tcBorders/>
            <w:shd w:fill="auto" w:val="clear"/>
            <w:vAlign w:val="bottom"/>
          </w:tcPr>
          <w:p>
            <w:pPr>
              <w:pStyle w:val="TableContents"/>
              <w:spacing w:before="0" w:after="283"/>
              <w:rPr/>
            </w:pPr>
            <w:r>
              <w:rPr/>
              <w:t>  </w:t>
            </w:r>
          </w:p>
        </w:tc>
      </w:tr>
      <w:tr>
        <w:trPr/>
        <w:tc>
          <w:tcPr>
            <w:tcW w:w="6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5"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1,029,169</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668,893</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15"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6522" w:type="dxa"/>
            <w:tcBorders/>
            <w:shd w:fill="auto" w:val="clear"/>
            <w:vAlign w:val="center"/>
          </w:tcPr>
          <w:p>
            <w:pPr>
              <w:pStyle w:val="TableContents"/>
              <w:spacing w:before="0" w:after="283"/>
              <w:rPr>
                <w:sz w:val="4"/>
                <w:szCs w:val="4"/>
              </w:rPr>
            </w:pPr>
            <w:r>
              <w:rPr>
                <w:sz w:val="4"/>
                <w:szCs w:val="4"/>
              </w:rPr>
            </w:r>
          </w:p>
        </w:tc>
        <w:tc>
          <w:tcPr>
            <w:tcW w:w="1347" w:type="dxa"/>
            <w:gridSpan w:val="4"/>
            <w:tcBorders/>
            <w:shd w:fill="auto" w:val="clear"/>
            <w:vAlign w:val="center"/>
          </w:tcPr>
          <w:p>
            <w:pPr>
              <w:pStyle w:val="TableContents"/>
              <w:spacing w:before="0" w:after="283"/>
              <w:rPr>
                <w:sz w:val="4"/>
                <w:szCs w:val="4"/>
              </w:rPr>
            </w:pPr>
            <w:r>
              <w:rPr>
                <w:sz w:val="4"/>
                <w:szCs w:val="4"/>
              </w:rPr>
            </w:r>
          </w:p>
        </w:tc>
        <w:tc>
          <w:tcPr>
            <w:tcW w:w="1143" w:type="dxa"/>
            <w:gridSpan w:val="4"/>
            <w:tcBorders/>
            <w:shd w:fill="auto" w:val="clear"/>
            <w:vAlign w:val="center"/>
          </w:tcPr>
          <w:p>
            <w:pPr>
              <w:pStyle w:val="TableContents"/>
              <w:spacing w:before="0" w:after="283"/>
              <w:rPr>
                <w:sz w:val="4"/>
                <w:szCs w:val="4"/>
              </w:rPr>
            </w:pPr>
            <w:r>
              <w:rPr>
                <w:sz w:val="4"/>
                <w:szCs w:val="4"/>
              </w:rPr>
            </w:r>
          </w:p>
        </w:tc>
        <w:tc>
          <w:tcPr>
            <w:tcW w:w="1193" w:type="dxa"/>
            <w:gridSpan w:val="4"/>
            <w:tcBorders/>
            <w:shd w:fill="auto" w:val="clear"/>
            <w:vAlign w:val="center"/>
          </w:tcPr>
          <w:p>
            <w:pPr>
              <w:pStyle w:val="TableContents"/>
              <w:spacing w:before="0" w:after="283"/>
              <w:rPr>
                <w:sz w:val="4"/>
                <w:szCs w:val="4"/>
              </w:rPr>
            </w:pPr>
            <w:r>
              <w:rPr>
                <w:sz w:val="4"/>
                <w:szCs w:val="4"/>
              </w:rPr>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Liabilities and stockholders equity:</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Current maturities of long-term debt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23,258</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75,866</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44,754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57,400</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7,193</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6,844</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6,176</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payable</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5"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106,317</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61,598</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64,269</w:t>
            </w:r>
          </w:p>
        </w:tc>
        <w:tc>
          <w:tcPr>
            <w:tcW w:w="129" w:type="dxa"/>
            <w:tcBorders/>
            <w:shd w:fill="auto" w:val="clear"/>
            <w:vAlign w:val="bottom"/>
          </w:tcPr>
          <w:p>
            <w:pPr>
              <w:pStyle w:val="TableContents"/>
              <w:spacing w:before="0" w:after="283"/>
              <w:rPr/>
            </w:pPr>
            <w:r>
              <w:rPr/>
              <w:t>  </w:t>
            </w:r>
          </w:p>
        </w:tc>
      </w:tr>
      <w:tr>
        <w:trPr>
          <w:trHeight w:val="120" w:hRule="atLeast"/>
        </w:trPr>
        <w:tc>
          <w:tcPr>
            <w:tcW w:w="6522" w:type="dxa"/>
            <w:tcBorders/>
            <w:shd w:fill="auto" w:val="clear"/>
            <w:vAlign w:val="center"/>
          </w:tcPr>
          <w:p>
            <w:pPr>
              <w:pStyle w:val="TableContents"/>
              <w:spacing w:before="0" w:after="283"/>
              <w:rPr>
                <w:sz w:val="4"/>
                <w:szCs w:val="4"/>
              </w:rPr>
            </w:pPr>
            <w:r>
              <w:rPr>
                <w:sz w:val="4"/>
                <w:szCs w:val="4"/>
              </w:rPr>
            </w:r>
          </w:p>
        </w:tc>
        <w:tc>
          <w:tcPr>
            <w:tcW w:w="1347" w:type="dxa"/>
            <w:gridSpan w:val="4"/>
            <w:tcBorders/>
            <w:shd w:fill="auto" w:val="clear"/>
            <w:vAlign w:val="center"/>
          </w:tcPr>
          <w:p>
            <w:pPr>
              <w:pStyle w:val="TableContents"/>
              <w:spacing w:before="0" w:after="283"/>
              <w:rPr>
                <w:sz w:val="4"/>
                <w:szCs w:val="4"/>
              </w:rPr>
            </w:pPr>
            <w:r>
              <w:rPr>
                <w:sz w:val="4"/>
                <w:szCs w:val="4"/>
              </w:rPr>
            </w:r>
          </w:p>
        </w:tc>
        <w:tc>
          <w:tcPr>
            <w:tcW w:w="1143" w:type="dxa"/>
            <w:gridSpan w:val="4"/>
            <w:tcBorders/>
            <w:shd w:fill="auto" w:val="clear"/>
            <w:vAlign w:val="center"/>
          </w:tcPr>
          <w:p>
            <w:pPr>
              <w:pStyle w:val="TableContents"/>
              <w:spacing w:before="0" w:after="283"/>
              <w:rPr>
                <w:sz w:val="4"/>
                <w:szCs w:val="4"/>
              </w:rPr>
            </w:pPr>
            <w:r>
              <w:rPr>
                <w:sz w:val="4"/>
                <w:szCs w:val="4"/>
              </w:rPr>
            </w:r>
          </w:p>
        </w:tc>
        <w:tc>
          <w:tcPr>
            <w:tcW w:w="1193" w:type="dxa"/>
            <w:gridSpan w:val="4"/>
            <w:tcBorders/>
            <w:shd w:fill="auto" w:val="clear"/>
            <w:vAlign w:val="center"/>
          </w:tcPr>
          <w:p>
            <w:pPr>
              <w:pStyle w:val="TableContents"/>
              <w:spacing w:before="0" w:after="283"/>
              <w:rPr>
                <w:sz w:val="4"/>
                <w:szCs w:val="4"/>
              </w:rPr>
            </w:pPr>
            <w:r>
              <w:rPr>
                <w:sz w:val="4"/>
                <w:szCs w:val="4"/>
              </w:rPr>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109,096</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9,507</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1,192</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8,331</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14,423</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2,102</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5"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239,343</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75,104</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92,202</w:t>
            </w:r>
          </w:p>
        </w:tc>
        <w:tc>
          <w:tcPr>
            <w:tcW w:w="129" w:type="dxa"/>
            <w:tcBorders/>
            <w:shd w:fill="auto" w:val="clear"/>
            <w:vAlign w:val="bottom"/>
          </w:tcPr>
          <w:p>
            <w:pPr>
              <w:pStyle w:val="TableContents"/>
              <w:spacing w:before="0" w:after="283"/>
              <w:rPr/>
            </w:pPr>
            <w:r>
              <w:rPr/>
              <w:t>  </w:t>
            </w:r>
          </w:p>
        </w:tc>
      </w:tr>
      <w:tr>
        <w:trPr>
          <w:trHeight w:val="120" w:hRule="atLeast"/>
        </w:trPr>
        <w:tc>
          <w:tcPr>
            <w:tcW w:w="6522" w:type="dxa"/>
            <w:tcBorders/>
            <w:shd w:fill="auto" w:val="clear"/>
            <w:vAlign w:val="center"/>
          </w:tcPr>
          <w:p>
            <w:pPr>
              <w:pStyle w:val="TableContents"/>
              <w:spacing w:before="0" w:after="283"/>
              <w:rPr>
                <w:sz w:val="4"/>
                <w:szCs w:val="4"/>
              </w:rPr>
            </w:pPr>
            <w:r>
              <w:rPr>
                <w:sz w:val="4"/>
                <w:szCs w:val="4"/>
              </w:rPr>
            </w:r>
          </w:p>
        </w:tc>
        <w:tc>
          <w:tcPr>
            <w:tcW w:w="1347" w:type="dxa"/>
            <w:gridSpan w:val="4"/>
            <w:tcBorders/>
            <w:shd w:fill="auto" w:val="clear"/>
            <w:vAlign w:val="center"/>
          </w:tcPr>
          <w:p>
            <w:pPr>
              <w:pStyle w:val="TableContents"/>
              <w:spacing w:before="0" w:after="283"/>
              <w:rPr>
                <w:sz w:val="4"/>
                <w:szCs w:val="4"/>
              </w:rPr>
            </w:pPr>
            <w:r>
              <w:rPr>
                <w:sz w:val="4"/>
                <w:szCs w:val="4"/>
              </w:rPr>
            </w:r>
          </w:p>
        </w:tc>
        <w:tc>
          <w:tcPr>
            <w:tcW w:w="1143" w:type="dxa"/>
            <w:gridSpan w:val="4"/>
            <w:tcBorders/>
            <w:shd w:fill="auto" w:val="clear"/>
            <w:vAlign w:val="center"/>
          </w:tcPr>
          <w:p>
            <w:pPr>
              <w:pStyle w:val="TableContents"/>
              <w:spacing w:before="0" w:after="283"/>
              <w:rPr>
                <w:sz w:val="4"/>
                <w:szCs w:val="4"/>
              </w:rPr>
            </w:pPr>
            <w:r>
              <w:rPr>
                <w:sz w:val="4"/>
                <w:szCs w:val="4"/>
              </w:rPr>
            </w:r>
          </w:p>
        </w:tc>
        <w:tc>
          <w:tcPr>
            <w:tcW w:w="1193" w:type="dxa"/>
            <w:gridSpan w:val="4"/>
            <w:tcBorders/>
            <w:shd w:fill="auto" w:val="clear"/>
            <w:vAlign w:val="center"/>
          </w:tcPr>
          <w:p>
            <w:pPr>
              <w:pStyle w:val="TableContents"/>
              <w:spacing w:before="0" w:after="283"/>
              <w:rPr>
                <w:sz w:val="4"/>
                <w:szCs w:val="4"/>
              </w:rPr>
            </w:pPr>
            <w:r>
              <w:rPr>
                <w:sz w:val="4"/>
                <w:szCs w:val="4"/>
              </w:rPr>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1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Temporary equity:</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Redeemable noncontrolling interest</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34,108</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1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Class A Non-voting Common Stock, par value $.01 per share; authorized 54 million shares; issued and outstanding: 48,002,116 at March 31, 2012; 46,954,535 at March 31, 2011; and 47,228,610 at September 30, 2011</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Class B Voting Common Stock, convertible, par value $.01 per share; 3 million shares authorized; issued and outstanding: 2,970,171</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258,343</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231,263</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242,398</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498,708</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359,203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422,095</w:t>
            </w:r>
          </w:p>
        </w:tc>
        <w:tc>
          <w:tcPr>
            <w:tcW w:w="129" w:type="dxa"/>
            <w:tcBorders/>
            <w:shd w:fill="auto" w:val="clear"/>
            <w:vAlign w:val="bottom"/>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income (loss)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5"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522" w:type="dxa"/>
            <w:tcBorders/>
            <w:shd w:fill="auto" w:val="clear"/>
          </w:tcPr>
          <w:p>
            <w:pPr>
              <w:pStyle w:val="TableContents"/>
              <w:spacing w:before="0" w:after="283"/>
              <w:rPr>
                <w:rFonts w:ascii="Times New Roman" w:hAnsi="Times New Roman"/>
                <w:sz w:val="20"/>
              </w:rPr>
            </w:pPr>
            <w:r>
              <w:rPr>
                <w:rFonts w:ascii="Times New Roman" w:hAnsi="Times New Roman"/>
                <w:sz w:val="20"/>
              </w:rPr>
              <w:t>EZCORP, Inc. stockholders equity</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755,718</w:t>
            </w:r>
          </w:p>
        </w:tc>
        <w:tc>
          <w:tcPr>
            <w:tcW w:w="125"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593,789</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664,248</w:t>
            </w:r>
          </w:p>
        </w:tc>
        <w:tc>
          <w:tcPr>
            <w:tcW w:w="129" w:type="dxa"/>
            <w:tcBorders/>
            <w:shd w:fill="auto" w:val="clear"/>
            <w:vAlign w:val="bottom"/>
          </w:tcPr>
          <w:p>
            <w:pPr>
              <w:pStyle w:val="TableContents"/>
              <w:spacing w:before="0" w:after="283"/>
              <w:rPr/>
            </w:pPr>
            <w:r>
              <w:rPr/>
              <w:t>  </w:t>
            </w:r>
          </w:p>
        </w:tc>
      </w:tr>
      <w:tr>
        <w:trPr/>
        <w:tc>
          <w:tcPr>
            <w:tcW w:w="6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15"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522"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stockholders equity</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1,029,169</w:t>
            </w:r>
          </w:p>
        </w:tc>
        <w:tc>
          <w:tcPr>
            <w:tcW w:w="125"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668,893</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29" w:type="dxa"/>
            <w:tcBorders/>
            <w:shd w:fill="CCEEFF" w:val="clear"/>
            <w:vAlign w:val="bottom"/>
          </w:tcPr>
          <w:p>
            <w:pPr>
              <w:pStyle w:val="TableContents"/>
              <w:spacing w:before="0" w:after="283"/>
              <w:rPr/>
            </w:pPr>
            <w:r>
              <w:rPr/>
              <w:t>  </w:t>
            </w:r>
          </w:p>
        </w:tc>
      </w:tr>
      <w:tr>
        <w:trPr/>
        <w:tc>
          <w:tcPr>
            <w:tcW w:w="6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15"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See accompanying notes to interim condensed consolidated financial statements (unaudited).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5" w:name="toc328034_4"/>
      <w:bookmarkEnd w:id="5"/>
      <w:r>
        <w:rPr>
          <w:rFonts w:ascii="Times New Roman" w:hAnsi="Times New Roman"/>
          <w:sz w:val="20"/>
        </w:rPr>
        <w:t xml:space="preserve">Condensed Consolidated Statements of Operations (Unaudited)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40"/>
        <w:gridCol w:w="215"/>
        <w:gridCol w:w="125"/>
        <w:gridCol w:w="702"/>
        <w:gridCol w:w="125"/>
        <w:gridCol w:w="179"/>
        <w:gridCol w:w="125"/>
        <w:gridCol w:w="702"/>
        <w:gridCol w:w="125"/>
        <w:gridCol w:w="179"/>
        <w:gridCol w:w="125"/>
        <w:gridCol w:w="701"/>
        <w:gridCol w:w="125"/>
        <w:gridCol w:w="179"/>
        <w:gridCol w:w="125"/>
        <w:gridCol w:w="702"/>
        <w:gridCol w:w="131"/>
      </w:tblGrid>
      <w:tr>
        <w:trPr/>
        <w:tc>
          <w:tcPr>
            <w:tcW w:w="564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6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958"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957"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Six Months Ended</w:t>
            </w:r>
          </w:p>
        </w:tc>
        <w:tc>
          <w:tcPr>
            <w:tcW w:w="131"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95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95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31"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1"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219"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 except per share amounts)</w:t>
            </w:r>
          </w:p>
        </w:tc>
        <w:tc>
          <w:tcPr>
            <w:tcW w:w="131"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148,172</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125,768</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291,469</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248,313</w:t>
            </w:r>
          </w:p>
        </w:tc>
        <w:tc>
          <w:tcPr>
            <w:tcW w:w="131"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56,444</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46,769</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116,236</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96,579</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50,319</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95,407</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86,782</w:t>
            </w:r>
          </w:p>
        </w:tc>
        <w:tc>
          <w:tcPr>
            <w:tcW w:w="131"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Other revenues</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1,343</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2,039</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256,278</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213,254</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505,151</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432,080</w:t>
            </w:r>
          </w:p>
        </w:tc>
        <w:tc>
          <w:tcPr>
            <w:tcW w:w="131" w:type="dxa"/>
            <w:tcBorders/>
            <w:shd w:fill="auto" w:val="clear"/>
            <w:vAlign w:val="bottom"/>
          </w:tcPr>
          <w:p>
            <w:pPr>
              <w:pStyle w:val="TableContents"/>
              <w:spacing w:before="0" w:after="283"/>
              <w:rPr/>
            </w:pPr>
            <w:r>
              <w:rPr/>
              <w:t>  </w:t>
            </w:r>
          </w:p>
        </w:tc>
      </w:tr>
      <w:tr>
        <w:trPr>
          <w:trHeight w:val="120" w:hRule="atLeast"/>
        </w:trPr>
        <w:tc>
          <w:tcPr>
            <w:tcW w:w="5640" w:type="dxa"/>
            <w:tcBorders/>
            <w:shd w:fill="auto" w:val="clear"/>
            <w:vAlign w:val="center"/>
          </w:tcPr>
          <w:p>
            <w:pPr>
              <w:pStyle w:val="TableContents"/>
              <w:spacing w:before="0" w:after="283"/>
              <w:rPr>
                <w:sz w:val="4"/>
                <w:szCs w:val="4"/>
              </w:rPr>
            </w:pPr>
            <w:r>
              <w:rPr>
                <w:sz w:val="4"/>
                <w:szCs w:val="4"/>
              </w:rPr>
            </w:r>
          </w:p>
        </w:tc>
        <w:tc>
          <w:tcPr>
            <w:tcW w:w="1167"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37" w:type="dxa"/>
            <w:gridSpan w:val="4"/>
            <w:tcBorders/>
            <w:shd w:fill="auto" w:val="clear"/>
            <w:vAlign w:val="center"/>
          </w:tcPr>
          <w:p>
            <w:pPr>
              <w:pStyle w:val="TableContents"/>
              <w:spacing w:before="0" w:after="283"/>
              <w:rPr>
                <w:sz w:val="4"/>
                <w:szCs w:val="4"/>
              </w:rPr>
            </w:pPr>
            <w:r>
              <w:rPr>
                <w:sz w:val="4"/>
                <w:szCs w:val="4"/>
              </w:rPr>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88,190</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76,564</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172,010</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150,130</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17,491</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31"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161,622</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130,950</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315,650</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265,182</w:t>
            </w:r>
          </w:p>
        </w:tc>
        <w:tc>
          <w:tcPr>
            <w:tcW w:w="131" w:type="dxa"/>
            <w:tcBorders/>
            <w:shd w:fill="CCEEFF" w:val="clear"/>
            <w:vAlign w:val="bottom"/>
          </w:tcPr>
          <w:p>
            <w:pPr>
              <w:pStyle w:val="TableContents"/>
              <w:spacing w:before="0" w:after="283"/>
              <w:rPr/>
            </w:pPr>
            <w:r>
              <w:rPr/>
              <w:t>  </w:t>
            </w:r>
          </w:p>
        </w:tc>
      </w:tr>
      <w:tr>
        <w:trPr>
          <w:trHeight w:val="120" w:hRule="atLeast"/>
        </w:trPr>
        <w:tc>
          <w:tcPr>
            <w:tcW w:w="5640" w:type="dxa"/>
            <w:tcBorders/>
            <w:shd w:fill="auto" w:val="clear"/>
            <w:vAlign w:val="center"/>
          </w:tcPr>
          <w:p>
            <w:pPr>
              <w:pStyle w:val="TableContents"/>
              <w:spacing w:before="0" w:after="283"/>
              <w:rPr>
                <w:sz w:val="4"/>
                <w:szCs w:val="4"/>
              </w:rPr>
            </w:pPr>
            <w:r>
              <w:rPr>
                <w:sz w:val="4"/>
                <w:szCs w:val="4"/>
              </w:rPr>
            </w:r>
          </w:p>
        </w:tc>
        <w:tc>
          <w:tcPr>
            <w:tcW w:w="1167"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37" w:type="dxa"/>
            <w:gridSpan w:val="4"/>
            <w:tcBorders/>
            <w:shd w:fill="auto" w:val="clear"/>
            <w:vAlign w:val="center"/>
          </w:tcPr>
          <w:p>
            <w:pPr>
              <w:pStyle w:val="TableContents"/>
              <w:spacing w:before="0" w:after="283"/>
              <w:rPr>
                <w:sz w:val="4"/>
                <w:szCs w:val="4"/>
              </w:rPr>
            </w:pPr>
            <w:r>
              <w:rPr>
                <w:sz w:val="4"/>
                <w:szCs w:val="4"/>
              </w:rPr>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77,269</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66,045</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151,770</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130,549</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21,353</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15,733</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41,064</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41,871</w:t>
            </w:r>
          </w:p>
        </w:tc>
        <w:tc>
          <w:tcPr>
            <w:tcW w:w="131"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7,259</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4,466</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12,514</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8,645</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(Gain) loss on sale or disposal of assets</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105,908</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86,066</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205,174</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180,894</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rHeight w:val="120" w:hRule="atLeast"/>
        </w:trPr>
        <w:tc>
          <w:tcPr>
            <w:tcW w:w="5640" w:type="dxa"/>
            <w:tcBorders/>
            <w:shd w:fill="auto" w:val="clear"/>
            <w:vAlign w:val="center"/>
          </w:tcPr>
          <w:p>
            <w:pPr>
              <w:pStyle w:val="TableContents"/>
              <w:spacing w:before="0" w:after="283"/>
              <w:rPr>
                <w:sz w:val="4"/>
                <w:szCs w:val="4"/>
              </w:rPr>
            </w:pPr>
            <w:r>
              <w:rPr>
                <w:sz w:val="4"/>
                <w:szCs w:val="4"/>
              </w:rPr>
            </w:r>
          </w:p>
        </w:tc>
        <w:tc>
          <w:tcPr>
            <w:tcW w:w="1167"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37" w:type="dxa"/>
            <w:gridSpan w:val="4"/>
            <w:tcBorders/>
            <w:shd w:fill="auto" w:val="clear"/>
            <w:vAlign w:val="center"/>
          </w:tcPr>
          <w:p>
            <w:pPr>
              <w:pStyle w:val="TableContents"/>
              <w:spacing w:before="0" w:after="283"/>
              <w:rPr>
                <w:sz w:val="4"/>
                <w:szCs w:val="4"/>
              </w:rPr>
            </w:pPr>
            <w:r>
              <w:rPr>
                <w:sz w:val="4"/>
                <w:szCs w:val="4"/>
              </w:rPr>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55,714</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44,884</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110,476</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84,288</w:t>
            </w:r>
          </w:p>
        </w:tc>
        <w:tc>
          <w:tcPr>
            <w:tcW w:w="131" w:type="dxa"/>
            <w:tcBorders/>
            <w:shd w:fill="auto" w:val="clear"/>
            <w:vAlign w:val="bottom"/>
          </w:tcPr>
          <w:p>
            <w:pPr>
              <w:pStyle w:val="TableContents"/>
              <w:spacing w:before="0" w:after="283"/>
              <w:rPr/>
            </w:pPr>
            <w:r>
              <w:rPr/>
              <w:t>  </w:t>
            </w:r>
          </w:p>
        </w:tc>
      </w:tr>
      <w:tr>
        <w:trPr>
          <w:trHeight w:val="120" w:hRule="atLeast"/>
        </w:trPr>
        <w:tc>
          <w:tcPr>
            <w:tcW w:w="5640" w:type="dxa"/>
            <w:tcBorders/>
            <w:shd w:fill="auto" w:val="clear"/>
            <w:vAlign w:val="center"/>
          </w:tcPr>
          <w:p>
            <w:pPr>
              <w:pStyle w:val="TableContents"/>
              <w:spacing w:before="0" w:after="283"/>
              <w:rPr>
                <w:sz w:val="4"/>
                <w:szCs w:val="4"/>
              </w:rPr>
            </w:pPr>
            <w:r>
              <w:rPr>
                <w:sz w:val="4"/>
                <w:szCs w:val="4"/>
              </w:rPr>
            </w:r>
          </w:p>
        </w:tc>
        <w:tc>
          <w:tcPr>
            <w:tcW w:w="1167"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37" w:type="dxa"/>
            <w:gridSpan w:val="4"/>
            <w:tcBorders/>
            <w:shd w:fill="auto" w:val="clear"/>
            <w:vAlign w:val="center"/>
          </w:tcPr>
          <w:p>
            <w:pPr>
              <w:pStyle w:val="TableContents"/>
              <w:spacing w:before="0" w:after="283"/>
              <w:rPr>
                <w:sz w:val="4"/>
                <w:szCs w:val="4"/>
              </w:rPr>
            </w:pPr>
            <w:r>
              <w:rPr>
                <w:sz w:val="4"/>
                <w:szCs w:val="4"/>
              </w:rPr>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2,560</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3,150</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31"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(4,577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57,243</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49,282</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116,734</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91,817</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19,870</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17,444</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40,009</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32,550</w:t>
            </w:r>
          </w:p>
        </w:tc>
        <w:tc>
          <w:tcPr>
            <w:tcW w:w="131"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37,373</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redeemable noncontrolling interest</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37,261</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rHeight w:val="120" w:hRule="atLeast"/>
        </w:trPr>
        <w:tc>
          <w:tcPr>
            <w:tcW w:w="5640" w:type="dxa"/>
            <w:tcBorders/>
            <w:shd w:fill="auto" w:val="clear"/>
            <w:vAlign w:val="center"/>
          </w:tcPr>
          <w:p>
            <w:pPr>
              <w:pStyle w:val="TableContents"/>
              <w:spacing w:before="0" w:after="283"/>
              <w:rPr>
                <w:sz w:val="4"/>
                <w:szCs w:val="4"/>
              </w:rPr>
            </w:pPr>
            <w:r>
              <w:rPr>
                <w:sz w:val="4"/>
                <w:szCs w:val="4"/>
              </w:rPr>
            </w:r>
          </w:p>
        </w:tc>
        <w:tc>
          <w:tcPr>
            <w:tcW w:w="1167"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37" w:type="dxa"/>
            <w:gridSpan w:val="4"/>
            <w:tcBorders/>
            <w:shd w:fill="auto" w:val="clear"/>
            <w:vAlign w:val="center"/>
          </w:tcPr>
          <w:p>
            <w:pPr>
              <w:pStyle w:val="TableContents"/>
              <w:spacing w:before="0" w:after="283"/>
              <w:rPr>
                <w:sz w:val="4"/>
                <w:szCs w:val="4"/>
              </w:rPr>
            </w:pPr>
            <w:r>
              <w:rPr>
                <w:sz w:val="4"/>
                <w:szCs w:val="4"/>
              </w:rPr>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common share:</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0.73</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0.64</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31" w:type="dxa"/>
            <w:tcBorders/>
            <w:shd w:fill="CCEEFF"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0.73</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0.63</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31" w:type="dxa"/>
            <w:tcBorders/>
            <w:shd w:fill="auto" w:val="clear"/>
            <w:vAlign w:val="bottom"/>
          </w:tcPr>
          <w:p>
            <w:pPr>
              <w:pStyle w:val="TableContents"/>
              <w:spacing w:before="0" w:after="283"/>
              <w:rPr/>
            </w:pPr>
            <w:r>
              <w:rPr/>
              <w:t>  </w:t>
            </w:r>
          </w:p>
        </w:tc>
      </w:tr>
      <w:tr>
        <w:trPr/>
        <w:tc>
          <w:tcPr>
            <w:tcW w:w="564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outstanding:</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640"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2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50,794</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49,924</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50,573</w:t>
            </w:r>
          </w:p>
        </w:tc>
        <w:tc>
          <w:tcPr>
            <w:tcW w:w="12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49,810</w:t>
            </w:r>
          </w:p>
        </w:tc>
        <w:tc>
          <w:tcPr>
            <w:tcW w:w="131" w:type="dxa"/>
            <w:tcBorders/>
            <w:shd w:fill="auto" w:val="clear"/>
            <w:vAlign w:val="bottom"/>
          </w:tcPr>
          <w:p>
            <w:pPr>
              <w:pStyle w:val="TableContents"/>
              <w:spacing w:before="0" w:after="283"/>
              <w:rPr/>
            </w:pPr>
            <w:r>
              <w:rPr/>
              <w:t>  </w:t>
            </w:r>
          </w:p>
        </w:tc>
      </w:tr>
      <w:tr>
        <w:trPr/>
        <w:tc>
          <w:tcPr>
            <w:tcW w:w="5640"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2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51,069</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50,362</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50,887</w:t>
            </w:r>
          </w:p>
        </w:tc>
        <w:tc>
          <w:tcPr>
            <w:tcW w:w="125"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50,243</w:t>
            </w:r>
          </w:p>
        </w:tc>
        <w:tc>
          <w:tcPr>
            <w:tcW w:w="131"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See accompanying notes to interim condensed consolidated financial statements (unaudited).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6" w:name="toc328034_5"/>
      <w:bookmarkEnd w:id="6"/>
      <w:r>
        <w:rPr>
          <w:rFonts w:ascii="Times New Roman" w:hAnsi="Times New Roman"/>
          <w:sz w:val="20"/>
        </w:rPr>
        <w:t xml:space="preserve">Condensed Consolidated Statements of Comprehensive Income (Unaudited)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65"/>
        <w:gridCol w:w="221"/>
        <w:gridCol w:w="125"/>
        <w:gridCol w:w="591"/>
        <w:gridCol w:w="125"/>
        <w:gridCol w:w="183"/>
        <w:gridCol w:w="125"/>
        <w:gridCol w:w="591"/>
        <w:gridCol w:w="125"/>
        <w:gridCol w:w="183"/>
        <w:gridCol w:w="125"/>
        <w:gridCol w:w="591"/>
        <w:gridCol w:w="124"/>
        <w:gridCol w:w="183"/>
        <w:gridCol w:w="125"/>
        <w:gridCol w:w="591"/>
        <w:gridCol w:w="132"/>
      </w:tblGrid>
      <w:tr>
        <w:trPr/>
        <w:tc>
          <w:tcPr>
            <w:tcW w:w="606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6065"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0"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739"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Six Months Ended</w:t>
            </w:r>
          </w:p>
        </w:tc>
        <w:tc>
          <w:tcPr>
            <w:tcW w:w="132" w:type="dxa"/>
            <w:tcBorders/>
            <w:shd w:fill="auto" w:val="clear"/>
            <w:vAlign w:val="bottom"/>
          </w:tcPr>
          <w:p>
            <w:pPr>
              <w:pStyle w:val="TableContents"/>
              <w:spacing w:before="0" w:after="283"/>
              <w:rPr/>
            </w:pPr>
            <w:r>
              <w:rPr/>
              <w:t> </w:t>
            </w:r>
          </w:p>
        </w:tc>
      </w:tr>
      <w:tr>
        <w:trPr/>
        <w:tc>
          <w:tcPr>
            <w:tcW w:w="6065"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73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32" w:type="dxa"/>
            <w:tcBorders/>
            <w:shd w:fill="auto" w:val="clear"/>
            <w:vAlign w:val="bottom"/>
          </w:tcPr>
          <w:p>
            <w:pPr>
              <w:pStyle w:val="TableContents"/>
              <w:spacing w:before="0" w:after="283"/>
              <w:rPr/>
            </w:pPr>
            <w:r>
              <w:rPr/>
              <w:t> </w:t>
            </w:r>
          </w:p>
        </w:tc>
      </w:tr>
      <w:tr>
        <w:trPr/>
        <w:tc>
          <w:tcPr>
            <w:tcW w:w="6065"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2" w:type="dxa"/>
            <w:tcBorders/>
            <w:shd w:fill="auto" w:val="clear"/>
            <w:vAlign w:val="bottom"/>
          </w:tcPr>
          <w:p>
            <w:pPr>
              <w:pStyle w:val="TableContents"/>
              <w:spacing w:before="0" w:after="283"/>
              <w:rPr/>
            </w:pPr>
            <w:r>
              <w:rPr/>
              <w:t> </w:t>
            </w:r>
          </w:p>
        </w:tc>
      </w:tr>
      <w:tr>
        <w:trPr/>
        <w:tc>
          <w:tcPr>
            <w:tcW w:w="6065"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0"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739"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606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37,373</w:t>
            </w:r>
          </w:p>
        </w:tc>
        <w:tc>
          <w:tcPr>
            <w:tcW w:w="1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2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2" w:type="dxa"/>
            <w:tcBorders/>
            <w:shd w:fill="CCEEFF" w:val="clear"/>
            <w:vAlign w:val="bottom"/>
          </w:tcPr>
          <w:p>
            <w:pPr>
              <w:pStyle w:val="TableContents"/>
              <w:spacing w:before="0" w:after="283"/>
              <w:rPr/>
            </w:pPr>
            <w:r>
              <w:rPr/>
              <w:t>  </w:t>
            </w:r>
          </w:p>
        </w:tc>
      </w:tr>
      <w:tr>
        <w:trPr/>
        <w:tc>
          <w:tcPr>
            <w:tcW w:w="6065"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6065"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6,394</w:t>
            </w:r>
          </w:p>
        </w:tc>
        <w:tc>
          <w:tcPr>
            <w:tcW w:w="1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3,111</w:t>
            </w:r>
          </w:p>
        </w:tc>
        <w:tc>
          <w:tcPr>
            <w:tcW w:w="1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(2,374</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12,888</w:t>
            </w:r>
          </w:p>
        </w:tc>
        <w:tc>
          <w:tcPr>
            <w:tcW w:w="132" w:type="dxa"/>
            <w:tcBorders/>
            <w:shd w:fill="CCEEFF" w:val="clear"/>
            <w:vAlign w:val="bottom"/>
          </w:tcPr>
          <w:p>
            <w:pPr>
              <w:pStyle w:val="TableContents"/>
              <w:spacing w:before="0" w:after="283"/>
              <w:rPr/>
            </w:pPr>
            <w:r>
              <w:rPr/>
              <w:t>  </w:t>
            </w:r>
          </w:p>
        </w:tc>
      </w:tr>
      <w:tr>
        <w:trPr/>
        <w:tc>
          <w:tcPr>
            <w:tcW w:w="6065"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holding gains (loss) arising during period</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32" w:type="dxa"/>
            <w:tcBorders/>
            <w:shd w:fill="auto" w:val="clear"/>
            <w:vAlign w:val="bottom"/>
          </w:tcPr>
          <w:p>
            <w:pPr>
              <w:pStyle w:val="TableContents"/>
              <w:spacing w:before="0" w:after="283"/>
              <w:rPr/>
            </w:pPr>
            <w:r>
              <w:rPr/>
              <w:t>  </w:t>
            </w:r>
          </w:p>
        </w:tc>
      </w:tr>
      <w:tr>
        <w:trPr/>
        <w:tc>
          <w:tcPr>
            <w:tcW w:w="606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 (provision)</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2,511</w:t>
            </w:r>
          </w:p>
        </w:tc>
        <w:tc>
          <w:tcPr>
            <w:tcW w:w="12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(3,927</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065"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6065"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 net of tax</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6,140</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2,171</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9,199</w:t>
            </w:r>
          </w:p>
        </w:tc>
        <w:tc>
          <w:tcPr>
            <w:tcW w:w="132" w:type="dxa"/>
            <w:tcBorders/>
            <w:shd w:fill="auto" w:val="clear"/>
            <w:vAlign w:val="bottom"/>
          </w:tcPr>
          <w:p>
            <w:pPr>
              <w:pStyle w:val="TableContents"/>
              <w:spacing w:before="0" w:after="283"/>
              <w:rPr/>
            </w:pPr>
            <w:r>
              <w:rPr/>
              <w:t>  </w:t>
            </w:r>
          </w:p>
        </w:tc>
      </w:tr>
      <w:tr>
        <w:trPr/>
        <w:tc>
          <w:tcPr>
            <w:tcW w:w="6065"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6065"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43,513</w:t>
            </w:r>
          </w:p>
        </w:tc>
        <w:tc>
          <w:tcPr>
            <w:tcW w:w="1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34,009</w:t>
            </w:r>
          </w:p>
        </w:tc>
        <w:tc>
          <w:tcPr>
            <w:tcW w:w="1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76,124</w:t>
            </w:r>
          </w:p>
        </w:tc>
        <w:tc>
          <w:tcPr>
            <w:tcW w:w="12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68,466</w:t>
            </w:r>
          </w:p>
        </w:tc>
        <w:tc>
          <w:tcPr>
            <w:tcW w:w="132" w:type="dxa"/>
            <w:tcBorders/>
            <w:shd w:fill="CCEEFF" w:val="clear"/>
            <w:vAlign w:val="bottom"/>
          </w:tcPr>
          <w:p>
            <w:pPr>
              <w:pStyle w:val="TableContents"/>
              <w:spacing w:before="0" w:after="283"/>
              <w:rPr/>
            </w:pPr>
            <w:r>
              <w:rPr/>
              <w:t>  </w:t>
            </w:r>
          </w:p>
        </w:tc>
      </w:tr>
      <w:tr>
        <w:trPr/>
        <w:tc>
          <w:tcPr>
            <w:tcW w:w="6065"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1"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6065" w:type="dxa"/>
            <w:tcBorders/>
            <w:shd w:fill="auto" w:val="clear"/>
          </w:tcPr>
          <w:p>
            <w:pPr>
              <w:pStyle w:val="TableContents"/>
              <w:spacing w:before="0" w:after="283"/>
              <w:rPr>
                <w:rFonts w:ascii="Times New Roman" w:hAnsi="Times New Roman"/>
                <w:sz w:val="20"/>
              </w:rPr>
            </w:pPr>
            <w:r>
              <w:rPr>
                <w:rFonts w:ascii="Times New Roman" w:hAnsi="Times New Roman"/>
                <w:sz w:val="20"/>
              </w:rPr>
              <w:t>Attributable to redeemable noncontrolling interest:</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606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6065"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6065"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6065"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6065"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6065" w:type="dxa"/>
            <w:tcBorders/>
            <w:shd w:fill="auto" w:val="clear"/>
          </w:tcPr>
          <w:p>
            <w:pPr>
              <w:pStyle w:val="TableContents"/>
              <w:spacing w:before="0" w:after="283"/>
              <w:rPr>
                <w:rFonts w:ascii="Times New Roman" w:hAnsi="Times New Roman"/>
                <w:sz w:val="20"/>
              </w:rPr>
            </w:pPr>
            <w:r>
              <w:rPr>
                <w:rFonts w:ascii="Times New Roman" w:hAnsi="Times New Roman"/>
                <w:sz w:val="20"/>
              </w:rPr>
              <w:t>Comprehensive income attributable to EZCORP, Inc.</w:t>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42,905</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34,009</w:t>
            </w:r>
          </w:p>
        </w:tc>
        <w:tc>
          <w:tcPr>
            <w:tcW w:w="12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75,516</w:t>
            </w:r>
          </w:p>
        </w:tc>
        <w:tc>
          <w:tcPr>
            <w:tcW w:w="12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68,466</w:t>
            </w:r>
          </w:p>
        </w:tc>
        <w:tc>
          <w:tcPr>
            <w:tcW w:w="132" w:type="dxa"/>
            <w:tcBorders/>
            <w:shd w:fill="auto" w:val="clear"/>
            <w:vAlign w:val="bottom"/>
          </w:tcPr>
          <w:p>
            <w:pPr>
              <w:pStyle w:val="TableContents"/>
              <w:spacing w:before="0" w:after="283"/>
              <w:rPr/>
            </w:pPr>
            <w:r>
              <w:rPr/>
              <w:t>  </w:t>
            </w:r>
          </w:p>
        </w:tc>
      </w:tr>
      <w:tr>
        <w:trPr/>
        <w:tc>
          <w:tcPr>
            <w:tcW w:w="6065"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1"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7" w:name="toc328034_6"/>
      <w:bookmarkEnd w:id="7"/>
      <w:r>
        <w:rPr>
          <w:rFonts w:ascii="Times New Roman" w:hAnsi="Times New Roman"/>
          <w:sz w:val="20"/>
        </w:rPr>
        <w:t xml:space="preserve">Condensed Consolidated Statements of Cash Flows (Unaudited)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44"/>
        <w:gridCol w:w="234"/>
        <w:gridCol w:w="125"/>
        <w:gridCol w:w="761"/>
        <w:gridCol w:w="125"/>
        <w:gridCol w:w="200"/>
        <w:gridCol w:w="125"/>
        <w:gridCol w:w="761"/>
        <w:gridCol w:w="130"/>
      </w:tblGrid>
      <w:tr>
        <w:trPr/>
        <w:tc>
          <w:tcPr>
            <w:tcW w:w="774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774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097"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Six Months Ended</w:t>
            </w:r>
            <w:r>
              <w:rPr/>
              <w:br/>
            </w:r>
            <w:r>
              <w:rPr>
                <w:rFonts w:ascii="Times New Roman" w:hAnsi="Times New Roman"/>
                <w:sz w:val="14"/>
              </w:rPr>
              <w:t>March 31,</w:t>
            </w:r>
          </w:p>
        </w:tc>
        <w:tc>
          <w:tcPr>
            <w:tcW w:w="130" w:type="dxa"/>
            <w:tcBorders/>
            <w:shd w:fill="auto" w:val="clear"/>
            <w:vAlign w:val="bottom"/>
          </w:tcPr>
          <w:p>
            <w:pPr>
              <w:pStyle w:val="TableContents"/>
              <w:spacing w:before="0" w:after="283"/>
              <w:rPr/>
            </w:pPr>
            <w:r>
              <w:rPr/>
              <w:t> </w:t>
            </w:r>
          </w:p>
        </w:tc>
      </w:tr>
      <w:tr>
        <w:trPr/>
        <w:tc>
          <w:tcPr>
            <w:tcW w:w="774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0" w:type="dxa"/>
            <w:tcBorders/>
            <w:shd w:fill="auto" w:val="clear"/>
            <w:vAlign w:val="bottom"/>
          </w:tcPr>
          <w:p>
            <w:pPr>
              <w:pStyle w:val="TableContents"/>
              <w:spacing w:before="0" w:after="283"/>
              <w:rPr/>
            </w:pPr>
            <w:r>
              <w:rPr/>
              <w:t> </w:t>
            </w:r>
          </w:p>
        </w:tc>
      </w:tr>
      <w:tr>
        <w:trPr/>
        <w:tc>
          <w:tcPr>
            <w:tcW w:w="774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097"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Activities: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provided by operating activities: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12,514</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8,645</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loss provision</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6,761</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6,897</w:t>
            </w:r>
          </w:p>
        </w:tc>
        <w:tc>
          <w:tcPr>
            <w:tcW w:w="130" w:type="dxa"/>
            <w:tcBorders/>
            <w:shd w:fill="CCEEFF" w:val="clear"/>
            <w:vAlign w:val="bottom"/>
          </w:tcPr>
          <w:p>
            <w:pPr>
              <w:pStyle w:val="TableContents"/>
              <w:spacing w:before="0" w:after="283"/>
              <w:rPr/>
            </w:pPr>
            <w:r>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983</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Gain on sale or disposal of assets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Stock compensation</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3,238</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10,028</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investments in unconsolidated affiliates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 net of business acquisitions: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6,551</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3,642</w:t>
            </w:r>
          </w:p>
        </w:tc>
        <w:tc>
          <w:tcPr>
            <w:tcW w:w="130" w:type="dxa"/>
            <w:tcBorders/>
            <w:shd w:fill="CCEEFF" w:val="clear"/>
            <w:vAlign w:val="bottom"/>
          </w:tcPr>
          <w:p>
            <w:pPr>
              <w:pStyle w:val="TableContents"/>
              <w:spacing w:before="0" w:after="283"/>
              <w:rPr/>
            </w:pPr>
            <w:r>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1,446</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860</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other current assets, and other assets, net</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(3,281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(2,648</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(5,082</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628</w:t>
            </w:r>
          </w:p>
        </w:tc>
        <w:tc>
          <w:tcPr>
            <w:tcW w:w="130" w:type="dxa"/>
            <w:tcBorders/>
            <w:shd w:fill="CCEEFF" w:val="clear"/>
            <w:vAlign w:val="bottom"/>
          </w:tcPr>
          <w:p>
            <w:pPr>
              <w:pStyle w:val="TableContents"/>
              <w:spacing w:before="0" w:after="283"/>
              <w:rPr/>
            </w:pPr>
            <w:r>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(3,072</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 receivable/payable</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(1,921</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91,708</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69,886</w:t>
            </w:r>
          </w:p>
        </w:tc>
        <w:tc>
          <w:tcPr>
            <w:tcW w:w="130" w:type="dxa"/>
            <w:tcBorders/>
            <w:shd w:fill="CCEEFF" w:val="clear"/>
            <w:vAlign w:val="bottom"/>
          </w:tcPr>
          <w:p>
            <w:pPr>
              <w:pStyle w:val="TableContents"/>
              <w:spacing w:before="0" w:after="283"/>
              <w:rPr/>
            </w:pPr>
            <w:r>
              <w:rPr/>
              <w:t>  </w:t>
            </w:r>
          </w:p>
        </w:tc>
      </w:tr>
      <w:tr>
        <w:trPr>
          <w:trHeight w:val="120" w:hRule="atLeast"/>
        </w:trPr>
        <w:tc>
          <w:tcPr>
            <w:tcW w:w="7744" w:type="dxa"/>
            <w:tcBorders/>
            <w:shd w:fill="auto" w:val="clear"/>
            <w:vAlign w:val="center"/>
          </w:tcPr>
          <w:p>
            <w:pPr>
              <w:pStyle w:val="TableContents"/>
              <w:spacing w:before="0" w:after="283"/>
              <w:rPr>
                <w:sz w:val="4"/>
                <w:szCs w:val="4"/>
              </w:rPr>
            </w:pPr>
            <w:r>
              <w:rPr>
                <w:sz w:val="4"/>
                <w:szCs w:val="4"/>
              </w:rPr>
            </w:r>
          </w:p>
        </w:tc>
        <w:tc>
          <w:tcPr>
            <w:tcW w:w="1245" w:type="dxa"/>
            <w:gridSpan w:val="4"/>
            <w:tcBorders/>
            <w:shd w:fill="auto" w:val="clear"/>
            <w:vAlign w:val="center"/>
          </w:tcPr>
          <w:p>
            <w:pPr>
              <w:pStyle w:val="TableContents"/>
              <w:spacing w:before="0" w:after="283"/>
              <w:rPr>
                <w:sz w:val="4"/>
                <w:szCs w:val="4"/>
              </w:rPr>
            </w:pPr>
            <w:r>
              <w:rPr>
                <w:sz w:val="4"/>
                <w:szCs w:val="4"/>
              </w:rPr>
            </w:r>
          </w:p>
        </w:tc>
        <w:tc>
          <w:tcPr>
            <w:tcW w:w="1216" w:type="dxa"/>
            <w:gridSpan w:val="4"/>
            <w:tcBorders/>
            <w:shd w:fill="auto" w:val="clear"/>
            <w:vAlign w:val="center"/>
          </w:tcPr>
          <w:p>
            <w:pPr>
              <w:pStyle w:val="TableContents"/>
              <w:spacing w:before="0" w:after="283"/>
              <w:rPr>
                <w:sz w:val="4"/>
                <w:szCs w:val="4"/>
              </w:rPr>
            </w:pPr>
            <w:r>
              <w:rPr>
                <w:sz w:val="4"/>
                <w:szCs w:val="4"/>
              </w:rPr>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Investing Activities: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Loans made</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(360,354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(292,525</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Loans repaid</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260,289</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203,658</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Recovery of pawn loan principal through sale of forfeited collateral</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129,518</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104,310</w:t>
            </w:r>
          </w:p>
        </w:tc>
        <w:tc>
          <w:tcPr>
            <w:tcW w:w="130" w:type="dxa"/>
            <w:tcBorders/>
            <w:shd w:fill="CCEEFF" w:val="clear"/>
            <w:vAlign w:val="bottom"/>
          </w:tcPr>
          <w:p>
            <w:pPr>
              <w:pStyle w:val="TableContents"/>
              <w:spacing w:before="0" w:after="283"/>
              <w:rPr/>
            </w:pPr>
            <w:r>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property and equipment</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(22,246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(15,129</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Acquisitions, net of cash acquired</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(83,160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(31,461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Dividends from unconsolidated affiliates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4,788</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4,218</w:t>
            </w:r>
          </w:p>
        </w:tc>
        <w:tc>
          <w:tcPr>
            <w:tcW w:w="130" w:type="dxa"/>
            <w:tcBorders/>
            <w:shd w:fill="auto" w:val="clear"/>
            <w:vAlign w:val="bottom"/>
          </w:tcPr>
          <w:p>
            <w:pPr>
              <w:pStyle w:val="TableContents"/>
              <w:spacing w:before="0" w:after="283"/>
              <w:rPr/>
            </w:pPr>
            <w:r>
              <w:rPr/>
              <w:t>  </w:t>
            </w:r>
          </w:p>
        </w:tc>
      </w:tr>
      <w:tr>
        <w:trPr/>
        <w:tc>
          <w:tcPr>
            <w:tcW w:w="774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(26,929</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7744" w:type="dxa"/>
            <w:tcBorders/>
            <w:shd w:fill="auto" w:val="clear"/>
            <w:vAlign w:val="center"/>
          </w:tcPr>
          <w:p>
            <w:pPr>
              <w:pStyle w:val="TableContents"/>
              <w:spacing w:before="0" w:after="283"/>
              <w:rPr>
                <w:sz w:val="4"/>
                <w:szCs w:val="4"/>
              </w:rPr>
            </w:pPr>
            <w:r>
              <w:rPr>
                <w:sz w:val="4"/>
                <w:szCs w:val="4"/>
              </w:rPr>
            </w:r>
          </w:p>
        </w:tc>
        <w:tc>
          <w:tcPr>
            <w:tcW w:w="1245" w:type="dxa"/>
            <w:gridSpan w:val="4"/>
            <w:tcBorders/>
            <w:shd w:fill="auto" w:val="clear"/>
            <w:vAlign w:val="center"/>
          </w:tcPr>
          <w:p>
            <w:pPr>
              <w:pStyle w:val="TableContents"/>
              <w:spacing w:before="0" w:after="283"/>
              <w:rPr>
                <w:sz w:val="4"/>
                <w:szCs w:val="4"/>
              </w:rPr>
            </w:pPr>
            <w:r>
              <w:rPr>
                <w:sz w:val="4"/>
                <w:szCs w:val="4"/>
              </w:rPr>
            </w:r>
          </w:p>
        </w:tc>
        <w:tc>
          <w:tcPr>
            <w:tcW w:w="1216" w:type="dxa"/>
            <w:gridSpan w:val="4"/>
            <w:tcBorders/>
            <w:shd w:fill="auto" w:val="clear"/>
            <w:vAlign w:val="center"/>
          </w:tcPr>
          <w:p>
            <w:pPr>
              <w:pStyle w:val="TableContents"/>
              <w:spacing w:before="0" w:after="283"/>
              <w:rPr>
                <w:sz w:val="4"/>
                <w:szCs w:val="4"/>
              </w:rPr>
            </w:pPr>
            <w:r>
              <w:rPr>
                <w:sz w:val="4"/>
                <w:szCs w:val="4"/>
              </w:rPr>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Financing Activities: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exercise of stock options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30" w:type="dxa"/>
            <w:tcBorders/>
            <w:shd w:fill="CCEEFF" w:val="clear"/>
            <w:vAlign w:val="bottom"/>
          </w:tcPr>
          <w:p>
            <w:pPr>
              <w:pStyle w:val="TableContents"/>
              <w:spacing w:before="0" w:after="283"/>
              <w:rPr/>
            </w:pPr>
            <w:r>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1,521</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3,072</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Taxes paid related to net share settlement of equity awards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(7,409</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revolving line of credit</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321,617</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11,500</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revolving line of credit</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(318,227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(16,505</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Payments on bank borrowings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774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3,418</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(9,137</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7744" w:type="dxa"/>
            <w:tcBorders/>
            <w:shd w:fill="auto" w:val="clear"/>
            <w:vAlign w:val="center"/>
          </w:tcPr>
          <w:p>
            <w:pPr>
              <w:pStyle w:val="TableContents"/>
              <w:spacing w:before="0" w:after="283"/>
              <w:rPr>
                <w:sz w:val="4"/>
                <w:szCs w:val="4"/>
              </w:rPr>
            </w:pPr>
            <w:r>
              <w:rPr>
                <w:sz w:val="4"/>
                <w:szCs w:val="4"/>
              </w:rPr>
            </w:r>
          </w:p>
        </w:tc>
        <w:tc>
          <w:tcPr>
            <w:tcW w:w="1245" w:type="dxa"/>
            <w:gridSpan w:val="4"/>
            <w:tcBorders/>
            <w:shd w:fill="auto" w:val="clear"/>
            <w:vAlign w:val="center"/>
          </w:tcPr>
          <w:p>
            <w:pPr>
              <w:pStyle w:val="TableContents"/>
              <w:spacing w:before="0" w:after="283"/>
              <w:rPr>
                <w:sz w:val="4"/>
                <w:szCs w:val="4"/>
              </w:rPr>
            </w:pPr>
            <w:r>
              <w:rPr>
                <w:sz w:val="4"/>
                <w:szCs w:val="4"/>
              </w:rPr>
            </w:r>
          </w:p>
        </w:tc>
        <w:tc>
          <w:tcPr>
            <w:tcW w:w="1216" w:type="dxa"/>
            <w:gridSpan w:val="4"/>
            <w:tcBorders/>
            <w:shd w:fill="auto" w:val="clear"/>
            <w:vAlign w:val="center"/>
          </w:tcPr>
          <w:p>
            <w:pPr>
              <w:pStyle w:val="TableContents"/>
              <w:spacing w:before="0" w:after="283"/>
              <w:rPr>
                <w:sz w:val="4"/>
                <w:szCs w:val="4"/>
              </w:rPr>
            </w:pPr>
            <w:r>
              <w:rPr>
                <w:sz w:val="4"/>
                <w:szCs w:val="4"/>
              </w:rPr>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30" w:type="dxa"/>
            <w:tcBorders/>
            <w:shd w:fill="auto" w:val="clear"/>
            <w:vAlign w:val="bottom"/>
          </w:tcPr>
          <w:p>
            <w:pPr>
              <w:pStyle w:val="TableContents"/>
              <w:spacing w:before="0" w:after="283"/>
              <w:rPr/>
            </w:pPr>
            <w:r>
              <w:rPr/>
              <w:t>  </w:t>
            </w:r>
          </w:p>
        </w:tc>
      </w:tr>
      <w:tr>
        <w:trPr/>
        <w:tc>
          <w:tcPr>
            <w:tcW w:w="774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in cash and cash equivalents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23,530</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33,931</w:t>
            </w:r>
          </w:p>
        </w:tc>
        <w:tc>
          <w:tcPr>
            <w:tcW w:w="130" w:type="dxa"/>
            <w:tcBorders/>
            <w:shd w:fill="CCEEFF" w:val="clear"/>
            <w:vAlign w:val="bottom"/>
          </w:tcPr>
          <w:p>
            <w:pPr>
              <w:pStyle w:val="TableContents"/>
              <w:spacing w:before="0" w:after="283"/>
              <w:rPr/>
            </w:pPr>
            <w:r>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period</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25,854</w:t>
            </w:r>
          </w:p>
        </w:tc>
        <w:tc>
          <w:tcPr>
            <w:tcW w:w="130" w:type="dxa"/>
            <w:tcBorders/>
            <w:shd w:fill="auto" w:val="clear"/>
            <w:vAlign w:val="bottom"/>
          </w:tcPr>
          <w:p>
            <w:pPr>
              <w:pStyle w:val="TableContents"/>
              <w:spacing w:before="0" w:after="283"/>
              <w:rPr/>
            </w:pPr>
            <w:r>
              <w:rPr/>
              <w:t>  </w:t>
            </w:r>
          </w:p>
        </w:tc>
      </w:tr>
      <w:tr>
        <w:trPr/>
        <w:tc>
          <w:tcPr>
            <w:tcW w:w="774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period</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47,499</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59,785</w:t>
            </w:r>
          </w:p>
        </w:tc>
        <w:tc>
          <w:tcPr>
            <w:tcW w:w="130" w:type="dxa"/>
            <w:tcBorders/>
            <w:shd w:fill="CCEEFF" w:val="clear"/>
            <w:vAlign w:val="bottom"/>
          </w:tcPr>
          <w:p>
            <w:pPr>
              <w:pStyle w:val="TableContents"/>
              <w:spacing w:before="0" w:after="283"/>
              <w:rPr/>
            </w:pPr>
            <w:r>
              <w:rPr/>
              <w:t>  </w:t>
            </w:r>
          </w:p>
        </w:tc>
      </w:tr>
      <w:tr>
        <w:trPr/>
        <w:tc>
          <w:tcPr>
            <w:tcW w:w="774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1"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rHeight w:val="120" w:hRule="atLeast"/>
        </w:trPr>
        <w:tc>
          <w:tcPr>
            <w:tcW w:w="7744" w:type="dxa"/>
            <w:tcBorders/>
            <w:shd w:fill="auto" w:val="clear"/>
            <w:vAlign w:val="center"/>
          </w:tcPr>
          <w:p>
            <w:pPr>
              <w:pStyle w:val="TableContents"/>
              <w:spacing w:before="0" w:after="283"/>
              <w:rPr>
                <w:sz w:val="4"/>
                <w:szCs w:val="4"/>
              </w:rPr>
            </w:pPr>
            <w:r>
              <w:rPr>
                <w:sz w:val="4"/>
                <w:szCs w:val="4"/>
              </w:rPr>
            </w:r>
          </w:p>
        </w:tc>
        <w:tc>
          <w:tcPr>
            <w:tcW w:w="1245" w:type="dxa"/>
            <w:gridSpan w:val="4"/>
            <w:tcBorders/>
            <w:shd w:fill="auto" w:val="clear"/>
            <w:vAlign w:val="center"/>
          </w:tcPr>
          <w:p>
            <w:pPr>
              <w:pStyle w:val="TableContents"/>
              <w:spacing w:before="0" w:after="283"/>
              <w:rPr>
                <w:sz w:val="4"/>
                <w:szCs w:val="4"/>
              </w:rPr>
            </w:pPr>
            <w:r>
              <w:rPr>
                <w:sz w:val="4"/>
                <w:szCs w:val="4"/>
              </w:rPr>
            </w:r>
          </w:p>
        </w:tc>
        <w:tc>
          <w:tcPr>
            <w:tcW w:w="1216" w:type="dxa"/>
            <w:gridSpan w:val="4"/>
            <w:tcBorders/>
            <w:shd w:fill="auto" w:val="clear"/>
            <w:vAlign w:val="center"/>
          </w:tcPr>
          <w:p>
            <w:pPr>
              <w:pStyle w:val="TableContents"/>
              <w:spacing w:before="0" w:after="283"/>
              <w:rPr>
                <w:sz w:val="4"/>
                <w:szCs w:val="4"/>
              </w:rPr>
            </w:pPr>
            <w:r>
              <w:rPr>
                <w:sz w:val="4"/>
                <w:szCs w:val="4"/>
              </w:rPr>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Non-cash Investing and Financing Activities:</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Pawn loans forfeited and transferred to inventory</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123,587</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102,145</w:t>
            </w:r>
          </w:p>
        </w:tc>
        <w:tc>
          <w:tcPr>
            <w:tcW w:w="130" w:type="dxa"/>
            <w:tcBorders/>
            <w:shd w:fill="CCEEFF" w:val="clear"/>
            <w:vAlign w:val="bottom"/>
          </w:tcPr>
          <w:p>
            <w:pPr>
              <w:pStyle w:val="TableContents"/>
              <w:spacing w:before="0" w:after="283"/>
              <w:rPr/>
            </w:pPr>
            <w:r>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733</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(8,708</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Issuance of common stock due to acquisitions</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11,615</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7744" w:type="dxa"/>
            <w:tcBorders/>
            <w:shd w:fill="auto" w:val="clear"/>
          </w:tcPr>
          <w:p>
            <w:pPr>
              <w:pStyle w:val="TableContents"/>
              <w:spacing w:before="0" w:after="283"/>
              <w:rPr>
                <w:rFonts w:ascii="Times New Roman" w:hAnsi="Times New Roman"/>
                <w:sz w:val="20"/>
              </w:rPr>
            </w:pPr>
            <w:r>
              <w:rPr>
                <w:rFonts w:ascii="Times New Roman" w:hAnsi="Times New Roman"/>
                <w:sz w:val="20"/>
              </w:rPr>
              <w:t>Contingent consideration</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23,000</w:t>
            </w:r>
          </w:p>
        </w:tc>
        <w:tc>
          <w:tcPr>
            <w:tcW w:w="125"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774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consideration</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5,785</w:t>
            </w:r>
          </w:p>
        </w:tc>
        <w:tc>
          <w:tcPr>
            <w:tcW w:w="125"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8" w:name="toc328034_7"/>
      <w:bookmarkEnd w:id="8"/>
      <w:r>
        <w:rPr>
          <w:rFonts w:ascii="Times New Roman" w:hAnsi="Times New Roman"/>
          <w:sz w:val="20"/>
        </w:rPr>
        <w:t xml:space="preserve">Consolidated Statements of Stockholders Equity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59"/>
        <w:gridCol w:w="184"/>
        <w:gridCol w:w="60"/>
        <w:gridCol w:w="426"/>
        <w:gridCol w:w="120"/>
        <w:gridCol w:w="184"/>
        <w:gridCol w:w="156"/>
        <w:gridCol w:w="409"/>
        <w:gridCol w:w="120"/>
        <w:gridCol w:w="184"/>
        <w:gridCol w:w="102"/>
        <w:gridCol w:w="567"/>
        <w:gridCol w:w="120"/>
        <w:gridCol w:w="137"/>
        <w:gridCol w:w="95"/>
        <w:gridCol w:w="530"/>
        <w:gridCol w:w="120"/>
        <w:gridCol w:w="184"/>
        <w:gridCol w:w="185"/>
        <w:gridCol w:w="766"/>
        <w:gridCol w:w="120"/>
        <w:gridCol w:w="137"/>
        <w:gridCol w:w="139"/>
        <w:gridCol w:w="761"/>
        <w:gridCol w:w="119"/>
        <w:gridCol w:w="137"/>
        <w:gridCol w:w="177"/>
        <w:gridCol w:w="774"/>
        <w:gridCol w:w="133"/>
      </w:tblGrid>
      <w:tr>
        <w:trPr/>
        <w:tc>
          <w:tcPr>
            <w:tcW w:w="305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305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35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Common Stock</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69"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Additional</w:t>
              <w:br/>
              <w:t>Paid In</w:t>
              <w:br/>
              <w:t>Capital</w:t>
            </w:r>
          </w:p>
        </w:tc>
        <w:tc>
          <w:tcPr>
            <w:tcW w:w="120" w:type="dxa"/>
            <w:vMerge w:val="restart"/>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25"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Retained</w:t>
              <w:br/>
              <w:t>Earnings</w:t>
            </w:r>
          </w:p>
        </w:tc>
        <w:tc>
          <w:tcPr>
            <w:tcW w:w="120" w:type="dxa"/>
            <w:vMerge w:val="restart"/>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951"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Accumulated</w:t>
              <w:br/>
              <w:t>Other</w:t>
              <w:br/>
              <w:t>Comprehensive</w:t>
            </w:r>
          </w:p>
        </w:tc>
        <w:tc>
          <w:tcPr>
            <w:tcW w:w="120" w:type="dxa"/>
            <w:vMerge w:val="restart"/>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00"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Total</w:t>
              <w:br/>
              <w:t>Shareholders</w:t>
              <w:br/>
              <w:t>Equity</w:t>
            </w:r>
          </w:p>
        </w:tc>
        <w:tc>
          <w:tcPr>
            <w:tcW w:w="119" w:type="dxa"/>
            <w:vMerge w:val="restart"/>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1"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Redeemable</w:t>
              <w:br/>
              <w:t>Noncontrolling</w:t>
              <w:br/>
              <w:t>Interest</w:t>
            </w:r>
          </w:p>
        </w:tc>
        <w:tc>
          <w:tcPr>
            <w:tcW w:w="133" w:type="dxa"/>
            <w:vMerge w:val="restart"/>
            <w:tcBorders/>
            <w:shd w:fill="auto" w:val="clear"/>
            <w:vAlign w:val="bottom"/>
          </w:tcPr>
          <w:p>
            <w:pPr>
              <w:pStyle w:val="TableContents"/>
              <w:spacing w:before="0" w:after="283"/>
              <w:rPr/>
            </w:pPr>
            <w:r>
              <w:rPr/>
              <w:t> </w:t>
            </w:r>
          </w:p>
        </w:tc>
      </w:tr>
      <w:tr>
        <w:trPr/>
        <w:tc>
          <w:tcPr>
            <w:tcW w:w="305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4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Shares</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56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 Value</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69"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37" w:type="dxa"/>
            <w:tcBorders/>
            <w:shd w:fill="auto" w:val="clear"/>
            <w:vAlign w:val="bottom"/>
          </w:tcPr>
          <w:p>
            <w:pPr>
              <w:pStyle w:val="TableContents"/>
              <w:spacing w:before="0" w:after="283"/>
              <w:rPr/>
            </w:pPr>
            <w:r>
              <w:rPr/>
              <w:t> </w:t>
            </w:r>
          </w:p>
        </w:tc>
        <w:tc>
          <w:tcPr>
            <w:tcW w:w="625"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84" w:type="dxa"/>
            <w:tcBorders/>
            <w:shd w:fill="auto" w:val="clear"/>
            <w:vAlign w:val="bottom"/>
          </w:tcPr>
          <w:p>
            <w:pPr>
              <w:pStyle w:val="TableContents"/>
              <w:spacing w:before="0" w:after="283"/>
              <w:rPr/>
            </w:pPr>
            <w:r>
              <w:rPr/>
              <w:t>  </w:t>
            </w:r>
          </w:p>
        </w:tc>
        <w:tc>
          <w:tcPr>
            <w:tcW w:w="951"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37" w:type="dxa"/>
            <w:tcBorders/>
            <w:shd w:fill="auto" w:val="clear"/>
            <w:vAlign w:val="bottom"/>
          </w:tcPr>
          <w:p>
            <w:pPr>
              <w:pStyle w:val="TableContents"/>
              <w:spacing w:before="0" w:after="283"/>
              <w:rPr/>
            </w:pPr>
            <w:r>
              <w:rPr/>
              <w:t> </w:t>
            </w:r>
          </w:p>
        </w:tc>
        <w:tc>
          <w:tcPr>
            <w:tcW w:w="900" w:type="dxa"/>
            <w:gridSpan w:val="2"/>
            <w:vMerge w:val="continue"/>
            <w:tcBorders>
              <w:bottom w:val="single" w:sz="2" w:space="0" w:color="000000"/>
            </w:tcBorders>
            <w:shd w:fill="auto" w:val="clear"/>
            <w:tcMar>
              <w:bottom w:w="28" w:type="dxa"/>
            </w:tcMar>
            <w:vAlign w:val="bottom"/>
          </w:tcPr>
          <w:p>
            <w:pPr>
              <w:pStyle w:val="Normal"/>
              <w:rPr/>
            </w:pPr>
            <w:r>
              <w:rPr/>
            </w:r>
          </w:p>
        </w:tc>
        <w:tc>
          <w:tcPr>
            <w:tcW w:w="119" w:type="dxa"/>
            <w:vMerge w:val="continue"/>
            <w:tcBorders/>
            <w:shd w:fill="auto" w:val="clear"/>
            <w:vAlign w:val="bottom"/>
          </w:tcPr>
          <w:p>
            <w:pPr>
              <w:pStyle w:val="Normal"/>
              <w:rPr/>
            </w:pPr>
            <w:r>
              <w:rPr/>
            </w:r>
          </w:p>
        </w:tc>
        <w:tc>
          <w:tcPr>
            <w:tcW w:w="137" w:type="dxa"/>
            <w:tcBorders/>
            <w:shd w:fill="auto" w:val="clear"/>
            <w:vAlign w:val="bottom"/>
          </w:tcPr>
          <w:p>
            <w:pPr>
              <w:pStyle w:val="TableContents"/>
              <w:spacing w:before="0" w:after="283"/>
              <w:rPr/>
            </w:pPr>
            <w:r>
              <w:rPr/>
              <w:t> </w:t>
            </w:r>
          </w:p>
        </w:tc>
        <w:tc>
          <w:tcPr>
            <w:tcW w:w="951" w:type="dxa"/>
            <w:gridSpan w:val="2"/>
            <w:vMerge w:val="continue"/>
            <w:tcBorders>
              <w:bottom w:val="single" w:sz="2" w:space="0" w:color="000000"/>
            </w:tcBorders>
            <w:shd w:fill="auto" w:val="clear"/>
            <w:tcMar>
              <w:bottom w:w="28" w:type="dxa"/>
            </w:tcMar>
            <w:vAlign w:val="bottom"/>
          </w:tcPr>
          <w:p>
            <w:pPr>
              <w:pStyle w:val="Normal"/>
              <w:rPr/>
            </w:pPr>
            <w:r>
              <w:rPr/>
            </w:r>
          </w:p>
        </w:tc>
        <w:tc>
          <w:tcPr>
            <w:tcW w:w="133" w:type="dxa"/>
            <w:vMerge w:val="continue"/>
            <w:tcBorders/>
            <w:shd w:fill="auto" w:val="clear"/>
            <w:vAlign w:val="bottom"/>
          </w:tcPr>
          <w:p>
            <w:pPr>
              <w:pStyle w:val="Normal"/>
              <w:rPr/>
            </w:pPr>
            <w:r>
              <w:rPr/>
            </w:r>
          </w:p>
        </w:tc>
      </w:tr>
      <w:tr>
        <w:trPr/>
        <w:tc>
          <w:tcPr>
            <w:tcW w:w="305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829" w:type="dxa"/>
            <w:gridSpan w:val="2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Balances at September 30, 2010</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49,226</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493</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225,374</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299,936</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(6,375</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519,428</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Stock compensation</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10,028</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10,028</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Stock options exercised</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203</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204</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Release of restricted stock</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675</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2,761</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2,766</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Excess tax benefit from stock compensation</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306</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306</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Taxes paid related to net share settlement of equity awards</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(7,409</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(7,409</w:t>
            </w:r>
          </w:p>
        </w:tc>
        <w:tc>
          <w:tcPr>
            <w:tcW w:w="1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Unrealized gain on available-for-sale securities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155</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155</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Foreign currency translation adjustment</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9,044</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9,044</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Net income attributable to EZCORP, Inc.</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59,267</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59,267</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sz w:val="4"/>
                <w:szCs w:val="4"/>
              </w:rPr>
            </w:pPr>
            <w:r>
              <w:rPr>
                <w:sz w:val="4"/>
                <w:szCs w:val="4"/>
              </w:rPr>
            </w:r>
          </w:p>
        </w:tc>
        <w:tc>
          <w:tcPr>
            <w:tcW w:w="76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pBdr>
                <w:top w:val="single" w:sz="2" w:space="1" w:color="000000"/>
              </w:pBdr>
              <w:spacing w:before="0" w:after="283"/>
              <w:rPr/>
            </w:pPr>
            <w:r>
              <w:rPr/>
              <w:t> </w:t>
            </w:r>
          </w:p>
        </w:tc>
        <w:tc>
          <w:tcPr>
            <w:tcW w:w="774"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Total comprehensive income</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68,466</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2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283"/>
              <w:rPr/>
            </w:pPr>
            <w:r>
              <w:rPr/>
              <w:t> </w:t>
            </w:r>
          </w:p>
        </w:tc>
        <w:tc>
          <w:tcPr>
            <w:tcW w:w="40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283"/>
              <w:rPr/>
            </w:pPr>
            <w:r>
              <w:rPr/>
              <w:t> </w:t>
            </w:r>
          </w:p>
        </w:tc>
        <w:tc>
          <w:tcPr>
            <w:tcW w:w="76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pBdr>
                <w:top w:val="single" w:sz="2" w:space="1" w:color="000000"/>
              </w:pBdr>
              <w:spacing w:before="0" w:after="283"/>
              <w:rPr/>
            </w:pPr>
            <w:r>
              <w:rPr/>
              <w:t> </w:t>
            </w:r>
          </w:p>
        </w:tc>
        <w:tc>
          <w:tcPr>
            <w:tcW w:w="774"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at March 31, 2011</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49,925</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499</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231,263</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359,203</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2,824</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593,789</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42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double" w:sz="6" w:space="1" w:color="000000"/>
              </w:pBdr>
              <w:spacing w:before="0" w:after="283"/>
              <w:rPr/>
            </w:pPr>
            <w:r>
              <w:rPr/>
              <w:t> </w:t>
            </w:r>
          </w:p>
        </w:tc>
        <w:tc>
          <w:tcPr>
            <w:tcW w:w="40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3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283"/>
              <w:rPr/>
            </w:pPr>
            <w:r>
              <w:rPr/>
              <w:t> </w:t>
            </w:r>
          </w:p>
        </w:tc>
        <w:tc>
          <w:tcPr>
            <w:tcW w:w="76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761"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pBdr>
                <w:top w:val="double" w:sz="6" w:space="1" w:color="000000"/>
              </w:pBdr>
              <w:spacing w:before="0" w:after="283"/>
              <w:rPr/>
            </w:pPr>
            <w:r>
              <w:rPr/>
              <w:t> </w:t>
            </w:r>
          </w:p>
        </w:tc>
        <w:tc>
          <w:tcPr>
            <w:tcW w:w="774"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rHeight w:val="120" w:hRule="atLeast"/>
        </w:trPr>
        <w:tc>
          <w:tcPr>
            <w:tcW w:w="3059" w:type="dxa"/>
            <w:tcBorders/>
            <w:shd w:fill="auto" w:val="clear"/>
            <w:vAlign w:val="center"/>
          </w:tcPr>
          <w:p>
            <w:pPr>
              <w:pStyle w:val="TableContents"/>
              <w:spacing w:before="0" w:after="283"/>
              <w:rPr>
                <w:sz w:val="4"/>
                <w:szCs w:val="4"/>
              </w:rPr>
            </w:pPr>
            <w:r>
              <w:rPr>
                <w:sz w:val="4"/>
                <w:szCs w:val="4"/>
              </w:rPr>
            </w:r>
          </w:p>
        </w:tc>
        <w:tc>
          <w:tcPr>
            <w:tcW w:w="790" w:type="dxa"/>
            <w:gridSpan w:val="4"/>
            <w:tcBorders/>
            <w:shd w:fill="auto" w:val="clear"/>
            <w:vAlign w:val="center"/>
          </w:tcPr>
          <w:p>
            <w:pPr>
              <w:pStyle w:val="TableContents"/>
              <w:spacing w:before="0" w:after="283"/>
              <w:rPr>
                <w:sz w:val="4"/>
                <w:szCs w:val="4"/>
              </w:rPr>
            </w:pPr>
            <w:r>
              <w:rPr>
                <w:sz w:val="4"/>
                <w:szCs w:val="4"/>
              </w:rPr>
            </w:r>
          </w:p>
        </w:tc>
        <w:tc>
          <w:tcPr>
            <w:tcW w:w="869" w:type="dxa"/>
            <w:gridSpan w:val="4"/>
            <w:tcBorders/>
            <w:shd w:fill="auto" w:val="clear"/>
            <w:vAlign w:val="center"/>
          </w:tcPr>
          <w:p>
            <w:pPr>
              <w:pStyle w:val="TableContents"/>
              <w:spacing w:before="0" w:after="283"/>
              <w:rPr>
                <w:sz w:val="4"/>
                <w:szCs w:val="4"/>
              </w:rPr>
            </w:pPr>
            <w:r>
              <w:rPr>
                <w:sz w:val="4"/>
                <w:szCs w:val="4"/>
              </w:rPr>
            </w:r>
          </w:p>
        </w:tc>
        <w:tc>
          <w:tcPr>
            <w:tcW w:w="973" w:type="dxa"/>
            <w:gridSpan w:val="4"/>
            <w:tcBorders/>
            <w:shd w:fill="auto" w:val="clear"/>
            <w:vAlign w:val="center"/>
          </w:tcPr>
          <w:p>
            <w:pPr>
              <w:pStyle w:val="TableContents"/>
              <w:spacing w:before="0" w:after="283"/>
              <w:rPr>
                <w:sz w:val="4"/>
                <w:szCs w:val="4"/>
              </w:rPr>
            </w:pPr>
            <w:r>
              <w:rPr>
                <w:sz w:val="4"/>
                <w:szCs w:val="4"/>
              </w:rPr>
            </w:r>
          </w:p>
        </w:tc>
        <w:tc>
          <w:tcPr>
            <w:tcW w:w="882" w:type="dxa"/>
            <w:gridSpan w:val="4"/>
            <w:tcBorders/>
            <w:shd w:fill="auto" w:val="clear"/>
            <w:vAlign w:val="center"/>
          </w:tcPr>
          <w:p>
            <w:pPr>
              <w:pStyle w:val="TableContents"/>
              <w:spacing w:before="0" w:after="283"/>
              <w:rPr>
                <w:sz w:val="4"/>
                <w:szCs w:val="4"/>
              </w:rPr>
            </w:pPr>
            <w:r>
              <w:rPr>
                <w:sz w:val="4"/>
                <w:szCs w:val="4"/>
              </w:rPr>
            </w:r>
          </w:p>
        </w:tc>
        <w:tc>
          <w:tcPr>
            <w:tcW w:w="1255" w:type="dxa"/>
            <w:gridSpan w:val="4"/>
            <w:tcBorders/>
            <w:shd w:fill="auto" w:val="clear"/>
            <w:vAlign w:val="center"/>
          </w:tcPr>
          <w:p>
            <w:pPr>
              <w:pStyle w:val="TableContents"/>
              <w:spacing w:before="0" w:after="283"/>
              <w:rPr>
                <w:sz w:val="4"/>
                <w:szCs w:val="4"/>
              </w:rPr>
            </w:pPr>
            <w:r>
              <w:rPr>
                <w:sz w:val="4"/>
                <w:szCs w:val="4"/>
              </w:rPr>
            </w:r>
          </w:p>
        </w:tc>
        <w:tc>
          <w:tcPr>
            <w:tcW w:w="1156" w:type="dxa"/>
            <w:gridSpan w:val="4"/>
            <w:tcBorders/>
            <w:shd w:fill="auto" w:val="clear"/>
            <w:vAlign w:val="center"/>
          </w:tcPr>
          <w:p>
            <w:pPr>
              <w:pStyle w:val="TableContents"/>
              <w:spacing w:before="0" w:after="283"/>
              <w:rPr>
                <w:sz w:val="4"/>
                <w:szCs w:val="4"/>
              </w:rPr>
            </w:pPr>
            <w:r>
              <w:rPr>
                <w:sz w:val="4"/>
                <w:szCs w:val="4"/>
              </w:rPr>
            </w:r>
          </w:p>
        </w:tc>
        <w:tc>
          <w:tcPr>
            <w:tcW w:w="1221" w:type="dxa"/>
            <w:gridSpan w:val="4"/>
            <w:tcBorders/>
            <w:shd w:fill="auto" w:val="clear"/>
            <w:vAlign w:val="center"/>
          </w:tcPr>
          <w:p>
            <w:pPr>
              <w:pStyle w:val="TableContents"/>
              <w:spacing w:before="0" w:after="283"/>
              <w:rPr>
                <w:sz w:val="4"/>
                <w:szCs w:val="4"/>
              </w:rPr>
            </w:pPr>
            <w:r>
              <w:rPr>
                <w:sz w:val="4"/>
                <w:szCs w:val="4"/>
              </w:rPr>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Balances at September 30, 2011</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50,199</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501</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242,398</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422,095</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(746</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664,248</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Stock compensation</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3,238</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3,238</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Stock options exercised</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196</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632</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634</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due to acquisitions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427</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11,625</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11,630</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Acquisition of redeemable noncontrolling interest</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33,500</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Release of restricted stock</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488</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490</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Excess tax benefit from stock compensation</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1,033</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1,033</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Taxes paid related to net share settlement of equity awards</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(1,071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(1,071</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Unrealized (loss) on available-for-sale securities</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(480</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(480</w:t>
            </w:r>
          </w:p>
        </w:tc>
        <w:tc>
          <w:tcPr>
            <w:tcW w:w="1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Foreign currency translation adjustment</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(617</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(617</w:t>
            </w:r>
          </w:p>
        </w:tc>
        <w:tc>
          <w:tcPr>
            <w:tcW w:w="1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496</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Net income attributable to EZCORP, Inc.</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76,613</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76,613</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3" w:type="dxa"/>
            <w:tcBorders/>
            <w:shd w:fill="auto" w:val="clear"/>
            <w:vAlign w:val="bottom"/>
          </w:tcPr>
          <w:p>
            <w:pPr>
              <w:pStyle w:val="TableContents"/>
              <w:spacing w:before="0" w:after="283"/>
              <w:rPr/>
            </w:pPr>
            <w:r>
              <w:rPr/>
              <w:t>  </w:t>
            </w:r>
          </w:p>
        </w:tc>
      </w:tr>
      <w:tr>
        <w:trPr/>
        <w:tc>
          <w:tcPr>
            <w:tcW w:w="3059"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sz w:val="4"/>
                <w:szCs w:val="4"/>
              </w:rPr>
            </w:pPr>
            <w:r>
              <w:rPr>
                <w:sz w:val="4"/>
                <w:szCs w:val="4"/>
              </w:rPr>
            </w:r>
          </w:p>
        </w:tc>
        <w:tc>
          <w:tcPr>
            <w:tcW w:w="76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pBdr>
                <w:top w:val="single" w:sz="2" w:space="1" w:color="000000"/>
              </w:pBdr>
              <w:spacing w:before="0" w:after="283"/>
              <w:rPr/>
            </w:pPr>
            <w:r>
              <w:rPr/>
              <w:t> </w:t>
            </w:r>
          </w:p>
        </w:tc>
        <w:tc>
          <w:tcPr>
            <w:tcW w:w="774"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Net income attributable to redeemable noncontrolling interest</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112</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tcPr>
          <w:p>
            <w:pPr>
              <w:pStyle w:val="TableContents"/>
              <w:spacing w:before="0" w:after="283"/>
              <w:rPr>
                <w:rFonts w:ascii="Times New Roman" w:hAnsi="Times New Roman"/>
                <w:sz w:val="14"/>
              </w:rPr>
            </w:pPr>
            <w:r>
              <w:rPr>
                <w:rFonts w:ascii="Times New Roman" w:hAnsi="Times New Roman"/>
                <w:sz w:val="14"/>
              </w:rPr>
              <w:t>Total comprehensive income</w:t>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75,516</w:t>
            </w:r>
          </w:p>
        </w:tc>
        <w:tc>
          <w:tcPr>
            <w:tcW w:w="11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34,108</w:t>
            </w:r>
          </w:p>
        </w:tc>
        <w:tc>
          <w:tcPr>
            <w:tcW w:w="133" w:type="dxa"/>
            <w:tcBorders/>
            <w:shd w:fill="auto" w:val="clear"/>
            <w:vAlign w:val="bottom"/>
          </w:tcPr>
          <w:p>
            <w:pPr>
              <w:pStyle w:val="TableContents"/>
              <w:spacing w:before="0" w:after="283"/>
              <w:rPr/>
            </w:pPr>
            <w:r>
              <w:rPr/>
              <w:t>  </w:t>
            </w:r>
          </w:p>
        </w:tc>
      </w:tr>
      <w:tr>
        <w:trPr/>
        <w:tc>
          <w:tcPr>
            <w:tcW w:w="3059"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2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283"/>
              <w:rPr/>
            </w:pPr>
            <w:r>
              <w:rPr/>
              <w:t> </w:t>
            </w:r>
          </w:p>
        </w:tc>
        <w:tc>
          <w:tcPr>
            <w:tcW w:w="40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single" w:sz="2" w:space="1" w:color="000000"/>
              </w:pBdr>
              <w:spacing w:before="0" w:after="283"/>
              <w:rPr/>
            </w:pPr>
            <w:r>
              <w:rPr/>
              <w:t> </w:t>
            </w:r>
          </w:p>
        </w:tc>
        <w:tc>
          <w:tcPr>
            <w:tcW w:w="56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single" w:sz="2" w:space="1" w:color="000000"/>
              </w:pBdr>
              <w:spacing w:before="0" w:after="283"/>
              <w:rPr/>
            </w:pPr>
            <w:r>
              <w:rPr/>
              <w:t> </w:t>
            </w:r>
          </w:p>
        </w:tc>
        <w:tc>
          <w:tcPr>
            <w:tcW w:w="5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283"/>
              <w:rPr/>
            </w:pPr>
            <w:r>
              <w:rPr/>
              <w:t> </w:t>
            </w:r>
          </w:p>
        </w:tc>
        <w:tc>
          <w:tcPr>
            <w:tcW w:w="76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761"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pBdr>
                <w:top w:val="single" w:sz="2" w:space="1" w:color="000000"/>
              </w:pBdr>
              <w:spacing w:before="0" w:after="283"/>
              <w:rPr/>
            </w:pPr>
            <w:r>
              <w:rPr/>
              <w:t> </w:t>
            </w:r>
          </w:p>
        </w:tc>
        <w:tc>
          <w:tcPr>
            <w:tcW w:w="774"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059"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at March 31, 2012</w:t>
            </w:r>
          </w:p>
        </w:tc>
        <w:tc>
          <w:tcPr>
            <w:tcW w:w="1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50,972</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40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510</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258,343</w:t>
            </w:r>
          </w:p>
        </w:tc>
        <w:tc>
          <w:tcPr>
            <w:tcW w:w="12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498,708</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(1,843</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 </w:t>
            </w:r>
          </w:p>
        </w:tc>
        <w:tc>
          <w:tcPr>
            <w:tcW w:w="1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755,718</w:t>
            </w:r>
          </w:p>
        </w:tc>
        <w:tc>
          <w:tcPr>
            <w:tcW w:w="119"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34,108</w:t>
            </w:r>
          </w:p>
        </w:tc>
        <w:tc>
          <w:tcPr>
            <w:tcW w:w="133" w:type="dxa"/>
            <w:tcBorders/>
            <w:shd w:fill="CCEEFF" w:val="clear"/>
            <w:vAlign w:val="bottom"/>
          </w:tcPr>
          <w:p>
            <w:pPr>
              <w:pStyle w:val="TableContents"/>
              <w:spacing w:before="0" w:after="283"/>
              <w:rPr/>
            </w:pPr>
            <w:r>
              <w:rPr/>
              <w:t>  </w:t>
            </w:r>
          </w:p>
        </w:tc>
      </w:tr>
      <w:tr>
        <w:trPr/>
        <w:tc>
          <w:tcPr>
            <w:tcW w:w="3059"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42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double" w:sz="6" w:space="1" w:color="000000"/>
              </w:pBdr>
              <w:spacing w:before="0" w:after="283"/>
              <w:rPr/>
            </w:pPr>
            <w:r>
              <w:rPr/>
              <w:t> </w:t>
            </w:r>
          </w:p>
        </w:tc>
        <w:tc>
          <w:tcPr>
            <w:tcW w:w="40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pBdr>
                <w:top w:val="double" w:sz="6" w:space="1" w:color="000000"/>
              </w:pBdr>
              <w:spacing w:before="0" w:after="283"/>
              <w:rPr/>
            </w:pPr>
            <w:r>
              <w:rPr/>
              <w:t> </w:t>
            </w:r>
          </w:p>
        </w:tc>
        <w:tc>
          <w:tcPr>
            <w:tcW w:w="56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pBdr>
                <w:top w:val="double" w:sz="6" w:space="1" w:color="000000"/>
              </w:pBdr>
              <w:spacing w:before="0" w:after="283"/>
              <w:rPr/>
            </w:pPr>
            <w:r>
              <w:rPr/>
              <w:t> </w:t>
            </w:r>
          </w:p>
        </w:tc>
        <w:tc>
          <w:tcPr>
            <w:tcW w:w="53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283"/>
              <w:rPr/>
            </w:pPr>
            <w:r>
              <w:rPr/>
              <w:t> </w:t>
            </w:r>
          </w:p>
        </w:tc>
        <w:tc>
          <w:tcPr>
            <w:tcW w:w="76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761"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pBdr>
                <w:top w:val="double" w:sz="6" w:space="1" w:color="000000"/>
              </w:pBdr>
              <w:spacing w:before="0" w:after="283"/>
              <w:rPr/>
            </w:pPr>
            <w:r>
              <w:rPr/>
              <w:t> </w:t>
            </w:r>
          </w:p>
        </w:tc>
        <w:tc>
          <w:tcPr>
            <w:tcW w:w="774"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r>
        <w:rPr>
          <w:rFonts w:ascii="Times New Roman" w:hAnsi="Times New Roman"/>
          <w:b/>
          <w:sz w:val="20"/>
        </w:rPr>
        <w:t>EZCORP, I</w:t>
      </w:r>
      <w:r>
        <w:rPr>
          <w:rFonts w:ascii="Times New Roman" w:hAnsi="Times New Roman"/>
          <w:b/>
          <w:sz w:val="14"/>
        </w:rPr>
        <w:t>NC</w:t>
      </w:r>
      <w:r>
        <w:rPr>
          <w:rFonts w:ascii="Times New Roman" w:hAnsi="Times New Roman"/>
          <w:b/>
          <w:sz w:val="20"/>
        </w:rPr>
        <w:t xml:space="preserve">. </w:t>
      </w:r>
      <w:r>
        <w:rPr>
          <w:rFonts w:ascii="Times New Roman" w:hAnsi="Times New Roman"/>
          <w:b/>
          <w:sz w:val="14"/>
        </w:rPr>
        <w:t>AND</w:t>
      </w:r>
      <w:r>
        <w:rPr>
          <w:rFonts w:ascii="Times New Roman" w:hAnsi="Times New Roman"/>
          <w:b/>
          <w:sz w:val="20"/>
        </w:rPr>
        <w:t xml:space="preserve"> S</w:t>
      </w:r>
      <w:r>
        <w:rPr>
          <w:rFonts w:ascii="Times New Roman" w:hAnsi="Times New Roman"/>
          <w:b/>
          <w:sz w:val="14"/>
        </w:rPr>
        <w:t>UBSIDIARIES</w:t>
      </w:r>
      <w:r>
        <w:rPr>
          <w:rFonts w:ascii="Times New Roman" w:hAnsi="Times New Roman"/>
          <w:sz w:val="20"/>
        </w:rPr>
        <w:t xml:space="preserve"> </w:t>
      </w:r>
    </w:p>
    <w:p>
      <w:pPr>
        <w:pStyle w:val="TextBody"/>
        <w:spacing w:before="0" w:after="0"/>
        <w:jc w:val="center"/>
        <w:rPr>
          <w:rFonts w:ascii="Times New Roman" w:hAnsi="Times New Roman"/>
          <w:b/>
          <w:sz w:val="20"/>
        </w:rPr>
      </w:pPr>
      <w:bookmarkStart w:id="9" w:name="toc328034_8"/>
      <w:bookmarkEnd w:id="9"/>
      <w:r>
        <w:rPr>
          <w:rFonts w:ascii="Times New Roman" w:hAnsi="Times New Roman"/>
          <w:b/>
          <w:sz w:val="20"/>
        </w:rPr>
        <w:t xml:space="preserve">Notes to Interim Condensed Consolidated Financial Statements (Unaudited) </w:t>
      </w:r>
    </w:p>
    <w:p>
      <w:pPr>
        <w:pStyle w:val="TextBody"/>
        <w:spacing w:before="0" w:after="0"/>
        <w:jc w:val="center"/>
        <w:rPr>
          <w:rFonts w:ascii="Times New Roman" w:hAnsi="Times New Roman"/>
          <w:b/>
          <w:sz w:val="20"/>
        </w:rPr>
      </w:pPr>
      <w:r>
        <w:rPr>
          <w:rFonts w:ascii="Times New Roman" w:hAnsi="Times New Roman"/>
          <w:b/>
          <w:sz w:val="20"/>
        </w:rPr>
        <w:t xml:space="preserve">March 31, 2012 </w:t>
      </w:r>
    </w:p>
    <w:p>
      <w:pPr>
        <w:pStyle w:val="TextBody"/>
        <w:spacing w:before="180" w:after="0"/>
        <w:rPr>
          <w:rFonts w:ascii="Times New Roman" w:hAnsi="Times New Roman"/>
          <w:b/>
          <w:sz w:val="20"/>
        </w:rPr>
      </w:pPr>
      <w:r>
        <w:rPr>
          <w:rFonts w:ascii="Times New Roman" w:hAnsi="Times New Roman"/>
          <w:b/>
          <w:sz w:val="20"/>
        </w:rPr>
        <w:t xml:space="preserve">Note A: Significant Accounting Policies </w:t>
      </w:r>
    </w:p>
    <w:p>
      <w:pPr>
        <w:pStyle w:val="TextBody"/>
        <w:spacing w:before="90" w:after="0"/>
        <w:rPr>
          <w:rFonts w:ascii="Times New Roman" w:hAnsi="Times New Roman"/>
          <w:b/>
          <w:sz w:val="20"/>
          <w:u w:val="single"/>
        </w:rPr>
      </w:pPr>
      <w:r>
        <w:rPr>
          <w:rFonts w:ascii="Times New Roman" w:hAnsi="Times New Roman"/>
          <w:b/>
          <w:sz w:val="20"/>
          <w:u w:val="single"/>
        </w:rPr>
        <w:t xml:space="preserve">Basis of Presentation </w:t>
      </w:r>
    </w:p>
    <w:p>
      <w:pPr>
        <w:pStyle w:val="TextBody"/>
        <w:spacing w:before="90" w:after="0"/>
        <w:rPr>
          <w:rFonts w:ascii="Times New Roman" w:hAnsi="Times New Roman"/>
          <w:sz w:val="20"/>
        </w:rPr>
      </w:pPr>
      <w:r>
        <w:rPr>
          <w:rFonts w:ascii="Times New Roman" w:hAnsi="Times New Roman"/>
          <w:sz w:val="20"/>
        </w:rPr>
        <w:t xml:space="preserve">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acquired businesses (described in Note B). The accompanying financial statements should be read with the Notes to Consolidated Financial Statements included in our Annual Report on Form 10-K for the year ended September 30, 2011. The balance sheet at September 30, 2011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and six-month periods ended March 31, 2012 (the current quarter and current six-month period) are not necessarily indicative of the results of operations for the full fiscal year. </w:t>
      </w:r>
    </w:p>
    <w:p>
      <w:pPr>
        <w:pStyle w:val="TextBody"/>
        <w:spacing w:before="180" w:after="0"/>
        <w:rPr>
          <w:rFonts w:ascii="Times New Roman" w:hAnsi="Times New Roman"/>
          <w:sz w:val="20"/>
        </w:rPr>
      </w:pPr>
      <w:r>
        <w:rPr>
          <w:rFonts w:ascii="Times New Roman" w:hAnsi="Times New Roman"/>
          <w:sz w:val="20"/>
        </w:rPr>
        <w:t xml:space="preserve">The consolidated financial statements include the accounts of EZCORP, Inc. and its consolidated subsidiaries. All significant inter-company accounts and transactions have been eliminated in consolidation. We own 60% of the outstanding equity interests in Prestaciones Finmart, S.A.P.I. de C.V., SOFOM, E.N.R. (Crediamigo) and, therefore, include its results in our consolidated financial statements. We account for our investments in Albemarle &amp; Bond Holdings, PLC and Cash Converters International Limited using the equity method. </w:t>
      </w:r>
    </w:p>
    <w:p>
      <w:pPr>
        <w:pStyle w:val="TextBody"/>
        <w:spacing w:before="180" w:after="0"/>
        <w:rPr>
          <w:rFonts w:ascii="Times New Roman" w:hAnsi="Times New Roman"/>
          <w:sz w:val="20"/>
        </w:rPr>
      </w:pPr>
      <w:r>
        <w:rPr>
          <w:rFonts w:ascii="Times New Roman" w:hAnsi="Times New Roman"/>
          <w:sz w:val="20"/>
        </w:rPr>
        <w:t xml:space="preserve">With the exception of the policies described in the section below, there have been no changes in significant accounting policies as described in our Annual Report on Form 10-K for the year ended September 30, 2011. </w:t>
      </w:r>
    </w:p>
    <w:p>
      <w:pPr>
        <w:pStyle w:val="TextBody"/>
        <w:spacing w:before="270" w:after="0"/>
        <w:rPr>
          <w:rFonts w:ascii="Times New Roman" w:hAnsi="Times New Roman"/>
          <w:b/>
          <w:sz w:val="20"/>
          <w:u w:val="single"/>
        </w:rPr>
      </w:pPr>
      <w:r>
        <w:rPr>
          <w:rFonts w:ascii="Times New Roman" w:hAnsi="Times New Roman"/>
          <w:b/>
          <w:sz w:val="20"/>
          <w:u w:val="single"/>
        </w:rPr>
        <w:t xml:space="preserve">Consumer Loans </w:t>
      </w:r>
    </w:p>
    <w:p>
      <w:pPr>
        <w:pStyle w:val="TextBody"/>
        <w:spacing w:before="90" w:after="0"/>
        <w:rPr>
          <w:rFonts w:ascii="Times New Roman" w:hAnsi="Times New Roman"/>
          <w:sz w:val="20"/>
        </w:rPr>
      </w:pPr>
      <w:r>
        <w:rPr>
          <w:rFonts w:ascii="Times New Roman" w:hAnsi="Times New Roman"/>
          <w:sz w:val="20"/>
        </w:rPr>
        <w:t xml:space="preserve">We provide a variety of short-term consumer loans including payday loans, installment loans and auto title loans, and in Texas only, fee-based credit services to customers seeking loans. In Mexico, Crediamigo enters into agreements with employers that permit it to market long-term consumer loans to employees. Payments are withheld by the employers through payroll deductions and remitted to Crediamigo. With the exception of the incorporation of Crediamigo, there have been no changes to our consumer loans policy. </w:t>
      </w:r>
    </w:p>
    <w:p>
      <w:pPr>
        <w:pStyle w:val="TextBody"/>
        <w:spacing w:before="270" w:after="0"/>
        <w:rPr>
          <w:rFonts w:ascii="Times New Roman" w:hAnsi="Times New Roman"/>
          <w:i/>
          <w:sz w:val="20"/>
        </w:rPr>
      </w:pPr>
      <w:r>
        <w:rPr>
          <w:rFonts w:ascii="Times New Roman" w:hAnsi="Times New Roman"/>
          <w:i/>
          <w:sz w:val="20"/>
        </w:rPr>
        <w:t xml:space="preserve">Revenue Recognition </w:t>
      </w:r>
    </w:p>
    <w:p>
      <w:pPr>
        <w:pStyle w:val="TextBody"/>
        <w:spacing w:before="90" w:after="0"/>
        <w:rPr>
          <w:rFonts w:ascii="Times New Roman" w:hAnsi="Times New Roman"/>
          <w:sz w:val="20"/>
        </w:rPr>
      </w:pPr>
      <w:r>
        <w:rPr>
          <w:rFonts w:ascii="Times New Roman" w:hAnsi="Times New Roman"/>
          <w:sz w:val="20"/>
        </w:rPr>
        <w:t xml:space="preserve">We recognize consumer loan fees related to loans we directly originate in accordance with state and provincial laws on the percentage of consumer loans made that we believe to be collectible. We earn credit service fees when we assist customers in obtaining consumer loans from unaffiliated lenders, and we recognize the fee revenue ratably over the life of the related loans. We reserve the percentage of interest and credit service fees we expect not to collect. Accrued fees related to defaulted loans reduce fee revenue upon loan default and increase fee revenue upon collection. </w:t>
      </w:r>
    </w:p>
    <w:p>
      <w:pPr>
        <w:pStyle w:val="TextBody"/>
        <w:spacing w:before="270" w:after="0"/>
        <w:rPr>
          <w:rFonts w:ascii="Times New Roman" w:hAnsi="Times New Roman"/>
          <w:i/>
          <w:sz w:val="20"/>
        </w:rPr>
      </w:pPr>
      <w:r>
        <w:rPr>
          <w:rFonts w:ascii="Times New Roman" w:hAnsi="Times New Roman"/>
          <w:i/>
          <w:sz w:val="20"/>
        </w:rPr>
        <w:t xml:space="preserve">Allowance for Losses and Bad Debt Expense </w:t>
      </w:r>
    </w:p>
    <w:p>
      <w:pPr>
        <w:pStyle w:val="TextBody"/>
        <w:spacing w:before="90" w:after="0"/>
        <w:rPr>
          <w:rFonts w:ascii="Times New Roman" w:hAnsi="Times New Roman"/>
          <w:sz w:val="20"/>
        </w:rPr>
      </w:pPr>
      <w:r>
        <w:rPr>
          <w:rFonts w:ascii="Times New Roman" w:hAnsi="Times New Roman"/>
          <w:sz w:val="20"/>
        </w:rPr>
        <w:t>See note K </w:t>
      </w:r>
      <w:r>
        <w:rPr>
          <w:rFonts w:ascii="Times New Roman" w:hAnsi="Times New Roman"/>
          <w:b/>
          <w:sz w:val="20"/>
        </w:rPr>
        <w:t xml:space="preserve">Allowance for Losses and Credit Quality of Financing Receivables </w:t>
      </w:r>
      <w:r>
        <w:rPr>
          <w:rFonts w:ascii="Times New Roman" w:hAnsi="Times New Roman"/>
          <w:sz w:val="20"/>
        </w:rPr>
        <w:t xml:space="preserve">for a discussion of the Companys allowance for losses and bad debt expense on consumer loans. </w:t>
      </w:r>
    </w:p>
    <w:p>
      <w:pPr>
        <w:pStyle w:val="TextBody"/>
        <w:spacing w:before="270" w:after="0"/>
        <w:rPr>
          <w:rFonts w:ascii="Times New Roman" w:hAnsi="Times New Roman"/>
          <w:b/>
          <w:sz w:val="20"/>
          <w:u w:val="single"/>
        </w:rPr>
      </w:pPr>
      <w:r>
        <w:rPr>
          <w:rFonts w:ascii="Times New Roman" w:hAnsi="Times New Roman"/>
          <w:b/>
          <w:sz w:val="20"/>
          <w:u w:val="single"/>
        </w:rPr>
        <w:t xml:space="preserve">Derivative Instruments and Hedging Activities </w:t>
      </w:r>
    </w:p>
    <w:p>
      <w:pPr>
        <w:pStyle w:val="TextBody"/>
        <w:spacing w:before="90" w:after="0"/>
        <w:rPr>
          <w:rFonts w:ascii="Times New Roman" w:hAnsi="Times New Roman"/>
          <w:sz w:val="20"/>
        </w:rPr>
      </w:pPr>
      <w:r>
        <w:rPr>
          <w:rFonts w:ascii="Times New Roman" w:hAnsi="Times New Roman"/>
          <w:sz w:val="20"/>
        </w:rPr>
        <w:t xml:space="preserve">We record all derivative instruments according to Financial Accounting Standards Board (FASB) Accounting Standards Codification (ASC) 815-20-25, Derivatives and Hedging  Recognition. Accounting for changes in the fair value of derivatives is determined by the intended use of the derivative, whether it is designated as a hedge and whether the hedging relationship is effective in achieving offsetting changes for the risk being hedged. Derivatives designated to hedge the changes in the fair value of an asset, liability or firm commitment due to an identified risk in the hedged item, such as interest rate risk or foreign currency exchange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recognition of the changes in the fair value of the hedged asset or liability that are attributable to the hedged risk in a cash flow hedge. We may enter into derivative contracts that are intended to economically hedge certain of our risks, even though hedge accounting does not apply or we elect not to apply hedge accounting. </w:t>
      </w:r>
    </w:p>
    <w:p>
      <w:pPr>
        <w:pStyle w:val="TextBody"/>
        <w:spacing w:before="180" w:after="0"/>
        <w:rPr>
          <w:rFonts w:ascii="Times New Roman" w:hAnsi="Times New Roman"/>
          <w:sz w:val="20"/>
        </w:rPr>
      </w:pPr>
      <w:r>
        <w:rPr>
          <w:rFonts w:ascii="Times New Roman" w:hAnsi="Times New Roman"/>
          <w:sz w:val="20"/>
        </w:rPr>
        <w:t xml:space="preserve">We acquire significant amounts of gold either through purchases or from forfeited pawn loan collateral and sell it to refiners. In our first fiscal quarter of 2012, we began using derivate financial instruments in order to manage our commodity price risk associated with the forecasted sales of gold scrap. From time to time, we purchase put options related to the future market price of gold, and simultaneously, we sell a call option for the same future period for a premium to offset the cost of the put. The combined put and call options, or collar, has the effect of providing us protection from the future downward gold price movement but also limits the extent we can participate in future upward price movement. These collars are not designated as hedges as they do not meet the hedge accounting requirements FASB ASC 851-20-25. The fair value of the derivative instruments is recognized in Prepaid expenses and other assets in the consolidated balance sheets and changes in fair value are recognized in Other in our consolidated statements of operations. </w:t>
      </w:r>
    </w:p>
    <w:p>
      <w:pPr>
        <w:pStyle w:val="TextBody"/>
        <w:spacing w:before="270" w:after="0"/>
        <w:rPr>
          <w:rFonts w:ascii="Times New Roman" w:hAnsi="Times New Roman"/>
          <w:b/>
          <w:sz w:val="20"/>
          <w:u w:val="single"/>
        </w:rPr>
      </w:pPr>
      <w:r>
        <w:rPr>
          <w:rFonts w:ascii="Times New Roman" w:hAnsi="Times New Roman"/>
          <w:b/>
          <w:sz w:val="20"/>
          <w:u w:val="single"/>
        </w:rPr>
        <w:t xml:space="preserve">Reclassifications </w:t>
      </w:r>
    </w:p>
    <w:p>
      <w:pPr>
        <w:pStyle w:val="TextBody"/>
        <w:spacing w:before="90" w:after="0"/>
        <w:rPr>
          <w:rFonts w:ascii="Times New Roman" w:hAnsi="Times New Roman"/>
          <w:sz w:val="20"/>
        </w:rPr>
      </w:pPr>
      <w:r>
        <w:rPr>
          <w:rFonts w:ascii="Times New Roman" w:hAnsi="Times New Roman"/>
          <w:sz w:val="20"/>
        </w:rPr>
        <w:t xml:space="preserve">Previously, we reported segment information based primarily on product offerings. Beginning with the second quarter of fiscal 2012, we redefined our reportable operating segments based on geography as our company is increasingly being organized and managed along geographic lines, with product offerings and channels based on local custom and regulation. For this reason, we concluded that segment reporting based on geography more closely aligns with our management organization and strategic direction. In connection with the new segment structure, we have changed the accountability for, and reporting of, certain items including administrative expenses, depreciation and amortization, interest and our equity in the net income of unconsolidated affiliates. When practical, these items are allocated to segments. Interest is also allocated to operating segments when debt is incurred at the local country level and is non-recourse to EZCORP, Inc. These items are now included in the segments measure of profit or loss (segment contribution). Expenses that cannot be allocated are included as corporate expenses. </w:t>
      </w:r>
    </w:p>
    <w:p>
      <w:pPr>
        <w:pStyle w:val="TextBody"/>
        <w:spacing w:before="180" w:after="0"/>
        <w:rPr>
          <w:rFonts w:ascii="Times New Roman" w:hAnsi="Times New Roman"/>
          <w:sz w:val="20"/>
        </w:rPr>
      </w:pPr>
      <w:r>
        <w:rPr>
          <w:rFonts w:ascii="Times New Roman" w:hAnsi="Times New Roman"/>
          <w:sz w:val="20"/>
        </w:rPr>
        <w:t xml:space="preserve">In our second fiscal quarter of 2011,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 throughout managements discussion and analysis. </w:t>
      </w:r>
    </w:p>
    <w:p>
      <w:pPr>
        <w:pStyle w:val="TextBody"/>
        <w:spacing w:before="270" w:after="0"/>
        <w:rPr>
          <w:rFonts w:ascii="Times New Roman" w:hAnsi="Times New Roman"/>
          <w:b/>
          <w:sz w:val="20"/>
          <w:u w:val="single"/>
        </w:rPr>
      </w:pPr>
      <w:r>
        <w:rPr>
          <w:rFonts w:ascii="Times New Roman" w:hAnsi="Times New Roman"/>
          <w:b/>
          <w:sz w:val="20"/>
          <w:u w:val="single"/>
        </w:rPr>
        <w:t xml:space="preserve">Recently Issued Accounting Pronouncements </w:t>
      </w:r>
    </w:p>
    <w:p>
      <w:pPr>
        <w:pStyle w:val="TextBody"/>
        <w:spacing w:before="90" w:after="0"/>
        <w:rPr>
          <w:rFonts w:ascii="Times New Roman" w:hAnsi="Times New Roman"/>
          <w:sz w:val="20"/>
        </w:rPr>
      </w:pPr>
      <w:r>
        <w:rPr>
          <w:rFonts w:ascii="Times New Roman" w:hAnsi="Times New Roman"/>
          <w:sz w:val="20"/>
        </w:rPr>
        <w:t xml:space="preserve">In December 2011, the FASB issued Accounting Standards Update (ASU) 2011-11, </w:t>
      </w:r>
      <w:r>
        <w:rPr>
          <w:rFonts w:ascii="Times New Roman" w:hAnsi="Times New Roman"/>
          <w:i/>
          <w:sz w:val="20"/>
        </w:rPr>
        <w:t>Disclosures about Offsetting Assets and Liabilities.</w:t>
      </w:r>
      <w:r>
        <w:rPr>
          <w:rFonts w:ascii="Times New Roman" w:hAnsi="Times New Roman"/>
          <w:sz w:val="20"/>
        </w:rPr>
        <w:t xml:space="preserve"> 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January 1, 2013. Disclosures are required retrospectively for all comparative periods presented. Currently, we do not enter into any right of offset arrangements and we do not anticipate that the adoption of ASU 2011-11 will have a material effect on our financial position, results of operations or cash flows. </w:t>
      </w:r>
    </w:p>
    <w:p>
      <w:pPr>
        <w:pStyle w:val="TextBody"/>
        <w:spacing w:before="180" w:after="0"/>
        <w:rPr>
          <w:rFonts w:ascii="Times New Roman" w:hAnsi="Times New Roman"/>
          <w:sz w:val="20"/>
        </w:rPr>
      </w:pPr>
      <w:r>
        <w:rPr>
          <w:rFonts w:ascii="Times New Roman" w:hAnsi="Times New Roman"/>
          <w:sz w:val="20"/>
        </w:rPr>
        <w:t xml:space="preserve">In September 2011, the FASB issued ASU 2011-08, </w:t>
      </w:r>
      <w:r>
        <w:rPr>
          <w:rFonts w:ascii="Times New Roman" w:hAnsi="Times New Roman"/>
          <w:i/>
          <w:sz w:val="20"/>
        </w:rPr>
        <w:t>Testing Goodwill for Impairment.</w:t>
      </w:r>
      <w:r>
        <w:rPr>
          <w:rFonts w:ascii="Times New Roman" w:hAnsi="Times New Roman"/>
          <w:sz w:val="20"/>
        </w:rPr>
        <w:t xml:space="preserve"> This update amends FASB ASC 350 (Intangibles  Goodwill and Other) by allowing entities to first assess qualitative factors to determine whether it is necessary to perform the two-step quantitative goodwill impairment test. The amendments in this update are effective for annual and interim goodwill impairment tests performed for fiscal years beginning on or after December 15, 2011. We do not anticipate the adoption of ASU 2011-08 will have a material effect on our financial position, results of operations or cash flows. </w:t>
      </w:r>
    </w:p>
    <w:p>
      <w:pPr>
        <w:pStyle w:val="TextBody"/>
        <w:spacing w:before="270" w:after="0"/>
        <w:rPr>
          <w:rFonts w:ascii="Times New Roman" w:hAnsi="Times New Roman"/>
          <w:b/>
          <w:sz w:val="20"/>
          <w:u w:val="single"/>
        </w:rPr>
      </w:pPr>
      <w:r>
        <w:rPr>
          <w:rFonts w:ascii="Times New Roman" w:hAnsi="Times New Roman"/>
          <w:b/>
          <w:sz w:val="20"/>
          <w:u w:val="single"/>
        </w:rPr>
        <w:t xml:space="preserve">Recently Adopted Accounting Pronouncements </w:t>
      </w:r>
    </w:p>
    <w:p>
      <w:pPr>
        <w:pStyle w:val="TextBody"/>
        <w:spacing w:before="90" w:after="0"/>
        <w:rPr>
          <w:rFonts w:ascii="Times New Roman" w:hAnsi="Times New Roman"/>
          <w:sz w:val="20"/>
        </w:rPr>
      </w:pPr>
      <w:r>
        <w:rPr>
          <w:rFonts w:ascii="Times New Roman" w:hAnsi="Times New Roman"/>
          <w:sz w:val="20"/>
        </w:rPr>
        <w:t xml:space="preserve">In May 2011, the FASB issued ASU 2011-04, </w:t>
      </w:r>
      <w:r>
        <w:rPr>
          <w:rFonts w:ascii="Times New Roman" w:hAnsi="Times New Roman"/>
          <w:i/>
          <w:sz w:val="20"/>
        </w:rPr>
        <w:t xml:space="preserve">Amendments to Achieve Common Fair Value Measurement and Disclosure Requirements in U.S. Generally Accepted Accounting Principles (GAAP) and International Financial Reporting Standards (IFRS). </w:t>
      </w:r>
      <w:r>
        <w:rPr>
          <w:rFonts w:ascii="Times New Roman" w:hAnsi="Times New Roman"/>
          <w:sz w:val="20"/>
        </w:rPr>
        <w:t xml:space="preserve">This update amends FASB ASC 820 (Fair Value Measurement) by providing common principles and requirements for measuring fair value, as well as similar disclosure requirements between U.S. GAAP and IFRS. It changes certain fair value measurement principles, clarifies the application of existing fair value concepts, and expands disclosure requirements, particularly for Level 3 fair value measurements. ASU 2011-04 is effective for interim and annual periods beginning on or after December 15, 2011. We adopted ASU 2011-04 in our interim period beginning January 1, 2012 with no material effect on our financial position, results of operations or cash flows.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December 2011, the FASB issued ASU 2011-12, </w:t>
      </w:r>
      <w:r>
        <w:rPr>
          <w:rFonts w:ascii="Times New Roman" w:hAnsi="Times New Roman"/>
          <w:i/>
          <w:sz w:val="20"/>
        </w:rPr>
        <w:t xml:space="preserve">Deferral of the Effective Date for Amendments to the Presentation of Reclassifications of Items Out of Accumulated Other Comprehensive Income in ASU 2011-05. </w:t>
      </w:r>
      <w:r>
        <w:rPr>
          <w:rFonts w:ascii="Times New Roman" w:hAnsi="Times New Roman"/>
          <w:sz w:val="20"/>
        </w:rPr>
        <w:t xml:space="preserve">This update supersedes certain content in ASU 2011-05 </w:t>
      </w:r>
      <w:r>
        <w:rPr>
          <w:rFonts w:ascii="Times New Roman" w:hAnsi="Times New Roman"/>
          <w:i/>
          <w:sz w:val="20"/>
        </w:rPr>
        <w:t>Presentation of Comprehensive Income</w:t>
      </w:r>
      <w:r>
        <w:rPr>
          <w:rFonts w:ascii="Times New Roman" w:hAnsi="Times New Roman"/>
          <w:sz w:val="20"/>
        </w:rPr>
        <w:t xml:space="preserve"> that requires entities to present on the face of the financial statements reclassification adjustments for items that are reclassified from other comprehensive income to net income in the statements where the components of net income and the components of other comprehensive income are presented. This update is effective for fiscal years, and interim periods within those years, beginning after December 15, 2011. All other requirements in ASU 2011-05, including the requirement to report comprehensive income in either a single continuous financial statement or in two separate but consecutive financial statements, were not affected by ASU 2011-12. This update is effective for fiscal years beginning on or after December 15, 2011. We early adopted this amended standard in our fiscal year beginning October 1, 2011 with no effect on our financial position, results of operations or cash flows. </w:t>
      </w:r>
    </w:p>
    <w:p>
      <w:pPr>
        <w:pStyle w:val="TextBody"/>
        <w:spacing w:before="180" w:after="0"/>
        <w:rPr>
          <w:rFonts w:ascii="Times New Roman" w:hAnsi="Times New Roman"/>
          <w:sz w:val="20"/>
        </w:rPr>
      </w:pPr>
      <w:r>
        <w:rPr>
          <w:rFonts w:ascii="Times New Roman" w:hAnsi="Times New Roman"/>
          <w:sz w:val="20"/>
        </w:rPr>
        <w:t xml:space="preserve">In December 2010, the FASB issued ASU 2010-29, </w:t>
      </w:r>
      <w:r>
        <w:rPr>
          <w:rFonts w:ascii="Times New Roman" w:hAnsi="Times New Roman"/>
          <w:i/>
          <w:sz w:val="20"/>
        </w:rPr>
        <w:t>Disclosure of Supplementary Pro Forma Information for Business Combinations</w:t>
      </w:r>
      <w:r>
        <w:rPr>
          <w:rFonts w:ascii="Times New Roman" w:hAnsi="Times New Roman"/>
          <w:sz w:val="20"/>
        </w:rPr>
        <w:t xml:space="preserve">. The amendments in this update specify that, when presenting comparative financial statements, entities should disclose revenue and earnings of the combined entity as though the business combinations that occurred during the current year had occurred as of the beginning of the comparable prior annual reporting period. ASU 2010-29 also expands the supplemental pro forma disclosures to include a description of the nature and amount of material, nonrecurring pro forma adjustments directly attributable to the business combination included in the reported pro forma revenue and earnings. The amendments are effective prospectively for material (on an individual or an aggregate basis) business combinations entered into in fiscal years beginning on or after December 15, 2010. We adopted this amended standard on October 1, 2011, resulting in no effect on our financial position, operations or cash flows. </w:t>
      </w:r>
    </w:p>
    <w:p>
      <w:pPr>
        <w:pStyle w:val="TextBody"/>
        <w:spacing w:before="270" w:after="0"/>
        <w:rPr>
          <w:rFonts w:ascii="Times New Roman" w:hAnsi="Times New Roman"/>
          <w:b/>
          <w:sz w:val="20"/>
        </w:rPr>
      </w:pPr>
      <w:r>
        <w:rPr>
          <w:rFonts w:ascii="Times New Roman" w:hAnsi="Times New Roman"/>
          <w:b/>
          <w:sz w:val="20"/>
        </w:rPr>
        <w:t xml:space="preserve">Note B: Acquisitions </w:t>
      </w:r>
    </w:p>
    <w:p>
      <w:pPr>
        <w:pStyle w:val="TextBody"/>
        <w:spacing w:before="90" w:after="0"/>
        <w:rPr>
          <w:rFonts w:ascii="Times New Roman" w:hAnsi="Times New Roman"/>
          <w:sz w:val="20"/>
        </w:rPr>
      </w:pPr>
      <w:r>
        <w:rPr>
          <w:rFonts w:ascii="Times New Roman" w:hAnsi="Times New Roman"/>
          <w:sz w:val="20"/>
        </w:rPr>
        <w:t xml:space="preserve">On January 30, 2012, we acquired a 60% interest in Crediamigo, a specialty consumer finance company, headquartered in Mexico City, with 45 locations throughout the country for total consideration of $60.1 million, net of cash acquired. This amount includes contingent consideration related to two earn out payments. Annually, over the next two years, if certain financial performance targets are achieved, we will make a payment of $12.0 million dollars, each year, for a total amount of $24.0 million dollars. The purchase price above includes a fair value amount of $23.0 million, attributable to the contingent consideration payments. This amount was calculated using a probability-weighted discounted cash flow approach, in which all outcomes were successful. The significant inputs used for the valuation are not observable in the market and thus represents a Level 3 measurement within the fair value hierarchy. </w:t>
      </w:r>
    </w:p>
    <w:p>
      <w:pPr>
        <w:pStyle w:val="TextBody"/>
        <w:spacing w:before="180" w:after="0"/>
        <w:rPr>
          <w:rFonts w:ascii="Times New Roman" w:hAnsi="Times New Roman"/>
          <w:sz w:val="20"/>
        </w:rPr>
      </w:pPr>
      <w:r>
        <w:rPr>
          <w:rFonts w:ascii="Times New Roman" w:hAnsi="Times New Roman"/>
          <w:sz w:val="20"/>
        </w:rPr>
        <w:t xml:space="preserve">Pursuant to the Master Transaction Agreement, we agreed to provide to the sellers a put option with respect to their remaining shares of Crediamigo. Each seller has the right to sell their Crediamigo shares to EZCORP, Inc., during the exercise period of two to five years from the acquisition closing date, with no more than 50% of the sellers shares being sold within a consecutive 12 month period. Under the guidance in ASC 480-10-S99, securities that are redeemable for cash or other assets are to be classified outside of permanent equity; therefore, we have included the redeemable noncontrolling interest related to Crediamigo in temporary equity. </w:t>
      </w:r>
    </w:p>
    <w:p>
      <w:pPr>
        <w:pStyle w:val="TextBody"/>
        <w:spacing w:before="180" w:after="0"/>
        <w:rPr>
          <w:rFonts w:ascii="Times New Roman" w:hAnsi="Times New Roman"/>
          <w:sz w:val="20"/>
        </w:rPr>
      </w:pPr>
      <w:r>
        <w:rPr>
          <w:rFonts w:ascii="Times New Roman" w:hAnsi="Times New Roman"/>
          <w:sz w:val="20"/>
        </w:rPr>
        <w:t xml:space="preserve">The fair value of the redeemable noncontrolling interest in Crediamigo was estimated by applying an income approach and a market approach. This fair value measurement is based on significant inputs that are not observable in the market and thus represents a Level 3 measurement. Key assumptions include discount rates ranging from 10% to 18%, representing discounts for lack of control and lack of marketability that market participants would consider when estimating the fair value of the noncontrolling interest. The fair market value of Crediamigo was determined using a multiple of future earnings that is consistent with other market participants. </w:t>
      </w:r>
    </w:p>
    <w:p>
      <w:pPr>
        <w:pStyle w:val="TextBody"/>
        <w:spacing w:before="180" w:after="0"/>
        <w:rPr>
          <w:rFonts w:ascii="Times New Roman" w:hAnsi="Times New Roman"/>
          <w:sz w:val="20"/>
        </w:rPr>
      </w:pPr>
      <w:r>
        <w:rPr>
          <w:rFonts w:ascii="Times New Roman" w:hAnsi="Times New Roman"/>
          <w:sz w:val="20"/>
        </w:rPr>
        <w:t xml:space="preserve">The six-month period ended March 31, 2012, includes $7.4 million in revenues and $0.2 million in income related to the Crediamigo acquisition. The purchase price allocation is preliminary as we continue to receive information regarding the acquired assets. We have recorded provisional amounts for certain assets and liabilities for which we have not yet received all information necessary to finalize our assessment. </w:t>
      </w:r>
    </w:p>
    <w:p>
      <w:pPr>
        <w:pStyle w:val="TextBody"/>
        <w:spacing w:before="180" w:after="0"/>
        <w:rPr>
          <w:rFonts w:ascii="Times New Roman" w:hAnsi="Times New Roman"/>
          <w:sz w:val="20"/>
        </w:rPr>
      </w:pPr>
      <w:r>
        <w:rPr>
          <w:rFonts w:ascii="Times New Roman" w:hAnsi="Times New Roman"/>
          <w:sz w:val="20"/>
        </w:rPr>
        <w:t xml:space="preserve">The six-month period ended March 31, 2012, includes the acquisition of 39 locations in the U.S. and one in Canada for total consideration of $63.4 million, net of cash acquired. As these acquisitions were individually immaterial, we present their related information on a combined basis. </w:t>
      </w:r>
    </w:p>
    <w:p>
      <w:pPr>
        <w:pStyle w:val="TextBody"/>
        <w:spacing w:before="180" w:after="0"/>
        <w:rPr>
          <w:rFonts w:ascii="Times New Roman" w:hAnsi="Times New Roman"/>
          <w:sz w:val="20"/>
        </w:rPr>
      </w:pPr>
      <w:r>
        <w:rPr>
          <w:rFonts w:ascii="Times New Roman" w:hAnsi="Times New Roman"/>
          <w:sz w:val="20"/>
        </w:rPr>
        <w:t xml:space="preserve">All acquisitions were made as part of our continuing strategy to enhance and diversify our earnings through acquisitions.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 purchase price allocation of assets acquired in the most recent twelve months is preliminary as we continue to receive information regarding the acquired assets. Transaction related expenses for the six-month periods ended March 31, 2012 and 2011 of approximately $1.7 million and $0.4 million, respectively, were expensed as incurred and recorded as administrative expenses.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rFonts w:ascii="Times New Roman" w:hAnsi="Times New Roman"/>
          <w:sz w:val="20"/>
        </w:rPr>
      </w:pPr>
      <w:r>
        <w:rPr>
          <w:rFonts w:ascii="Times New Roman" w:hAnsi="Times New Roman"/>
          <w:sz w:val="20"/>
        </w:rPr>
        <w:t xml:space="preserve">The following table provides information related to the acquisitions of domestic and foreign retail and financial services locations during the six months ended March 31, 2012 and 2011: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3775"/>
        <w:gridCol w:w="445"/>
        <w:gridCol w:w="60"/>
        <w:gridCol w:w="931"/>
        <w:gridCol w:w="120"/>
        <w:gridCol w:w="445"/>
        <w:gridCol w:w="68"/>
        <w:gridCol w:w="1048"/>
        <w:gridCol w:w="120"/>
        <w:gridCol w:w="445"/>
        <w:gridCol w:w="60"/>
        <w:gridCol w:w="930"/>
        <w:gridCol w:w="125"/>
      </w:tblGrid>
      <w:tr>
        <w:trPr/>
        <w:tc>
          <w:tcPr>
            <w:tcW w:w="377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b/>
                <w:sz w:val="14"/>
              </w:rPr>
            </w:pPr>
            <w:r>
              <w:rPr>
                <w:b/>
                <w:sz w:val="14"/>
              </w:rPr>
              <w:t>XXXXXXXXXX</w:t>
            </w:r>
          </w:p>
        </w:tc>
        <w:tc>
          <w:tcPr>
            <w:tcW w:w="12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b/>
                <w:sz w:val="14"/>
              </w:rPr>
            </w:pPr>
            <w:r>
              <w:rPr>
                <w:b/>
                <w:sz w:val="14"/>
              </w:rPr>
              <w:t>XXXXXXXXXX</w:t>
            </w:r>
          </w:p>
        </w:tc>
        <w:tc>
          <w:tcPr>
            <w:tcW w:w="12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b/>
                <w:sz w:val="14"/>
              </w:rPr>
            </w:pPr>
            <w:r>
              <w:rPr>
                <w:b/>
                <w:sz w:val="14"/>
              </w:rPr>
              <w:t>XXXXXXXXXX</w:t>
            </w:r>
          </w:p>
        </w:tc>
        <w:tc>
          <w:tcPr>
            <w:tcW w:w="125" w:type="dxa"/>
            <w:tcBorders/>
            <w:shd w:fill="auto" w:val="clear"/>
            <w:vAlign w:val="center"/>
          </w:tcPr>
          <w:p>
            <w:pPr>
              <w:pStyle w:val="TableContents"/>
              <w:spacing w:before="0" w:after="283"/>
              <w:rPr>
                <w:sz w:val="4"/>
                <w:szCs w:val="4"/>
              </w:rPr>
            </w:pPr>
            <w:r>
              <w:rPr>
                <w:sz w:val="4"/>
                <w:szCs w:val="4"/>
              </w:rPr>
            </w:r>
          </w:p>
        </w:tc>
      </w:tr>
      <w:tr>
        <w:trPr/>
        <w:tc>
          <w:tcPr>
            <w:tcW w:w="377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4227"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w:t>
            </w:r>
          </w:p>
        </w:tc>
        <w:tc>
          <w:tcPr>
            <w:tcW w:w="125" w:type="dxa"/>
            <w:tcBorders/>
            <w:shd w:fill="auto" w:val="clear"/>
            <w:vAlign w:val="bottom"/>
          </w:tcPr>
          <w:p>
            <w:pPr>
              <w:pStyle w:val="TableContents"/>
              <w:spacing w:before="0" w:after="283"/>
              <w:rPr/>
            </w:pPr>
            <w:r>
              <w:rPr/>
              <w:t> </w:t>
            </w:r>
          </w:p>
        </w:tc>
      </w:tr>
      <w:tr>
        <w:trPr/>
        <w:tc>
          <w:tcPr>
            <w:tcW w:w="377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67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9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r>
      <w:tr>
        <w:trPr/>
        <w:tc>
          <w:tcPr>
            <w:tcW w:w="377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Crediamigo</w:t>
            </w:r>
          </w:p>
        </w:tc>
        <w:tc>
          <w:tcPr>
            <w:tcW w:w="12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1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 Acquisitions</w:t>
            </w:r>
          </w:p>
        </w:tc>
        <w:tc>
          <w:tcPr>
            <w:tcW w:w="12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990"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r>
      <w:tr>
        <w:trPr/>
        <w:tc>
          <w:tcPr>
            <w:tcW w:w="3775" w:type="dxa"/>
            <w:tcBorders/>
            <w:shd w:fill="CCEEFF" w:val="clear"/>
          </w:tcPr>
          <w:p>
            <w:pPr>
              <w:pStyle w:val="TableContents"/>
              <w:spacing w:before="0" w:after="283"/>
              <w:rPr>
                <w:rFonts w:ascii="Times New Roman" w:hAnsi="Times New Roman"/>
                <w:sz w:val="20"/>
              </w:rPr>
            </w:pPr>
            <w:r>
              <w:rPr>
                <w:rFonts w:ascii="Times New Roman" w:hAnsi="Times New Roman"/>
                <w:sz w:val="20"/>
              </w:rPr>
              <w:t>Number of asset purchase acquisitions</w:t>
            </w:r>
          </w:p>
        </w:tc>
        <w:tc>
          <w:tcPr>
            <w:tcW w:w="4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0"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r>
      <w:tr>
        <w:trPr/>
        <w:tc>
          <w:tcPr>
            <w:tcW w:w="3775"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stock purchase acquisitions</w:t>
            </w:r>
          </w:p>
        </w:tc>
        <w:tc>
          <w:tcPr>
            <w:tcW w:w="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r>
      <w:tr>
        <w:trPr>
          <w:trHeight w:val="120" w:hRule="atLeast"/>
        </w:trPr>
        <w:tc>
          <w:tcPr>
            <w:tcW w:w="3775" w:type="dxa"/>
            <w:tcBorders/>
            <w:shd w:fill="auto" w:val="clear"/>
            <w:vAlign w:val="center"/>
          </w:tcPr>
          <w:p>
            <w:pPr>
              <w:pStyle w:val="TableContents"/>
              <w:spacing w:before="0" w:after="283"/>
              <w:rPr>
                <w:sz w:val="4"/>
                <w:szCs w:val="4"/>
              </w:rPr>
            </w:pPr>
            <w:r>
              <w:rPr>
                <w:sz w:val="4"/>
                <w:szCs w:val="4"/>
              </w:rPr>
            </w:r>
          </w:p>
        </w:tc>
        <w:tc>
          <w:tcPr>
            <w:tcW w:w="1556" w:type="dxa"/>
            <w:gridSpan w:val="4"/>
            <w:tcBorders/>
            <w:shd w:fill="auto" w:val="clear"/>
            <w:vAlign w:val="center"/>
          </w:tcPr>
          <w:p>
            <w:pPr>
              <w:pStyle w:val="TableContents"/>
              <w:spacing w:before="0" w:after="283"/>
              <w:rPr>
                <w:sz w:val="4"/>
                <w:szCs w:val="4"/>
              </w:rPr>
            </w:pPr>
            <w:r>
              <w:rPr>
                <w:sz w:val="4"/>
                <w:szCs w:val="4"/>
              </w:rPr>
            </w:r>
          </w:p>
        </w:tc>
        <w:tc>
          <w:tcPr>
            <w:tcW w:w="1681"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r>
      <w:tr>
        <w:trPr/>
        <w:tc>
          <w:tcPr>
            <w:tcW w:w="3775" w:type="dxa"/>
            <w:tcBorders/>
            <w:shd w:fill="CCEEFF" w:val="clear"/>
          </w:tcPr>
          <w:p>
            <w:pPr>
              <w:pStyle w:val="TableContents"/>
              <w:spacing w:before="0" w:after="283"/>
              <w:rPr>
                <w:rFonts w:ascii="Times New Roman" w:hAnsi="Times New Roman"/>
                <w:sz w:val="20"/>
              </w:rPr>
            </w:pPr>
            <w:r>
              <w:rPr>
                <w:rFonts w:ascii="Times New Roman" w:hAnsi="Times New Roman"/>
                <w:sz w:val="20"/>
              </w:rPr>
              <w:t>U.S. stores acquired</w:t>
            </w:r>
          </w:p>
        </w:tc>
        <w:tc>
          <w:tcPr>
            <w:tcW w:w="4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0"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rPr/>
            </w:pPr>
            <w:r>
              <w:rPr/>
              <w:t>  </w:t>
            </w:r>
          </w:p>
        </w:tc>
      </w:tr>
      <w:tr>
        <w:trPr/>
        <w:tc>
          <w:tcPr>
            <w:tcW w:w="3775" w:type="dxa"/>
            <w:tcBorders/>
            <w:shd w:fill="auto" w:val="clear"/>
          </w:tcPr>
          <w:p>
            <w:pPr>
              <w:pStyle w:val="TableContents"/>
              <w:spacing w:before="0" w:after="283"/>
              <w:rPr>
                <w:rFonts w:ascii="Times New Roman" w:hAnsi="Times New Roman"/>
                <w:sz w:val="20"/>
              </w:rPr>
            </w:pPr>
            <w:r>
              <w:rPr>
                <w:rFonts w:ascii="Times New Roman" w:hAnsi="Times New Roman"/>
                <w:sz w:val="20"/>
              </w:rPr>
              <w:t>Foreign stores acquired</w:t>
            </w:r>
          </w:p>
        </w:tc>
        <w:tc>
          <w:tcPr>
            <w:tcW w:w="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r>
      <w:tr>
        <w:trPr/>
        <w:tc>
          <w:tcPr>
            <w:tcW w:w="3775"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93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283"/>
              <w:rPr/>
            </w:pPr>
            <w:r>
              <w:rPr/>
              <w:t> </w:t>
            </w:r>
          </w:p>
        </w:tc>
        <w:tc>
          <w:tcPr>
            <w:tcW w:w="104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93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3775" w:type="dxa"/>
            <w:tcBorders/>
            <w:shd w:fill="CCEEFF" w:val="clear"/>
          </w:tcPr>
          <w:p>
            <w:pPr>
              <w:pStyle w:val="TableContents"/>
              <w:spacing w:before="0" w:after="283"/>
              <w:rPr>
                <w:rFonts w:ascii="Times New Roman" w:hAnsi="Times New Roman"/>
                <w:sz w:val="20"/>
              </w:rPr>
            </w:pPr>
            <w:r>
              <w:rPr>
                <w:rFonts w:ascii="Times New Roman" w:hAnsi="Times New Roman"/>
                <w:sz w:val="20"/>
              </w:rPr>
              <w:t>Total stores acquired</w:t>
            </w:r>
          </w:p>
        </w:tc>
        <w:tc>
          <w:tcPr>
            <w:tcW w:w="4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0"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rPr/>
            </w:pPr>
            <w:r>
              <w:rPr/>
              <w:t>  </w:t>
            </w:r>
          </w:p>
        </w:tc>
      </w:tr>
      <w:tr>
        <w:trPr/>
        <w:tc>
          <w:tcPr>
            <w:tcW w:w="3775"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93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double" w:sz="6" w:space="1" w:color="000000"/>
              </w:pBdr>
              <w:spacing w:before="0" w:after="283"/>
              <w:rPr/>
            </w:pPr>
            <w:r>
              <w:rPr/>
              <w:t> </w:t>
            </w:r>
          </w:p>
        </w:tc>
        <w:tc>
          <w:tcPr>
            <w:tcW w:w="104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283"/>
              <w:rPr/>
            </w:pPr>
            <w:r>
              <w:rPr/>
              <w:t> </w:t>
            </w:r>
          </w:p>
        </w:tc>
        <w:tc>
          <w:tcPr>
            <w:tcW w:w="93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3590"/>
        <w:gridCol w:w="337"/>
        <w:gridCol w:w="125"/>
        <w:gridCol w:w="1106"/>
        <w:gridCol w:w="125"/>
        <w:gridCol w:w="285"/>
        <w:gridCol w:w="125"/>
        <w:gridCol w:w="1106"/>
        <w:gridCol w:w="125"/>
        <w:gridCol w:w="285"/>
        <w:gridCol w:w="125"/>
        <w:gridCol w:w="1105"/>
        <w:gridCol w:w="133"/>
      </w:tblGrid>
      <w:tr>
        <w:trPr/>
        <w:tc>
          <w:tcPr>
            <w:tcW w:w="3590"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20"/>
              </w:rPr>
            </w:pPr>
            <w:r>
              <w:rPr>
                <w:sz w:val="20"/>
              </w:rPr>
              <w:t>XXXXXXXX</w:t>
            </w:r>
          </w:p>
        </w:tc>
        <w:tc>
          <w:tcPr>
            <w:tcW w:w="12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20"/>
              </w:rPr>
            </w:pPr>
            <w:r>
              <w:rPr>
                <w:sz w:val="20"/>
              </w:rPr>
              <w:t>XXXXXXXX</w:t>
            </w:r>
          </w:p>
        </w:tc>
        <w:tc>
          <w:tcPr>
            <w:tcW w:w="12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20"/>
              </w:rPr>
            </w:pPr>
            <w:r>
              <w:rPr>
                <w:sz w:val="20"/>
              </w:rPr>
              <w:t>XXXXXXXX</w:t>
            </w:r>
          </w:p>
        </w:tc>
        <w:tc>
          <w:tcPr>
            <w:tcW w:w="133" w:type="dxa"/>
            <w:tcBorders/>
            <w:shd w:fill="auto" w:val="clear"/>
            <w:vAlign w:val="center"/>
          </w:tcPr>
          <w:p>
            <w:pPr>
              <w:pStyle w:val="TableContents"/>
              <w:spacing w:before="0" w:after="283"/>
              <w:rPr>
                <w:sz w:val="4"/>
                <w:szCs w:val="4"/>
              </w:rPr>
            </w:pPr>
            <w:r>
              <w:rPr>
                <w:sz w:val="4"/>
                <w:szCs w:val="4"/>
              </w:rPr>
            </w:r>
          </w:p>
        </w:tc>
      </w:tr>
      <w:tr>
        <w:trPr/>
        <w:tc>
          <w:tcPr>
            <w:tcW w:w="35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4512"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w:t>
            </w:r>
          </w:p>
        </w:tc>
        <w:tc>
          <w:tcPr>
            <w:tcW w:w="133" w:type="dxa"/>
            <w:tcBorders/>
            <w:shd w:fill="auto" w:val="clear"/>
            <w:vAlign w:val="bottom"/>
          </w:tcPr>
          <w:p>
            <w:pPr>
              <w:pStyle w:val="TableContents"/>
              <w:spacing w:before="0" w:after="283"/>
              <w:rPr/>
            </w:pPr>
            <w:r>
              <w:rPr/>
              <w:t> </w:t>
            </w:r>
          </w:p>
        </w:tc>
      </w:tr>
      <w:tr>
        <w:trPr/>
        <w:tc>
          <w:tcPr>
            <w:tcW w:w="35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4512"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3" w:type="dxa"/>
            <w:tcBorders/>
            <w:shd w:fill="auto" w:val="clear"/>
            <w:vAlign w:val="bottom"/>
          </w:tcPr>
          <w:p>
            <w:pPr>
              <w:pStyle w:val="TableContents"/>
              <w:spacing w:before="0" w:after="283"/>
              <w:rPr/>
            </w:pPr>
            <w:r>
              <w:rPr/>
              <w:t> </w:t>
            </w:r>
          </w:p>
        </w:tc>
      </w:tr>
      <w:tr>
        <w:trPr/>
        <w:tc>
          <w:tcPr>
            <w:tcW w:w="35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87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3" w:type="dxa"/>
            <w:tcBorders/>
            <w:shd w:fill="auto" w:val="clear"/>
            <w:vAlign w:val="bottom"/>
          </w:tcPr>
          <w:p>
            <w:pPr>
              <w:pStyle w:val="TableContents"/>
              <w:spacing w:before="0" w:after="283"/>
              <w:rPr/>
            </w:pPr>
            <w:r>
              <w:rPr/>
              <w:t> </w:t>
            </w:r>
          </w:p>
        </w:tc>
      </w:tr>
      <w:tr>
        <w:trPr/>
        <w:tc>
          <w:tcPr>
            <w:tcW w:w="3590"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Crediamigo</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 Acquisitions</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3590" w:type="dxa"/>
            <w:tcBorders/>
            <w:shd w:fill="CCEEFF" w:val="clear"/>
          </w:tcPr>
          <w:p>
            <w:pPr>
              <w:pStyle w:val="TableContents"/>
              <w:spacing w:before="0" w:after="283"/>
              <w:rPr>
                <w:rFonts w:ascii="Times New Roman" w:hAnsi="Times New Roman"/>
                <w:sz w:val="20"/>
              </w:rPr>
            </w:pPr>
            <w:r>
              <w:rPr>
                <w:rFonts w:ascii="Times New Roman" w:hAnsi="Times New Roman"/>
                <w:sz w:val="20"/>
              </w:rPr>
              <w:t>Consideration:</w:t>
            </w:r>
          </w:p>
        </w:tc>
        <w:tc>
          <w:tcPr>
            <w:tcW w:w="3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0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0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0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3590" w:type="dxa"/>
            <w:tcBorders/>
            <w:shd w:fill="auto" w:val="clear"/>
          </w:tcPr>
          <w:p>
            <w:pPr>
              <w:pStyle w:val="TableContents"/>
              <w:spacing w:before="0" w:after="283"/>
              <w:rPr>
                <w:rFonts w:ascii="Times New Roman" w:hAnsi="Times New Roman"/>
                <w:sz w:val="20"/>
              </w:rPr>
            </w:pPr>
            <w:r>
              <w:rPr>
                <w:rFonts w:ascii="Times New Roman" w:hAnsi="Times New Roman"/>
                <w:sz w:val="20"/>
              </w:rPr>
              <w:t>Cash</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45,001</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53,466</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31,524</w:t>
            </w:r>
          </w:p>
        </w:tc>
        <w:tc>
          <w:tcPr>
            <w:tcW w:w="133" w:type="dxa"/>
            <w:tcBorders/>
            <w:shd w:fill="auto" w:val="clear"/>
            <w:vAlign w:val="bottom"/>
          </w:tcPr>
          <w:p>
            <w:pPr>
              <w:pStyle w:val="TableContents"/>
              <w:spacing w:before="0" w:after="283"/>
              <w:rPr/>
            </w:pPr>
            <w:r>
              <w:rPr/>
              <w:t>  </w:t>
            </w:r>
          </w:p>
        </w:tc>
      </w:tr>
      <w:tr>
        <w:trPr/>
        <w:tc>
          <w:tcPr>
            <w:tcW w:w="3590"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instruments</w:t>
            </w:r>
          </w:p>
        </w:tc>
        <w:tc>
          <w:tcPr>
            <w:tcW w:w="3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11,615</w:t>
            </w:r>
          </w:p>
        </w:tc>
        <w:tc>
          <w:tcPr>
            <w:tcW w:w="12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r>
      <w:tr>
        <w:trPr/>
        <w:tc>
          <w:tcPr>
            <w:tcW w:w="3590"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consideration</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5,785</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r>
      <w:tr>
        <w:trPr/>
        <w:tc>
          <w:tcPr>
            <w:tcW w:w="3590" w:type="dxa"/>
            <w:tcBorders/>
            <w:shd w:fill="CCEEFF" w:val="clear"/>
          </w:tcPr>
          <w:p>
            <w:pPr>
              <w:pStyle w:val="TableContents"/>
              <w:spacing w:before="0" w:after="283"/>
              <w:rPr>
                <w:rFonts w:ascii="Times New Roman" w:hAnsi="Times New Roman"/>
                <w:sz w:val="20"/>
              </w:rPr>
            </w:pPr>
            <w:r>
              <w:rPr>
                <w:rFonts w:ascii="Times New Roman" w:hAnsi="Times New Roman"/>
                <w:sz w:val="20"/>
              </w:rPr>
              <w:t>Contingent consideration</w:t>
            </w:r>
          </w:p>
        </w:tc>
        <w:tc>
          <w:tcPr>
            <w:tcW w:w="3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23,000</w:t>
            </w:r>
          </w:p>
        </w:tc>
        <w:tc>
          <w:tcPr>
            <w:tcW w:w="12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r>
      <w:tr>
        <w:trPr/>
        <w:tc>
          <w:tcPr>
            <w:tcW w:w="3590"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10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10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105"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590"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 of total consideration transferred</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73,786</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65,081</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31,524</w:t>
            </w:r>
          </w:p>
        </w:tc>
        <w:tc>
          <w:tcPr>
            <w:tcW w:w="133" w:type="dxa"/>
            <w:tcBorders/>
            <w:shd w:fill="auto" w:val="clear"/>
            <w:vAlign w:val="bottom"/>
          </w:tcPr>
          <w:p>
            <w:pPr>
              <w:pStyle w:val="TableContents"/>
              <w:spacing w:before="0" w:after="283"/>
              <w:rPr/>
            </w:pPr>
            <w:r>
              <w:rPr/>
              <w:t>  </w:t>
            </w:r>
          </w:p>
        </w:tc>
      </w:tr>
      <w:tr>
        <w:trPr/>
        <w:tc>
          <w:tcPr>
            <w:tcW w:w="3590" w:type="dxa"/>
            <w:tcBorders/>
            <w:shd w:fill="CCEEFF" w:val="clear"/>
          </w:tcPr>
          <w:p>
            <w:pPr>
              <w:pStyle w:val="TableContents"/>
              <w:spacing w:before="0" w:after="283"/>
              <w:rPr>
                <w:rFonts w:ascii="Times New Roman" w:hAnsi="Times New Roman"/>
                <w:sz w:val="20"/>
              </w:rPr>
            </w:pPr>
            <w:r>
              <w:rPr>
                <w:rFonts w:ascii="Times New Roman" w:hAnsi="Times New Roman"/>
                <w:sz w:val="20"/>
              </w:rPr>
              <w:t>Cash acquired</w:t>
            </w:r>
          </w:p>
        </w:tc>
        <w:tc>
          <w:tcPr>
            <w:tcW w:w="3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(13,657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590"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10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10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105"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3590" w:type="dxa"/>
            <w:tcBorders/>
            <w:shd w:fill="auto" w:val="clear"/>
          </w:tcPr>
          <w:p>
            <w:pPr>
              <w:pStyle w:val="TableContents"/>
              <w:spacing w:before="0" w:after="283"/>
              <w:rPr>
                <w:rFonts w:ascii="Times New Roman" w:hAnsi="Times New Roman"/>
                <w:sz w:val="20"/>
              </w:rPr>
            </w:pPr>
            <w:r>
              <w:rPr>
                <w:rFonts w:ascii="Times New Roman" w:hAnsi="Times New Roman"/>
                <w:sz w:val="20"/>
              </w:rPr>
              <w:t>Total purchase price</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60,129</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63,431</w:t>
            </w:r>
          </w:p>
        </w:tc>
        <w:tc>
          <w:tcPr>
            <w:tcW w:w="12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31,461</w:t>
            </w:r>
          </w:p>
        </w:tc>
        <w:tc>
          <w:tcPr>
            <w:tcW w:w="133" w:type="dxa"/>
            <w:tcBorders/>
            <w:shd w:fill="auto" w:val="clear"/>
            <w:vAlign w:val="bottom"/>
          </w:tcPr>
          <w:p>
            <w:pPr>
              <w:pStyle w:val="TableContents"/>
              <w:spacing w:before="0" w:after="283"/>
              <w:rPr/>
            </w:pPr>
            <w:r>
              <w:rPr/>
              <w:t>  </w:t>
            </w:r>
          </w:p>
        </w:tc>
      </w:tr>
      <w:tr>
        <w:trPr/>
        <w:tc>
          <w:tcPr>
            <w:tcW w:w="3590"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10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10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1105"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6219"/>
        <w:gridCol w:w="298"/>
        <w:gridCol w:w="125"/>
        <w:gridCol w:w="704"/>
        <w:gridCol w:w="120"/>
        <w:gridCol w:w="298"/>
        <w:gridCol w:w="208"/>
        <w:gridCol w:w="935"/>
        <w:gridCol w:w="119"/>
        <w:gridCol w:w="298"/>
        <w:gridCol w:w="125"/>
        <w:gridCol w:w="630"/>
        <w:gridCol w:w="126"/>
      </w:tblGrid>
      <w:tr>
        <w:trPr/>
        <w:tc>
          <w:tcPr>
            <w:tcW w:w="621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62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3562"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w:t>
            </w:r>
          </w:p>
        </w:tc>
        <w:tc>
          <w:tcPr>
            <w:tcW w:w="126" w:type="dxa"/>
            <w:tcBorders/>
            <w:shd w:fill="auto" w:val="clear"/>
            <w:vAlign w:val="bottom"/>
          </w:tcPr>
          <w:p>
            <w:pPr>
              <w:pStyle w:val="TableContents"/>
              <w:spacing w:before="0" w:after="283"/>
              <w:rPr/>
            </w:pPr>
            <w:r>
              <w:rPr/>
              <w:t> </w:t>
            </w:r>
          </w:p>
        </w:tc>
      </w:tr>
      <w:tr>
        <w:trPr/>
        <w:tc>
          <w:tcPr>
            <w:tcW w:w="62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3562"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6" w:type="dxa"/>
            <w:tcBorders/>
            <w:shd w:fill="auto" w:val="clear"/>
            <w:vAlign w:val="bottom"/>
          </w:tcPr>
          <w:p>
            <w:pPr>
              <w:pStyle w:val="TableContents"/>
              <w:spacing w:before="0" w:after="283"/>
              <w:rPr/>
            </w:pPr>
            <w:r>
              <w:rPr/>
              <w:t> </w:t>
            </w:r>
          </w:p>
        </w:tc>
      </w:tr>
      <w:tr>
        <w:trPr/>
        <w:tc>
          <w:tcPr>
            <w:tcW w:w="62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9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7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6" w:type="dxa"/>
            <w:tcBorders/>
            <w:shd w:fill="auto" w:val="clear"/>
            <w:vAlign w:val="bottom"/>
          </w:tcPr>
          <w:p>
            <w:pPr>
              <w:pStyle w:val="TableContents"/>
              <w:spacing w:before="0" w:after="283"/>
              <w:rPr/>
            </w:pPr>
            <w:r>
              <w:rPr/>
              <w:t> </w:t>
            </w:r>
          </w:p>
        </w:tc>
      </w:tr>
      <w:tr>
        <w:trPr/>
        <w:tc>
          <w:tcPr>
            <w:tcW w:w="62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Crediamigo</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1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 Acquisitions</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3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 net</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5,036</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3,066</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net</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8,658</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1,660</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18,844</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1,003</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523</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 net</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4,429</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1,748</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3,513</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935"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3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31,015</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12,280</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5,470</w:t>
            </w:r>
          </w:p>
        </w:tc>
        <w:tc>
          <w:tcPr>
            <w:tcW w:w="126" w:type="dxa"/>
            <w:tcBorders/>
            <w:shd w:fill="auto" w:val="clear"/>
            <w:vAlign w:val="bottom"/>
          </w:tcPr>
          <w:p>
            <w:pPr>
              <w:pStyle w:val="TableContents"/>
              <w:spacing w:before="0" w:after="283"/>
              <w:rPr/>
            </w:pPr>
            <w:r>
              <w:rPr/>
              <w:t>  </w:t>
            </w:r>
          </w:p>
        </w:tc>
      </w:tr>
      <w:tr>
        <w:trPr>
          <w:trHeight w:val="120" w:hRule="atLeast"/>
        </w:trPr>
        <w:tc>
          <w:tcPr>
            <w:tcW w:w="6219" w:type="dxa"/>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c>
          <w:tcPr>
            <w:tcW w:w="1179" w:type="dxa"/>
            <w:gridSpan w:val="4"/>
            <w:tcBorders/>
            <w:shd w:fill="auto" w:val="clear"/>
            <w:vAlign w:val="center"/>
          </w:tcPr>
          <w:p>
            <w:pPr>
              <w:pStyle w:val="TableContents"/>
              <w:spacing w:before="0" w:after="283"/>
              <w:rPr>
                <w:sz w:val="4"/>
                <w:szCs w:val="4"/>
              </w:rPr>
            </w:pPr>
            <w:r>
              <w:rPr>
                <w:sz w:val="4"/>
                <w:szCs w:val="4"/>
              </w:rPr>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2,328</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1,972</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95,827</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50,071</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25,708</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consumer loans, net</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52,228</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16,500</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880</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16,834</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935"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3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214,732</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65,362</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31,708</w:t>
            </w:r>
          </w:p>
        </w:tc>
        <w:tc>
          <w:tcPr>
            <w:tcW w:w="126" w:type="dxa"/>
            <w:tcBorders/>
            <w:shd w:fill="auto" w:val="clear"/>
            <w:vAlign w:val="bottom"/>
          </w:tcPr>
          <w:p>
            <w:pPr>
              <w:pStyle w:val="TableContents"/>
              <w:spacing w:before="0" w:after="283"/>
              <w:rPr/>
            </w:pPr>
            <w:r>
              <w:rPr/>
              <w:t>  </w:t>
            </w:r>
          </w:p>
        </w:tc>
      </w:tr>
      <w:tr>
        <w:trPr>
          <w:trHeight w:val="120" w:hRule="atLeast"/>
        </w:trPr>
        <w:tc>
          <w:tcPr>
            <w:tcW w:w="6219" w:type="dxa"/>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c>
          <w:tcPr>
            <w:tcW w:w="1179" w:type="dxa"/>
            <w:gridSpan w:val="4"/>
            <w:tcBorders/>
            <w:shd w:fill="auto" w:val="clear"/>
            <w:vAlign w:val="center"/>
          </w:tcPr>
          <w:p>
            <w:pPr>
              <w:pStyle w:val="TableContents"/>
              <w:spacing w:before="0" w:after="283"/>
              <w:rPr>
                <w:sz w:val="4"/>
                <w:szCs w:val="4"/>
              </w:rPr>
            </w:pPr>
            <w:r>
              <w:rPr>
                <w:sz w:val="4"/>
                <w:szCs w:val="4"/>
              </w:rPr>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30"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6,830</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1,004</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Current maturities of long-term debt</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23,219</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Other current liabilities</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1,010</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935"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3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31,059</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1,912</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w:t>
            </w:r>
          </w:p>
        </w:tc>
        <w:tc>
          <w:tcPr>
            <w:tcW w:w="126" w:type="dxa"/>
            <w:tcBorders/>
            <w:shd w:fill="auto" w:val="clear"/>
            <w:vAlign w:val="bottom"/>
          </w:tcPr>
          <w:p>
            <w:pPr>
              <w:pStyle w:val="TableContents"/>
              <w:spacing w:before="0" w:after="283"/>
              <w:rPr/>
            </w:pPr>
            <w:r>
              <w:rPr/>
              <w:t>  </w:t>
            </w:r>
          </w:p>
        </w:tc>
      </w:tr>
      <w:tr>
        <w:trPr>
          <w:trHeight w:val="120" w:hRule="atLeast"/>
        </w:trPr>
        <w:tc>
          <w:tcPr>
            <w:tcW w:w="6219" w:type="dxa"/>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c>
          <w:tcPr>
            <w:tcW w:w="1179" w:type="dxa"/>
            <w:gridSpan w:val="4"/>
            <w:tcBorders/>
            <w:shd w:fill="auto" w:val="clear"/>
            <w:vAlign w:val="center"/>
          </w:tcPr>
          <w:p>
            <w:pPr>
              <w:pStyle w:val="TableContents"/>
              <w:spacing w:before="0" w:after="283"/>
              <w:rPr>
                <w:sz w:val="4"/>
                <w:szCs w:val="4"/>
              </w:rPr>
            </w:pPr>
            <w:r>
              <w:rPr>
                <w:sz w:val="4"/>
                <w:szCs w:val="4"/>
              </w:rPr>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936</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87,885</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1,223</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935"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3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121,103</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1,931</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26" w:type="dxa"/>
            <w:tcBorders/>
            <w:shd w:fill="auto" w:val="clear"/>
            <w:vAlign w:val="bottom"/>
          </w:tcPr>
          <w:p>
            <w:pPr>
              <w:pStyle w:val="TableContents"/>
              <w:spacing w:before="0" w:after="283"/>
              <w:rPr/>
            </w:pPr>
            <w:r>
              <w:rPr/>
              <w:t>  </w:t>
            </w:r>
          </w:p>
        </w:tc>
      </w:tr>
      <w:tr>
        <w:trPr>
          <w:trHeight w:val="120" w:hRule="atLeast"/>
        </w:trPr>
        <w:tc>
          <w:tcPr>
            <w:tcW w:w="6219" w:type="dxa"/>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c>
          <w:tcPr>
            <w:tcW w:w="1179" w:type="dxa"/>
            <w:gridSpan w:val="4"/>
            <w:tcBorders/>
            <w:shd w:fill="auto" w:val="clear"/>
            <w:vAlign w:val="center"/>
          </w:tcPr>
          <w:p>
            <w:pPr>
              <w:pStyle w:val="TableContents"/>
              <w:spacing w:before="0" w:after="283"/>
              <w:rPr>
                <w:sz w:val="4"/>
                <w:szCs w:val="4"/>
              </w:rPr>
            </w:pPr>
            <w:r>
              <w:rPr>
                <w:sz w:val="4"/>
                <w:szCs w:val="4"/>
              </w:rPr>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Redeemable noncontrolling interest</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33,500</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283"/>
              <w:rPr/>
            </w:pPr>
            <w:r>
              <w:rPr/>
              <w:t> </w:t>
            </w:r>
          </w:p>
        </w:tc>
        <w:tc>
          <w:tcPr>
            <w:tcW w:w="935"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3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rHeight w:val="120" w:hRule="atLeast"/>
        </w:trPr>
        <w:tc>
          <w:tcPr>
            <w:tcW w:w="6219" w:type="dxa"/>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c>
          <w:tcPr>
            <w:tcW w:w="1179" w:type="dxa"/>
            <w:gridSpan w:val="4"/>
            <w:tcBorders/>
            <w:shd w:fill="auto" w:val="clear"/>
            <w:vAlign w:val="center"/>
          </w:tcPr>
          <w:p>
            <w:pPr>
              <w:pStyle w:val="TableContents"/>
              <w:spacing w:before="0" w:after="283"/>
              <w:rPr>
                <w:sz w:val="4"/>
                <w:szCs w:val="4"/>
              </w:rPr>
            </w:pPr>
            <w:r>
              <w:rPr>
                <w:sz w:val="4"/>
                <w:szCs w:val="4"/>
              </w:rPr>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Net assets acquired</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60,129</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63,431</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31,461</w:t>
            </w:r>
          </w:p>
        </w:tc>
        <w:tc>
          <w:tcPr>
            <w:tcW w:w="126" w:type="dxa"/>
            <w:tcBorders/>
            <w:shd w:fill="auto" w:val="clear"/>
            <w:vAlign w:val="bottom"/>
          </w:tcPr>
          <w:p>
            <w:pPr>
              <w:pStyle w:val="TableContents"/>
              <w:spacing w:before="0" w:after="283"/>
              <w:rPr/>
            </w:pPr>
            <w:r>
              <w:rPr/>
              <w:t>  </w:t>
            </w:r>
          </w:p>
        </w:tc>
      </w:tr>
      <w:tr>
        <w:trPr/>
        <w:tc>
          <w:tcPr>
            <w:tcW w:w="6219"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double" w:sz="6" w:space="1" w:color="000000"/>
              </w:pBdr>
              <w:spacing w:before="0" w:after="283"/>
              <w:rPr/>
            </w:pPr>
            <w:r>
              <w:rPr/>
              <w:t> </w:t>
            </w:r>
          </w:p>
        </w:tc>
        <w:tc>
          <w:tcPr>
            <w:tcW w:w="935"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30"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rHeight w:val="120" w:hRule="atLeast"/>
        </w:trPr>
        <w:tc>
          <w:tcPr>
            <w:tcW w:w="6219" w:type="dxa"/>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c>
          <w:tcPr>
            <w:tcW w:w="1179" w:type="dxa"/>
            <w:gridSpan w:val="4"/>
            <w:tcBorders/>
            <w:shd w:fill="auto" w:val="clear"/>
            <w:vAlign w:val="center"/>
          </w:tcPr>
          <w:p>
            <w:pPr>
              <w:pStyle w:val="TableContents"/>
              <w:spacing w:before="0" w:after="283"/>
              <w:rPr>
                <w:sz w:val="4"/>
                <w:szCs w:val="4"/>
              </w:rPr>
            </w:pPr>
            <w:r>
              <w:rPr>
                <w:sz w:val="4"/>
                <w:szCs w:val="4"/>
              </w:rPr>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deductible for tax purposes</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21,699</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16,117</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Goodwill recorded in U.S. &amp; Canada segment</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50,071</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25,708</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recorded in Latin America segment</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95,827</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rHeight w:val="120" w:hRule="atLeast"/>
        </w:trPr>
        <w:tc>
          <w:tcPr>
            <w:tcW w:w="6219" w:type="dxa"/>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c>
          <w:tcPr>
            <w:tcW w:w="1179" w:type="dxa"/>
            <w:gridSpan w:val="4"/>
            <w:tcBorders/>
            <w:shd w:fill="auto" w:val="clear"/>
            <w:vAlign w:val="center"/>
          </w:tcPr>
          <w:p>
            <w:pPr>
              <w:pStyle w:val="TableContents"/>
              <w:spacing w:before="0" w:after="283"/>
              <w:rPr>
                <w:sz w:val="4"/>
                <w:szCs w:val="4"/>
              </w:rPr>
            </w:pPr>
            <w:r>
              <w:rPr>
                <w:sz w:val="4"/>
                <w:szCs w:val="4"/>
              </w:rPr>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Indefinite lived intangible assets acquired:</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3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6219" w:type="dxa"/>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c>
          <w:tcPr>
            <w:tcW w:w="1179" w:type="dxa"/>
            <w:gridSpan w:val="4"/>
            <w:tcBorders/>
            <w:shd w:fill="auto" w:val="clear"/>
            <w:vAlign w:val="center"/>
          </w:tcPr>
          <w:p>
            <w:pPr>
              <w:pStyle w:val="TableContents"/>
              <w:spacing w:before="0" w:after="283"/>
              <w:rPr>
                <w:sz w:val="4"/>
                <w:szCs w:val="4"/>
              </w:rPr>
            </w:pPr>
            <w:r>
              <w:rPr>
                <w:sz w:val="4"/>
                <w:szCs w:val="4"/>
              </w:rPr>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Trade name</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2,200</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rHeight w:val="120" w:hRule="atLeast"/>
        </w:trPr>
        <w:tc>
          <w:tcPr>
            <w:tcW w:w="6219" w:type="dxa"/>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c>
          <w:tcPr>
            <w:tcW w:w="1560" w:type="dxa"/>
            <w:gridSpan w:val="4"/>
            <w:tcBorders/>
            <w:shd w:fill="auto" w:val="clear"/>
            <w:vAlign w:val="center"/>
          </w:tcPr>
          <w:p>
            <w:pPr>
              <w:pStyle w:val="TableContents"/>
              <w:spacing w:before="0" w:after="283"/>
              <w:rPr>
                <w:sz w:val="4"/>
                <w:szCs w:val="4"/>
              </w:rPr>
            </w:pPr>
            <w:r>
              <w:rPr>
                <w:sz w:val="4"/>
                <w:szCs w:val="4"/>
              </w:rPr>
            </w:r>
          </w:p>
        </w:tc>
        <w:tc>
          <w:tcPr>
            <w:tcW w:w="1179" w:type="dxa"/>
            <w:gridSpan w:val="4"/>
            <w:tcBorders/>
            <w:shd w:fill="auto" w:val="clear"/>
            <w:vAlign w:val="center"/>
          </w:tcPr>
          <w:p>
            <w:pPr>
              <w:pStyle w:val="TableContents"/>
              <w:spacing w:before="0" w:after="283"/>
              <w:rPr>
                <w:sz w:val="4"/>
                <w:szCs w:val="4"/>
              </w:rPr>
            </w:pPr>
            <w:r>
              <w:rPr>
                <w:sz w:val="4"/>
                <w:szCs w:val="4"/>
              </w:rPr>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Definite lived intangible assets acquired:</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3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Favorable lease asset</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6219" w:type="dxa"/>
            <w:tcBorders/>
            <w:shd w:fill="auto" w:val="clear"/>
          </w:tcPr>
          <w:p>
            <w:pPr>
              <w:pStyle w:val="TableContents"/>
              <w:spacing w:before="0" w:after="283"/>
              <w:rPr>
                <w:rFonts w:ascii="Times New Roman" w:hAnsi="Times New Roman"/>
                <w:sz w:val="20"/>
              </w:rPr>
            </w:pPr>
            <w:r>
              <w:rPr>
                <w:rFonts w:ascii="Times New Roman" w:hAnsi="Times New Roman"/>
                <w:sz w:val="20"/>
              </w:rPr>
              <w:t>Non-compete agreements</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9"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6" w:type="dxa"/>
            <w:tcBorders/>
            <w:shd w:fill="auto" w:val="clear"/>
            <w:vAlign w:val="bottom"/>
          </w:tcPr>
          <w:p>
            <w:pPr>
              <w:pStyle w:val="TableContents"/>
              <w:spacing w:before="0" w:after="283"/>
              <w:rPr/>
            </w:pPr>
            <w:r>
              <w:rPr/>
              <w:t>  </w:t>
            </w:r>
          </w:p>
        </w:tc>
      </w:tr>
      <w:tr>
        <w:trPr/>
        <w:tc>
          <w:tcPr>
            <w:tcW w:w="6219"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Contractual relationship</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12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119"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bl>
    <w:p>
      <w:pPr>
        <w:pStyle w:val="TextBody"/>
        <w:pBdr/>
        <w:spacing w:before="180" w:after="0"/>
        <w:rPr/>
      </w:pPr>
      <w:r>
        <w:rPr>
          <w:rFonts w:ascii="Times New Roman" w:hAnsi="Times New Roman"/>
          <w:sz w:val="20"/>
        </w:rPr>
        <w:t>The amounts above for the six months ended March 31, 2012 include the acquisition of a decision science model for the underwriting of consumer loans, a contractual relationship with an income tax return preparer to facilitate refund anticipation loans, an online lending business in the U.K. and 15 financial services stores in Hawaii and Texas, from FS Management, 1</w:t>
      </w:r>
      <w:r>
        <w:rPr>
          <w:rFonts w:ascii="Times New Roman" w:hAnsi="Times New Roman"/>
          <w:sz w:val="14"/>
        </w:rPr>
        <w:t>st</w:t>
      </w:r>
      <w:r>
        <w:rPr/>
        <w:t xml:space="preserve"> </w:t>
      </w:r>
      <w:r>
        <w:rPr>
          <w:rFonts w:ascii="Times New Roman" w:hAnsi="Times New Roman"/>
          <w:sz w:val="20"/>
        </w:rPr>
        <w:t xml:space="preserve">Money Centers, Inc. and 1429 Funding, Inc., companies owned partially by Brent Turner, the former President of our eCommerce and Card Services division and a former executive officer, for total consideration of $3.0 million in cash and 387,924 shares of our Class A Non-Voting common stock. Mr. Turner received $2.0 million in cash and 167,811 shares of stock in connection with these acquisitions. The basic terms of the acquisitions were agreed prior to the commencement of Mr. Turners employment (and, thus, prior to Mr. Turners becoming an executive officer), subject to our completion of appropriate due diligence and the execution of appropriate definitive documentation. Even though the terms of the acquisitions were agreed to prior to Mr. Turners becoming an executive officer, we treated the transactions as related party transactions. Consequently, pursuant to our Policy for Review and Evaluation of Related Party Transactions, the Audit Committee reviewed and evaluated the terms of the acquisitions and concluded that the transactions were fair to, and in the best interest of, the company and its stockholders. </w:t>
      </w:r>
    </w:p>
    <w:p>
      <w:pPr>
        <w:pStyle w:val="TextBody"/>
        <w:spacing w:before="270" w:after="0"/>
        <w:rPr>
          <w:rFonts w:ascii="Times New Roman" w:hAnsi="Times New Roman"/>
          <w:b/>
          <w:sz w:val="20"/>
        </w:rPr>
      </w:pPr>
      <w:r>
        <w:rPr>
          <w:rFonts w:ascii="Times New Roman" w:hAnsi="Times New Roman"/>
          <w:b/>
          <w:sz w:val="20"/>
        </w:rPr>
        <w:t xml:space="preserve">Note C: Earnings per Share </w:t>
      </w:r>
    </w:p>
    <w:p>
      <w:pPr>
        <w:pStyle w:val="TextBody"/>
        <w:spacing w:before="90" w:after="0"/>
        <w:rPr>
          <w:rFonts w:ascii="Times New Roman" w:hAnsi="Times New Roman"/>
          <w:sz w:val="20"/>
        </w:rPr>
      </w:pPr>
      <w:r>
        <w:rPr>
          <w:rFonts w:ascii="Times New Roman" w:hAnsi="Times New Roman"/>
          <w:sz w:val="20"/>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 </w:t>
      </w:r>
    </w:p>
    <w:p>
      <w:pPr>
        <w:pStyle w:val="TextBody"/>
        <w:spacing w:before="180" w:after="0"/>
        <w:rPr>
          <w:rFonts w:ascii="Times New Roman" w:hAnsi="Times New Roman"/>
          <w:sz w:val="20"/>
        </w:rPr>
      </w:pPr>
      <w:r>
        <w:rPr>
          <w:rFonts w:ascii="Times New Roman" w:hAnsi="Times New Roman"/>
          <w:sz w:val="20"/>
        </w:rPr>
        <w:t xml:space="preserve">Components of basic and diluted earnings per share and excluded anti-dilutive potential common shares are as follows: </w:t>
      </w:r>
    </w:p>
    <w:p>
      <w:pPr>
        <w:pStyle w:val="TextBody"/>
        <w:spacing w:before="0" w:after="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951"/>
        <w:gridCol w:w="270"/>
        <w:gridCol w:w="125"/>
        <w:gridCol w:w="593"/>
        <w:gridCol w:w="120"/>
        <w:gridCol w:w="270"/>
        <w:gridCol w:w="125"/>
        <w:gridCol w:w="593"/>
        <w:gridCol w:w="120"/>
        <w:gridCol w:w="269"/>
        <w:gridCol w:w="125"/>
        <w:gridCol w:w="593"/>
        <w:gridCol w:w="120"/>
        <w:gridCol w:w="270"/>
        <w:gridCol w:w="125"/>
        <w:gridCol w:w="593"/>
        <w:gridCol w:w="126"/>
      </w:tblGrid>
      <w:tr>
        <w:trPr/>
        <w:tc>
          <w:tcPr>
            <w:tcW w:w="495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826"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826"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Six Months Ended</w:t>
            </w:r>
          </w:p>
        </w:tc>
        <w:tc>
          <w:tcPr>
            <w:tcW w:w="126" w:type="dxa"/>
            <w:tcBorders/>
            <w:shd w:fill="auto" w:val="clear"/>
            <w:vAlign w:val="bottom"/>
          </w:tcPr>
          <w:p>
            <w:pPr>
              <w:pStyle w:val="TableContents"/>
              <w:spacing w:before="0" w:after="283"/>
              <w:rPr/>
            </w:pPr>
            <w:r>
              <w:rPr/>
              <w:t> </w:t>
            </w:r>
          </w:p>
        </w:tc>
      </w:tr>
      <w:tr>
        <w:trPr/>
        <w:tc>
          <w:tcPr>
            <w:tcW w:w="495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82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82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6" w:type="dxa"/>
            <w:tcBorders/>
            <w:shd w:fill="auto" w:val="clear"/>
            <w:vAlign w:val="bottom"/>
          </w:tcPr>
          <w:p>
            <w:pPr>
              <w:pStyle w:val="TableContents"/>
              <w:spacing w:before="0" w:after="283"/>
              <w:rPr/>
            </w:pPr>
            <w:r>
              <w:rPr/>
              <w:t> </w:t>
            </w:r>
          </w:p>
        </w:tc>
      </w:tr>
      <w:tr>
        <w:trPr/>
        <w:tc>
          <w:tcPr>
            <w:tcW w:w="495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6" w:type="dxa"/>
            <w:tcBorders/>
            <w:shd w:fill="auto" w:val="clear"/>
            <w:vAlign w:val="bottom"/>
          </w:tcPr>
          <w:p>
            <w:pPr>
              <w:pStyle w:val="TableContents"/>
              <w:spacing w:before="0" w:after="283"/>
              <w:rPr/>
            </w:pPr>
            <w:r>
              <w:rPr/>
              <w:t> </w:t>
            </w:r>
          </w:p>
        </w:tc>
      </w:tr>
      <w:tr>
        <w:trPr/>
        <w:tc>
          <w:tcPr>
            <w:tcW w:w="4951"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4041"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 except per share amounts)</w:t>
            </w:r>
          </w:p>
        </w:tc>
        <w:tc>
          <w:tcPr>
            <w:tcW w:w="126" w:type="dxa"/>
            <w:tcBorders/>
            <w:shd w:fill="auto" w:val="clear"/>
            <w:vAlign w:val="bottom"/>
          </w:tcPr>
          <w:p>
            <w:pPr>
              <w:pStyle w:val="TableContents"/>
              <w:spacing w:before="0" w:after="283"/>
              <w:rPr/>
            </w:pPr>
            <w:r>
              <w:rPr/>
              <w:t> </w:t>
            </w:r>
          </w:p>
        </w:tc>
      </w:tr>
      <w:tr>
        <w:trPr/>
        <w:tc>
          <w:tcPr>
            <w:tcW w:w="495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 (A)</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37,261</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2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26" w:type="dxa"/>
            <w:tcBorders/>
            <w:shd w:fill="CCEEFF" w:val="clear"/>
            <w:vAlign w:val="bottom"/>
          </w:tcPr>
          <w:p>
            <w:pPr>
              <w:pStyle w:val="TableContents"/>
              <w:spacing w:before="0" w:after="283"/>
              <w:rPr/>
            </w:pPr>
            <w:r>
              <w:rPr/>
              <w:t>  </w:t>
            </w:r>
          </w:p>
        </w:tc>
      </w:tr>
      <w:tr>
        <w:trPr>
          <w:trHeight w:val="120" w:hRule="atLeast"/>
        </w:trPr>
        <w:tc>
          <w:tcPr>
            <w:tcW w:w="4951" w:type="dxa"/>
            <w:tcBorders/>
            <w:shd w:fill="auto" w:val="clear"/>
            <w:vAlign w:val="center"/>
          </w:tcPr>
          <w:p>
            <w:pPr>
              <w:pStyle w:val="TableContents"/>
              <w:spacing w:before="0" w:after="283"/>
              <w:rPr>
                <w:sz w:val="4"/>
                <w:szCs w:val="4"/>
              </w:rPr>
            </w:pPr>
            <w:r>
              <w:rPr>
                <w:sz w:val="4"/>
                <w:szCs w:val="4"/>
              </w:rPr>
            </w:r>
          </w:p>
        </w:tc>
        <w:tc>
          <w:tcPr>
            <w:tcW w:w="1108" w:type="dxa"/>
            <w:gridSpan w:val="4"/>
            <w:tcBorders/>
            <w:shd w:fill="auto" w:val="clear"/>
            <w:vAlign w:val="center"/>
          </w:tcPr>
          <w:p>
            <w:pPr>
              <w:pStyle w:val="TableContents"/>
              <w:spacing w:before="0" w:after="283"/>
              <w:rPr>
                <w:sz w:val="4"/>
                <w:szCs w:val="4"/>
              </w:rPr>
            </w:pPr>
            <w:r>
              <w:rPr>
                <w:sz w:val="4"/>
                <w:szCs w:val="4"/>
              </w:rPr>
            </w:r>
          </w:p>
        </w:tc>
        <w:tc>
          <w:tcPr>
            <w:tcW w:w="1108" w:type="dxa"/>
            <w:gridSpan w:val="4"/>
            <w:tcBorders/>
            <w:shd w:fill="auto" w:val="clear"/>
            <w:vAlign w:val="center"/>
          </w:tcPr>
          <w:p>
            <w:pPr>
              <w:pStyle w:val="TableContents"/>
              <w:spacing w:before="0" w:after="283"/>
              <w:rPr>
                <w:sz w:val="4"/>
                <w:szCs w:val="4"/>
              </w:rPr>
            </w:pPr>
            <w:r>
              <w:rPr>
                <w:sz w:val="4"/>
                <w:szCs w:val="4"/>
              </w:rPr>
            </w:r>
          </w:p>
        </w:tc>
        <w:tc>
          <w:tcPr>
            <w:tcW w:w="1107" w:type="dxa"/>
            <w:gridSpan w:val="4"/>
            <w:tcBorders/>
            <w:shd w:fill="auto" w:val="clear"/>
            <w:vAlign w:val="center"/>
          </w:tcPr>
          <w:p>
            <w:pPr>
              <w:pStyle w:val="TableContents"/>
              <w:spacing w:before="0" w:after="283"/>
              <w:rPr>
                <w:sz w:val="4"/>
                <w:szCs w:val="4"/>
              </w:rPr>
            </w:pPr>
            <w:r>
              <w:rPr>
                <w:sz w:val="4"/>
                <w:szCs w:val="4"/>
              </w:rPr>
            </w:r>
          </w:p>
        </w:tc>
        <w:tc>
          <w:tcPr>
            <w:tcW w:w="1114" w:type="dxa"/>
            <w:gridSpan w:val="4"/>
            <w:tcBorders/>
            <w:shd w:fill="auto" w:val="clear"/>
            <w:vAlign w:val="center"/>
          </w:tcPr>
          <w:p>
            <w:pPr>
              <w:pStyle w:val="TableContents"/>
              <w:spacing w:before="0" w:after="283"/>
              <w:rPr>
                <w:sz w:val="4"/>
                <w:szCs w:val="4"/>
              </w:rPr>
            </w:pPr>
            <w:r>
              <w:rPr>
                <w:sz w:val="4"/>
                <w:szCs w:val="4"/>
              </w:rPr>
            </w:r>
          </w:p>
        </w:tc>
      </w:tr>
      <w:tr>
        <w:trPr/>
        <w:tc>
          <w:tcPr>
            <w:tcW w:w="4951"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outstanding shares of common stock (B)</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50,794</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49,924</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50,573</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49,810</w:t>
            </w:r>
          </w:p>
        </w:tc>
        <w:tc>
          <w:tcPr>
            <w:tcW w:w="126" w:type="dxa"/>
            <w:tcBorders/>
            <w:shd w:fill="auto" w:val="clear"/>
            <w:vAlign w:val="bottom"/>
          </w:tcPr>
          <w:p>
            <w:pPr>
              <w:pStyle w:val="TableContents"/>
              <w:spacing w:before="0" w:after="283"/>
              <w:rPr/>
            </w:pPr>
            <w:r>
              <w:rPr/>
              <w:t>  </w:t>
            </w:r>
          </w:p>
        </w:tc>
      </w:tr>
      <w:tr>
        <w:trPr/>
        <w:tc>
          <w:tcPr>
            <w:tcW w:w="4951" w:type="dxa"/>
            <w:tcBorders/>
            <w:shd w:fill="CCEEFF" w:val="clear"/>
          </w:tcPr>
          <w:p>
            <w:pPr>
              <w:pStyle w:val="TableContents"/>
              <w:spacing w:before="0" w:after="283"/>
              <w:rPr>
                <w:rFonts w:ascii="Times New Roman" w:hAnsi="Times New Roman"/>
                <w:sz w:val="20"/>
              </w:rPr>
            </w:pPr>
            <w:r>
              <w:rPr>
                <w:rFonts w:ascii="Times New Roman" w:hAnsi="Times New Roman"/>
                <w:sz w:val="20"/>
              </w:rPr>
              <w:t>Dilutive effect of stock options and restricted stock</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w:t>
            </w:r>
          </w:p>
        </w:tc>
        <w:tc>
          <w:tcPr>
            <w:tcW w:w="12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126" w:type="dxa"/>
            <w:tcBorders/>
            <w:shd w:fill="CCEEFF" w:val="clear"/>
            <w:vAlign w:val="bottom"/>
          </w:tcPr>
          <w:p>
            <w:pPr>
              <w:pStyle w:val="TableContents"/>
              <w:spacing w:before="0" w:after="283"/>
              <w:rPr/>
            </w:pPr>
            <w:r>
              <w:rPr/>
              <w:t>  </w:t>
            </w:r>
          </w:p>
        </w:tc>
      </w:tr>
      <w:tr>
        <w:trPr/>
        <w:tc>
          <w:tcPr>
            <w:tcW w:w="4951"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4951"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common stock and common stock equivalents (C)</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51,069</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50,362</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50,887</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50,243</w:t>
            </w:r>
          </w:p>
        </w:tc>
        <w:tc>
          <w:tcPr>
            <w:tcW w:w="126" w:type="dxa"/>
            <w:tcBorders/>
            <w:shd w:fill="auto" w:val="clear"/>
            <w:vAlign w:val="bottom"/>
          </w:tcPr>
          <w:p>
            <w:pPr>
              <w:pStyle w:val="TableContents"/>
              <w:spacing w:before="0" w:after="283"/>
              <w:rPr/>
            </w:pPr>
            <w:r>
              <w:rPr/>
              <w:t>  </w:t>
            </w:r>
          </w:p>
        </w:tc>
      </w:tr>
      <w:tr>
        <w:trPr/>
        <w:tc>
          <w:tcPr>
            <w:tcW w:w="4951"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rHeight w:val="120" w:hRule="atLeast"/>
        </w:trPr>
        <w:tc>
          <w:tcPr>
            <w:tcW w:w="4951" w:type="dxa"/>
            <w:tcBorders/>
            <w:shd w:fill="auto" w:val="clear"/>
            <w:vAlign w:val="center"/>
          </w:tcPr>
          <w:p>
            <w:pPr>
              <w:pStyle w:val="TableContents"/>
              <w:spacing w:before="0" w:after="283"/>
              <w:rPr>
                <w:sz w:val="4"/>
                <w:szCs w:val="4"/>
              </w:rPr>
            </w:pPr>
            <w:r>
              <w:rPr>
                <w:sz w:val="4"/>
                <w:szCs w:val="4"/>
              </w:rPr>
            </w:r>
          </w:p>
        </w:tc>
        <w:tc>
          <w:tcPr>
            <w:tcW w:w="1108" w:type="dxa"/>
            <w:gridSpan w:val="4"/>
            <w:tcBorders/>
            <w:shd w:fill="auto" w:val="clear"/>
            <w:vAlign w:val="center"/>
          </w:tcPr>
          <w:p>
            <w:pPr>
              <w:pStyle w:val="TableContents"/>
              <w:spacing w:before="0" w:after="283"/>
              <w:rPr>
                <w:sz w:val="4"/>
                <w:szCs w:val="4"/>
              </w:rPr>
            </w:pPr>
            <w:r>
              <w:rPr>
                <w:sz w:val="4"/>
                <w:szCs w:val="4"/>
              </w:rPr>
            </w:r>
          </w:p>
        </w:tc>
        <w:tc>
          <w:tcPr>
            <w:tcW w:w="1108" w:type="dxa"/>
            <w:gridSpan w:val="4"/>
            <w:tcBorders/>
            <w:shd w:fill="auto" w:val="clear"/>
            <w:vAlign w:val="center"/>
          </w:tcPr>
          <w:p>
            <w:pPr>
              <w:pStyle w:val="TableContents"/>
              <w:spacing w:before="0" w:after="283"/>
              <w:rPr>
                <w:sz w:val="4"/>
                <w:szCs w:val="4"/>
              </w:rPr>
            </w:pPr>
            <w:r>
              <w:rPr>
                <w:sz w:val="4"/>
                <w:szCs w:val="4"/>
              </w:rPr>
            </w:r>
          </w:p>
        </w:tc>
        <w:tc>
          <w:tcPr>
            <w:tcW w:w="1107" w:type="dxa"/>
            <w:gridSpan w:val="4"/>
            <w:tcBorders/>
            <w:shd w:fill="auto" w:val="clear"/>
            <w:vAlign w:val="center"/>
          </w:tcPr>
          <w:p>
            <w:pPr>
              <w:pStyle w:val="TableContents"/>
              <w:spacing w:before="0" w:after="283"/>
              <w:rPr>
                <w:sz w:val="4"/>
                <w:szCs w:val="4"/>
              </w:rPr>
            </w:pPr>
            <w:r>
              <w:rPr>
                <w:sz w:val="4"/>
                <w:szCs w:val="4"/>
              </w:rPr>
            </w:r>
          </w:p>
        </w:tc>
        <w:tc>
          <w:tcPr>
            <w:tcW w:w="1114" w:type="dxa"/>
            <w:gridSpan w:val="4"/>
            <w:tcBorders/>
            <w:shd w:fill="auto" w:val="clear"/>
            <w:vAlign w:val="center"/>
          </w:tcPr>
          <w:p>
            <w:pPr>
              <w:pStyle w:val="TableContents"/>
              <w:spacing w:before="0" w:after="283"/>
              <w:rPr>
                <w:sz w:val="4"/>
                <w:szCs w:val="4"/>
              </w:rPr>
            </w:pPr>
            <w:r>
              <w:rPr>
                <w:sz w:val="4"/>
                <w:szCs w:val="4"/>
              </w:rPr>
            </w:r>
          </w:p>
        </w:tc>
      </w:tr>
      <w:tr>
        <w:trPr/>
        <w:tc>
          <w:tcPr>
            <w:tcW w:w="4951" w:type="dxa"/>
            <w:tcBorders/>
            <w:shd w:fill="CCEEFF" w:val="clear"/>
          </w:tcPr>
          <w:p>
            <w:pPr>
              <w:pStyle w:val="TableContents"/>
              <w:spacing w:before="0" w:after="283"/>
              <w:rPr>
                <w:rFonts w:ascii="Times New Roman" w:hAnsi="Times New Roman"/>
                <w:sz w:val="20"/>
              </w:rPr>
            </w:pPr>
            <w:r>
              <w:rPr>
                <w:rFonts w:ascii="Times New Roman" w:hAnsi="Times New Roman"/>
                <w:sz w:val="20"/>
              </w:rPr>
              <w:t>Basic earnings per share (A/B)</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0.73</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0.64</w:t>
            </w:r>
          </w:p>
        </w:tc>
        <w:tc>
          <w:tcPr>
            <w:tcW w:w="12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6" w:type="dxa"/>
            <w:tcBorders/>
            <w:shd w:fill="CCEEFF" w:val="clear"/>
            <w:vAlign w:val="bottom"/>
          </w:tcPr>
          <w:p>
            <w:pPr>
              <w:pStyle w:val="TableContents"/>
              <w:spacing w:before="0" w:after="283"/>
              <w:rPr/>
            </w:pPr>
            <w:r>
              <w:rPr/>
              <w:t>  </w:t>
            </w:r>
          </w:p>
        </w:tc>
      </w:tr>
      <w:tr>
        <w:trPr/>
        <w:tc>
          <w:tcPr>
            <w:tcW w:w="4951"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4951" w:type="dxa"/>
            <w:tcBorders/>
            <w:shd w:fill="auto" w:val="clear"/>
          </w:tcPr>
          <w:p>
            <w:pPr>
              <w:pStyle w:val="TableContents"/>
              <w:spacing w:before="0" w:after="283"/>
              <w:rPr>
                <w:rFonts w:ascii="Times New Roman" w:hAnsi="Times New Roman"/>
                <w:sz w:val="20"/>
              </w:rPr>
            </w:pPr>
            <w:r>
              <w:rPr>
                <w:rFonts w:ascii="Times New Roman" w:hAnsi="Times New Roman"/>
                <w:sz w:val="20"/>
              </w:rPr>
              <w:t>Diluted earnings per share (A/C)</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0.73</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0.63</w:t>
            </w:r>
          </w:p>
        </w:tc>
        <w:tc>
          <w:tcPr>
            <w:tcW w:w="12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6" w:type="dxa"/>
            <w:tcBorders/>
            <w:shd w:fill="auto" w:val="clear"/>
            <w:vAlign w:val="bottom"/>
          </w:tcPr>
          <w:p>
            <w:pPr>
              <w:pStyle w:val="TableContents"/>
              <w:spacing w:before="0" w:after="283"/>
              <w:rPr/>
            </w:pPr>
            <w:r>
              <w:rPr/>
              <w:t>  </w:t>
            </w:r>
          </w:p>
        </w:tc>
      </w:tr>
      <w:tr>
        <w:trPr/>
        <w:tc>
          <w:tcPr>
            <w:tcW w:w="4951"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3"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rHeight w:val="120" w:hRule="atLeast"/>
        </w:trPr>
        <w:tc>
          <w:tcPr>
            <w:tcW w:w="4951" w:type="dxa"/>
            <w:tcBorders/>
            <w:shd w:fill="auto" w:val="clear"/>
            <w:vAlign w:val="center"/>
          </w:tcPr>
          <w:p>
            <w:pPr>
              <w:pStyle w:val="TableContents"/>
              <w:spacing w:before="0" w:after="283"/>
              <w:rPr>
                <w:sz w:val="4"/>
                <w:szCs w:val="4"/>
              </w:rPr>
            </w:pPr>
            <w:r>
              <w:rPr>
                <w:sz w:val="4"/>
                <w:szCs w:val="4"/>
              </w:rPr>
            </w:r>
          </w:p>
        </w:tc>
        <w:tc>
          <w:tcPr>
            <w:tcW w:w="1108" w:type="dxa"/>
            <w:gridSpan w:val="4"/>
            <w:tcBorders/>
            <w:shd w:fill="auto" w:val="clear"/>
            <w:vAlign w:val="center"/>
          </w:tcPr>
          <w:p>
            <w:pPr>
              <w:pStyle w:val="TableContents"/>
              <w:spacing w:before="0" w:after="283"/>
              <w:rPr>
                <w:sz w:val="4"/>
                <w:szCs w:val="4"/>
              </w:rPr>
            </w:pPr>
            <w:r>
              <w:rPr>
                <w:sz w:val="4"/>
                <w:szCs w:val="4"/>
              </w:rPr>
            </w:r>
          </w:p>
        </w:tc>
        <w:tc>
          <w:tcPr>
            <w:tcW w:w="1108" w:type="dxa"/>
            <w:gridSpan w:val="4"/>
            <w:tcBorders/>
            <w:shd w:fill="auto" w:val="clear"/>
            <w:vAlign w:val="center"/>
          </w:tcPr>
          <w:p>
            <w:pPr>
              <w:pStyle w:val="TableContents"/>
              <w:spacing w:before="0" w:after="283"/>
              <w:rPr>
                <w:sz w:val="4"/>
                <w:szCs w:val="4"/>
              </w:rPr>
            </w:pPr>
            <w:r>
              <w:rPr>
                <w:sz w:val="4"/>
                <w:szCs w:val="4"/>
              </w:rPr>
            </w:r>
          </w:p>
        </w:tc>
        <w:tc>
          <w:tcPr>
            <w:tcW w:w="1107" w:type="dxa"/>
            <w:gridSpan w:val="4"/>
            <w:tcBorders/>
            <w:shd w:fill="auto" w:val="clear"/>
            <w:vAlign w:val="center"/>
          </w:tcPr>
          <w:p>
            <w:pPr>
              <w:pStyle w:val="TableContents"/>
              <w:spacing w:before="0" w:after="283"/>
              <w:rPr>
                <w:sz w:val="4"/>
                <w:szCs w:val="4"/>
              </w:rPr>
            </w:pPr>
            <w:r>
              <w:rPr>
                <w:sz w:val="4"/>
                <w:szCs w:val="4"/>
              </w:rPr>
            </w:r>
          </w:p>
        </w:tc>
        <w:tc>
          <w:tcPr>
            <w:tcW w:w="1114" w:type="dxa"/>
            <w:gridSpan w:val="4"/>
            <w:tcBorders/>
            <w:shd w:fill="auto" w:val="clear"/>
            <w:vAlign w:val="center"/>
          </w:tcPr>
          <w:p>
            <w:pPr>
              <w:pStyle w:val="TableContents"/>
              <w:spacing w:before="0" w:after="283"/>
              <w:rPr>
                <w:sz w:val="4"/>
                <w:szCs w:val="4"/>
              </w:rPr>
            </w:pPr>
            <w:r>
              <w:rPr>
                <w:sz w:val="4"/>
                <w:szCs w:val="4"/>
              </w:rPr>
            </w:r>
          </w:p>
        </w:tc>
      </w:tr>
      <w:tr>
        <w:trPr/>
        <w:tc>
          <w:tcPr>
            <w:tcW w:w="4951" w:type="dxa"/>
            <w:tcBorders/>
            <w:shd w:fill="CCEEFF" w:val="clear"/>
          </w:tcPr>
          <w:p>
            <w:pPr>
              <w:pStyle w:val="TableContents"/>
              <w:spacing w:before="0" w:after="283"/>
              <w:rPr>
                <w:rFonts w:ascii="Times New Roman" w:hAnsi="Times New Roman"/>
                <w:sz w:val="20"/>
              </w:rPr>
            </w:pPr>
            <w:r>
              <w:rPr>
                <w:rFonts w:ascii="Times New Roman" w:hAnsi="Times New Roman"/>
                <w:sz w:val="20"/>
              </w:rPr>
              <w:t>Potential common shares excluded from the calculation of diluted earnings per share</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6" w:type="dxa"/>
            <w:tcBorders/>
            <w:shd w:fill="CCEEFF" w:val="clear"/>
            <w:vAlign w:val="bottom"/>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Note D: Strategic Investments and Fair Value of Financial Instruments </w:t>
      </w:r>
    </w:p>
    <w:p>
      <w:pPr>
        <w:pStyle w:val="TextBody"/>
        <w:spacing w:before="90" w:after="0"/>
        <w:rPr>
          <w:rFonts w:ascii="Times New Roman" w:hAnsi="Times New Roman"/>
          <w:sz w:val="20"/>
        </w:rPr>
      </w:pPr>
      <w:r>
        <w:rPr>
          <w:rFonts w:ascii="Times New Roman" w:hAnsi="Times New Roman"/>
          <w:sz w:val="20"/>
        </w:rPr>
        <w:t xml:space="preserve">At March 31, 2012, we owned 16,644,640 ordinary shares of Albemarle &amp; Bond Holdings, PLC,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year-to-date period ended March 31, 2012 represents our percentage interest in the results of Albemarle &amp; Bonds operations from July 1, 2011 to December 31, 2011. </w:t>
      </w:r>
    </w:p>
    <w:p>
      <w:pPr>
        <w:pStyle w:val="TextBody"/>
        <w:spacing w:before="180" w:after="0"/>
        <w:rPr>
          <w:rFonts w:ascii="Times New Roman" w:hAnsi="Times New Roman"/>
          <w:sz w:val="20"/>
        </w:rPr>
      </w:pPr>
      <w:r>
        <w:rPr>
          <w:rFonts w:ascii="Times New Roman" w:hAnsi="Times New Roman"/>
          <w:sz w:val="20"/>
        </w:rPr>
        <w:t xml:space="preserve">Conversion of Albemarle &amp; Bonds financial statements into U.S. GAAP resulted in no material differences from those reported by Albemarle &amp; Bond following IFRS. </w:t>
      </w:r>
    </w:p>
    <w:p>
      <w:pPr>
        <w:pStyle w:val="TextBody"/>
        <w:spacing w:before="180" w:after="0"/>
        <w:rPr>
          <w:rFonts w:ascii="Times New Roman" w:hAnsi="Times New Roman"/>
          <w:sz w:val="20"/>
        </w:rPr>
      </w:pPr>
      <w:r>
        <w:rPr>
          <w:rFonts w:ascii="Times New Roman" w:hAnsi="Times New Roman"/>
          <w:sz w:val="20"/>
        </w:rPr>
        <w:t xml:space="preserve">In its functional currency of British pounds, Albemarle &amp; Bonds total assets increased 12% from December 31, 2010 to December 31, 2011 and its net income for the six months ended December 31, 2011 improved 16%. Below is summarized financial information for Albemarle &amp; Bonds most recently reported results after translation to U.S. dollars (using the exchange rate as of December 31 of each year for balance sheet items and average exchange rates for the income statement items for the periods indicated): </w:t>
      </w:r>
    </w:p>
    <w:p>
      <w:pPr>
        <w:pStyle w:val="TextBody"/>
        <w:spacing w:before="0" w:after="0"/>
        <w:rPr/>
      </w:pPr>
      <w:r>
        <w:rPr/>
        <w:t>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67"/>
        <w:gridCol w:w="303"/>
        <w:gridCol w:w="125"/>
        <w:gridCol w:w="695"/>
        <w:gridCol w:w="120"/>
        <w:gridCol w:w="303"/>
        <w:gridCol w:w="125"/>
        <w:gridCol w:w="695"/>
        <w:gridCol w:w="122"/>
      </w:tblGrid>
      <w:tr>
        <w:trPr/>
        <w:tc>
          <w:tcPr>
            <w:tcW w:w="526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06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As of December 31,</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063"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2" w:type="dxa"/>
            <w:tcBorders/>
            <w:shd w:fill="auto" w:val="clear"/>
            <w:vAlign w:val="bottom"/>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134,387</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121,519</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Non-current assets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65,354</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56,755</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199,741</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178,274</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rHeight w:val="120" w:hRule="atLeast"/>
        </w:trPr>
        <w:tc>
          <w:tcPr>
            <w:tcW w:w="5267" w:type="dxa"/>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245" w:type="dxa"/>
            <w:gridSpan w:val="4"/>
            <w:tcBorders/>
            <w:shd w:fill="auto" w:val="clear"/>
            <w:vAlign w:val="center"/>
          </w:tcPr>
          <w:p>
            <w:pPr>
              <w:pStyle w:val="TableContents"/>
              <w:spacing w:before="0" w:after="283"/>
              <w:rPr>
                <w:sz w:val="4"/>
                <w:szCs w:val="4"/>
              </w:rPr>
            </w:pPr>
            <w:r>
              <w:rPr>
                <w:sz w:val="4"/>
                <w:szCs w:val="4"/>
              </w:rPr>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21,021</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25,801</w:t>
            </w:r>
          </w:p>
        </w:tc>
        <w:tc>
          <w:tcPr>
            <w:tcW w:w="122" w:type="dxa"/>
            <w:tcBorders/>
            <w:shd w:fill="auto" w:val="clear"/>
            <w:vAlign w:val="bottom"/>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liabilities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62,169</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53,497</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116,551</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98,976</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shareholders equity</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199,741</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178,274</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3800" w:type="pct"/>
        <w:jc w:val="center"/>
        <w:tblInd w:w="0" w:type="dxa"/>
        <w:tblCellMar>
          <w:top w:w="0" w:type="dxa"/>
          <w:left w:w="0" w:type="dxa"/>
          <w:bottom w:w="0" w:type="dxa"/>
          <w:right w:w="0" w:type="dxa"/>
        </w:tblCellMar>
      </w:tblPr>
      <w:tblGrid>
        <w:gridCol w:w="5268"/>
        <w:gridCol w:w="316"/>
        <w:gridCol w:w="138"/>
        <w:gridCol w:w="657"/>
        <w:gridCol w:w="132"/>
        <w:gridCol w:w="323"/>
        <w:gridCol w:w="138"/>
        <w:gridCol w:w="659"/>
        <w:gridCol w:w="124"/>
      </w:tblGrid>
      <w:tr>
        <w:trPr/>
        <w:tc>
          <w:tcPr>
            <w:tcW w:w="526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4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December 31,</w:t>
            </w:r>
          </w:p>
        </w:tc>
        <w:tc>
          <w:tcPr>
            <w:tcW w:w="124" w:type="dxa"/>
            <w:tcBorders/>
            <w:shd w:fill="auto" w:val="clear"/>
            <w:vAlign w:val="bottom"/>
          </w:tcPr>
          <w:p>
            <w:pPr>
              <w:pStyle w:val="TableContents"/>
              <w:spacing w:before="0" w:after="283"/>
              <w:rPr/>
            </w:pPr>
            <w:r>
              <w:rPr/>
              <w:t> </w:t>
            </w:r>
          </w:p>
        </w:tc>
      </w:tr>
      <w:tr>
        <w:trPr/>
        <w:tc>
          <w:tcPr>
            <w:tcW w:w="526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79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79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4" w:type="dxa"/>
            <w:tcBorders/>
            <w:shd w:fill="auto" w:val="clear"/>
            <w:vAlign w:val="bottom"/>
          </w:tcPr>
          <w:p>
            <w:pPr>
              <w:pStyle w:val="TableContents"/>
              <w:spacing w:before="0" w:after="283"/>
              <w:rPr/>
            </w:pPr>
            <w:r>
              <w:rPr/>
              <w:t> </w:t>
            </w:r>
          </w:p>
        </w:tc>
      </w:tr>
      <w:tr>
        <w:trPr/>
        <w:tc>
          <w:tcPr>
            <w:tcW w:w="5268"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47"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Gross revenues</w:t>
            </w:r>
          </w:p>
        </w:tc>
        <w:tc>
          <w:tcPr>
            <w:tcW w:w="31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99,804</w:t>
            </w:r>
          </w:p>
        </w:tc>
        <w:tc>
          <w:tcPr>
            <w:tcW w:w="132"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76,424</w:t>
            </w:r>
          </w:p>
        </w:tc>
        <w:tc>
          <w:tcPr>
            <w:tcW w:w="124"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Gross profit</w:t>
            </w:r>
          </w:p>
        </w:tc>
        <w:tc>
          <w:tcPr>
            <w:tcW w:w="31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58,165</w:t>
            </w:r>
          </w:p>
        </w:tc>
        <w:tc>
          <w:tcPr>
            <w:tcW w:w="13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46,745</w:t>
            </w:r>
          </w:p>
        </w:tc>
        <w:tc>
          <w:tcPr>
            <w:tcW w:w="124"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Profit for the year (net income)</w:t>
            </w:r>
          </w:p>
        </w:tc>
        <w:tc>
          <w:tcPr>
            <w:tcW w:w="31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14,208</w:t>
            </w:r>
          </w:p>
        </w:tc>
        <w:tc>
          <w:tcPr>
            <w:tcW w:w="132"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12,088</w:t>
            </w:r>
          </w:p>
        </w:tc>
        <w:tc>
          <w:tcPr>
            <w:tcW w:w="124"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At March 31, 2012, we owned 124,418,000 shares, or approximately 33% of the total ordinary shares of Cash Converters International Limited, which is a publicly traded company headquartered in Perth, Australia. We acquired the shares between November 2009 and May 2010 for approximately $57.8 million. Cash Converters franchises and operates a worldwide network of over 600 specialty financial services and retail stores that provide pawn loans, short-term unsecured loans and other consumer finance products, and buy and sell second-hand goods. Cash Converters has significant store concentrations in Australia and the United Kingdom. </w:t>
      </w:r>
    </w:p>
    <w:p>
      <w:pPr>
        <w:pStyle w:val="TextBody"/>
        <w:spacing w:before="180" w:after="0"/>
        <w:rPr>
          <w:rFonts w:ascii="Times New Roman" w:hAnsi="Times New Roman"/>
          <w:sz w:val="20"/>
        </w:rPr>
      </w:pPr>
      <w:r>
        <w:rPr>
          <w:rFonts w:ascii="Times New Roman" w:hAnsi="Times New Roman"/>
          <w:sz w:val="20"/>
        </w:rPr>
        <w:t xml:space="preserve">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Due to the three-month lag, income reported for our year-to-date period ended March 31, 2012 represents our percentage interest in the results of Cash Converters operations from July 1, 2011 to December 31, 2011. </w:t>
      </w:r>
    </w:p>
    <w:p>
      <w:pPr>
        <w:pStyle w:val="TextBody"/>
        <w:spacing w:before="180" w:after="0"/>
        <w:rPr>
          <w:rFonts w:ascii="Times New Roman" w:hAnsi="Times New Roman"/>
          <w:sz w:val="20"/>
        </w:rPr>
      </w:pPr>
      <w:r>
        <w:rPr>
          <w:rFonts w:ascii="Times New Roman" w:hAnsi="Times New Roman"/>
          <w:sz w:val="20"/>
        </w:rPr>
        <w:t xml:space="preserve">Conversion of Cash Converters financial statements into U.S. GAAP resulted in no material differences from those reported by Cash Converters following IFRS. </w:t>
      </w:r>
    </w:p>
    <w:p>
      <w:pPr>
        <w:pStyle w:val="TextBody"/>
        <w:spacing w:before="180" w:after="0"/>
        <w:rPr>
          <w:rFonts w:ascii="Times New Roman" w:hAnsi="Times New Roman"/>
          <w:sz w:val="20"/>
        </w:rPr>
      </w:pPr>
      <w:r>
        <w:rPr>
          <w:rFonts w:ascii="Times New Roman" w:hAnsi="Times New Roman"/>
          <w:sz w:val="20"/>
        </w:rPr>
        <w:t xml:space="preserve">In its functional currency of Australian dollars, Cash Converters total assets increased 17% from December 31, 2010 to December 31, 2011 and its net income decreased 7% for the six months ended December 31, 2011. Below is summarized financial information for Cash Converters most recently reported results after translation to U.S. dollars (using the exchange rate as of December 31 of each year for balance sheet items and average exchange rates for the income statement items for the periods indicated): </w:t>
      </w:r>
    </w:p>
    <w:p>
      <w:pPr>
        <w:pStyle w:val="TextBody"/>
        <w:spacing w:before="0" w:after="0"/>
        <w:rPr/>
      </w:pPr>
      <w:r>
        <w:rPr/>
        <w:t>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67"/>
        <w:gridCol w:w="303"/>
        <w:gridCol w:w="125"/>
        <w:gridCol w:w="695"/>
        <w:gridCol w:w="120"/>
        <w:gridCol w:w="303"/>
        <w:gridCol w:w="125"/>
        <w:gridCol w:w="695"/>
        <w:gridCol w:w="122"/>
      </w:tblGrid>
      <w:tr>
        <w:trPr/>
        <w:tc>
          <w:tcPr>
            <w:tcW w:w="526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06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As of December 31,</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063"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2" w:type="dxa"/>
            <w:tcBorders/>
            <w:shd w:fill="auto" w:val="clear"/>
            <w:vAlign w:val="bottom"/>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128,289</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104,408</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Non-current assets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121,835</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109,336</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250,124</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213,744</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rHeight w:val="120" w:hRule="atLeast"/>
        </w:trPr>
        <w:tc>
          <w:tcPr>
            <w:tcW w:w="5267" w:type="dxa"/>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245" w:type="dxa"/>
            <w:gridSpan w:val="4"/>
            <w:tcBorders/>
            <w:shd w:fill="auto" w:val="clear"/>
            <w:vAlign w:val="center"/>
          </w:tcPr>
          <w:p>
            <w:pPr>
              <w:pStyle w:val="TableContents"/>
              <w:spacing w:before="0" w:after="283"/>
              <w:rPr>
                <w:sz w:val="4"/>
                <w:szCs w:val="4"/>
              </w:rPr>
            </w:pPr>
            <w:r>
              <w:rPr>
                <w:sz w:val="4"/>
                <w:szCs w:val="4"/>
              </w:rPr>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33,290</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30,844</w:t>
            </w:r>
          </w:p>
        </w:tc>
        <w:tc>
          <w:tcPr>
            <w:tcW w:w="122" w:type="dxa"/>
            <w:tcBorders/>
            <w:shd w:fill="auto" w:val="clear"/>
            <w:vAlign w:val="bottom"/>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liabilities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37,797</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11,970</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179,037</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170,930</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shareholders equity</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250,124</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213,744</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45"/>
        <w:gridCol w:w="315"/>
        <w:gridCol w:w="130"/>
        <w:gridCol w:w="747"/>
        <w:gridCol w:w="125"/>
        <w:gridCol w:w="319"/>
        <w:gridCol w:w="130"/>
        <w:gridCol w:w="620"/>
        <w:gridCol w:w="124"/>
      </w:tblGrid>
      <w:tr>
        <w:trPr/>
        <w:tc>
          <w:tcPr>
            <w:tcW w:w="524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524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207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December 31,</w:t>
            </w:r>
          </w:p>
        </w:tc>
        <w:tc>
          <w:tcPr>
            <w:tcW w:w="124" w:type="dxa"/>
            <w:tcBorders/>
            <w:shd w:fill="auto" w:val="clear"/>
            <w:vAlign w:val="bottom"/>
          </w:tcPr>
          <w:p>
            <w:pPr>
              <w:pStyle w:val="TableContents"/>
              <w:spacing w:before="0" w:after="283"/>
              <w:rPr/>
            </w:pPr>
            <w:r>
              <w:rPr/>
              <w:t> </w:t>
            </w:r>
          </w:p>
        </w:tc>
      </w:tr>
      <w:tr>
        <w:trPr/>
        <w:tc>
          <w:tcPr>
            <w:tcW w:w="524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8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7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4" w:type="dxa"/>
            <w:tcBorders/>
            <w:shd w:fill="auto" w:val="clear"/>
            <w:vAlign w:val="bottom"/>
          </w:tcPr>
          <w:p>
            <w:pPr>
              <w:pStyle w:val="TableContents"/>
              <w:spacing w:before="0" w:after="283"/>
              <w:rPr/>
            </w:pPr>
            <w:r>
              <w:rPr/>
              <w:t> </w:t>
            </w:r>
          </w:p>
        </w:tc>
      </w:tr>
      <w:tr>
        <w:trPr/>
        <w:tc>
          <w:tcPr>
            <w:tcW w:w="5245"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2071"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5245" w:type="dxa"/>
            <w:tcBorders/>
            <w:shd w:fill="CCEEFF" w:val="clear"/>
          </w:tcPr>
          <w:p>
            <w:pPr>
              <w:pStyle w:val="TableContents"/>
              <w:spacing w:before="0" w:after="283"/>
              <w:rPr>
                <w:rFonts w:ascii="Times New Roman" w:hAnsi="Times New Roman"/>
                <w:sz w:val="20"/>
              </w:rPr>
            </w:pPr>
            <w:r>
              <w:rPr>
                <w:rFonts w:ascii="Times New Roman" w:hAnsi="Times New Roman"/>
                <w:sz w:val="20"/>
              </w:rPr>
              <w:t>Gross revenues</w:t>
            </w:r>
          </w:p>
        </w:tc>
        <w:tc>
          <w:tcPr>
            <w:tcW w:w="31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115,256</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82,343</w:t>
            </w:r>
          </w:p>
        </w:tc>
        <w:tc>
          <w:tcPr>
            <w:tcW w:w="124" w:type="dxa"/>
            <w:tcBorders/>
            <w:shd w:fill="CCEEFF" w:val="clear"/>
            <w:vAlign w:val="bottom"/>
          </w:tcPr>
          <w:p>
            <w:pPr>
              <w:pStyle w:val="TableContents"/>
              <w:spacing w:before="0" w:after="283"/>
              <w:rPr/>
            </w:pPr>
            <w:r>
              <w:rPr/>
              <w:t>  </w:t>
            </w:r>
          </w:p>
        </w:tc>
      </w:tr>
      <w:tr>
        <w:trPr/>
        <w:tc>
          <w:tcPr>
            <w:tcW w:w="5245" w:type="dxa"/>
            <w:tcBorders/>
            <w:shd w:fill="auto" w:val="clear"/>
          </w:tcPr>
          <w:p>
            <w:pPr>
              <w:pStyle w:val="TableContents"/>
              <w:spacing w:before="0" w:after="283"/>
              <w:rPr>
                <w:rFonts w:ascii="Times New Roman" w:hAnsi="Times New Roman"/>
                <w:sz w:val="20"/>
              </w:rPr>
            </w:pPr>
            <w:r>
              <w:rPr>
                <w:rFonts w:ascii="Times New Roman" w:hAnsi="Times New Roman"/>
                <w:sz w:val="20"/>
              </w:rPr>
              <w:t>Gross profit</w:t>
            </w:r>
          </w:p>
        </w:tc>
        <w:tc>
          <w:tcPr>
            <w:tcW w:w="31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76,405</w:t>
            </w:r>
          </w:p>
        </w:tc>
        <w:tc>
          <w:tcPr>
            <w:tcW w:w="12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57,038</w:t>
            </w:r>
          </w:p>
        </w:tc>
        <w:tc>
          <w:tcPr>
            <w:tcW w:w="124" w:type="dxa"/>
            <w:tcBorders/>
            <w:shd w:fill="auto" w:val="clear"/>
            <w:vAlign w:val="bottom"/>
          </w:tcPr>
          <w:p>
            <w:pPr>
              <w:pStyle w:val="TableContents"/>
              <w:spacing w:before="0" w:after="283"/>
              <w:rPr/>
            </w:pPr>
            <w:r>
              <w:rPr/>
              <w:t>  </w:t>
            </w:r>
          </w:p>
        </w:tc>
      </w:tr>
      <w:tr>
        <w:trPr/>
        <w:tc>
          <w:tcPr>
            <w:tcW w:w="5245" w:type="dxa"/>
            <w:tcBorders/>
            <w:shd w:fill="CCEEFF" w:val="clear"/>
          </w:tcPr>
          <w:p>
            <w:pPr>
              <w:pStyle w:val="TableContents"/>
              <w:spacing w:before="0" w:after="283"/>
              <w:rPr>
                <w:rFonts w:ascii="Times New Roman" w:hAnsi="Times New Roman"/>
                <w:sz w:val="20"/>
              </w:rPr>
            </w:pPr>
            <w:r>
              <w:rPr>
                <w:rFonts w:ascii="Times New Roman" w:hAnsi="Times New Roman"/>
                <w:sz w:val="20"/>
              </w:rPr>
              <w:t>Profit for the year (net income)</w:t>
            </w:r>
          </w:p>
        </w:tc>
        <w:tc>
          <w:tcPr>
            <w:tcW w:w="31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13,668</w:t>
            </w:r>
          </w:p>
        </w:tc>
        <w:tc>
          <w:tcPr>
            <w:tcW w:w="125"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13,528</w:t>
            </w:r>
          </w:p>
        </w:tc>
        <w:tc>
          <w:tcPr>
            <w:tcW w:w="124"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table below summarizes the recorded value and fair value of each of these strategic investments at the dates indicated. These fair values are considered Level 1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533"/>
        <w:gridCol w:w="435"/>
        <w:gridCol w:w="125"/>
        <w:gridCol w:w="616"/>
        <w:gridCol w:w="120"/>
        <w:gridCol w:w="435"/>
        <w:gridCol w:w="125"/>
        <w:gridCol w:w="695"/>
        <w:gridCol w:w="120"/>
        <w:gridCol w:w="435"/>
        <w:gridCol w:w="138"/>
        <w:gridCol w:w="670"/>
        <w:gridCol w:w="125"/>
      </w:tblGrid>
      <w:tr>
        <w:trPr/>
        <w:tc>
          <w:tcPr>
            <w:tcW w:w="453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4533"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211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80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25" w:type="dxa"/>
            <w:tcBorders/>
            <w:shd w:fill="auto" w:val="clear"/>
            <w:vAlign w:val="bottom"/>
          </w:tcPr>
          <w:p>
            <w:pPr>
              <w:pStyle w:val="TableContents"/>
              <w:spacing w:before="0" w:after="283"/>
              <w:rPr/>
            </w:pPr>
            <w:r>
              <w:rPr/>
              <w:t> </w:t>
            </w:r>
          </w:p>
        </w:tc>
      </w:tr>
      <w:tr>
        <w:trPr/>
        <w:tc>
          <w:tcPr>
            <w:tcW w:w="4533"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7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80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r>
      <w:tr>
        <w:trPr/>
        <w:tc>
          <w:tcPr>
            <w:tcW w:w="4533"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3479"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 of U.S. dollars)</w:t>
            </w:r>
          </w:p>
        </w:tc>
        <w:tc>
          <w:tcPr>
            <w:tcW w:w="125" w:type="dxa"/>
            <w:tcBorders/>
            <w:shd w:fill="auto" w:val="clear"/>
            <w:vAlign w:val="bottom"/>
          </w:tcPr>
          <w:p>
            <w:pPr>
              <w:pStyle w:val="TableContents"/>
              <w:spacing w:before="0" w:after="283"/>
              <w:rPr/>
            </w:pPr>
            <w:r>
              <w:rPr/>
              <w:t> </w:t>
            </w:r>
          </w:p>
        </w:tc>
      </w:tr>
      <w:tr>
        <w:trPr/>
        <w:tc>
          <w:tcPr>
            <w:tcW w:w="4533" w:type="dxa"/>
            <w:tcBorders/>
            <w:shd w:fill="CCEEFF" w:val="clear"/>
          </w:tcPr>
          <w:p>
            <w:pPr>
              <w:pStyle w:val="TableContents"/>
              <w:spacing w:before="0" w:after="283"/>
              <w:rPr>
                <w:rFonts w:ascii="Times New Roman" w:hAnsi="Times New Roman"/>
                <w:sz w:val="20"/>
                <w:u w:val="single"/>
              </w:rPr>
            </w:pPr>
            <w:r>
              <w:rPr>
                <w:rFonts w:ascii="Times New Roman" w:hAnsi="Times New Roman"/>
                <w:sz w:val="20"/>
                <w:u w:val="single"/>
              </w:rPr>
              <w:t>Albemarle &amp; Bond:</w:t>
            </w:r>
          </w:p>
        </w:tc>
        <w:tc>
          <w:tcPr>
            <w:tcW w:w="4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43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sz w:val="4"/>
                <w:szCs w:val="4"/>
              </w:rPr>
            </w:pPr>
            <w:r>
              <w:rPr>
                <w:sz w:val="4"/>
                <w:szCs w:val="4"/>
              </w:rPr>
            </w:r>
          </w:p>
        </w:tc>
        <w:tc>
          <w:tcPr>
            <w:tcW w:w="67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4533" w:type="dxa"/>
            <w:tcBorders/>
            <w:shd w:fill="auto" w:val="clear"/>
          </w:tcPr>
          <w:p>
            <w:pPr>
              <w:pStyle w:val="TableContents"/>
              <w:spacing w:before="0" w:after="283"/>
              <w:rPr>
                <w:rFonts w:ascii="Times New Roman" w:hAnsi="Times New Roman"/>
                <w:sz w:val="20"/>
              </w:rPr>
            </w:pPr>
            <w:r>
              <w:rPr>
                <w:rFonts w:ascii="Times New Roman" w:hAnsi="Times New Roman"/>
                <w:sz w:val="20"/>
              </w:rPr>
              <w:t>Recorded value</w:t>
            </w:r>
          </w:p>
        </w:tc>
        <w:tc>
          <w:tcPr>
            <w:tcW w:w="4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49,175</w:t>
            </w:r>
          </w:p>
        </w:tc>
        <w:tc>
          <w:tcPr>
            <w:tcW w:w="12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44,784</w:t>
            </w:r>
          </w:p>
        </w:tc>
        <w:tc>
          <w:tcPr>
            <w:tcW w:w="12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48,361</w:t>
            </w:r>
          </w:p>
        </w:tc>
        <w:tc>
          <w:tcPr>
            <w:tcW w:w="125" w:type="dxa"/>
            <w:tcBorders/>
            <w:shd w:fill="auto" w:val="clear"/>
            <w:vAlign w:val="bottom"/>
          </w:tcPr>
          <w:p>
            <w:pPr>
              <w:pStyle w:val="TableContents"/>
              <w:spacing w:before="0" w:after="283"/>
              <w:rPr/>
            </w:pPr>
            <w:r>
              <w:rPr/>
              <w:t>  </w:t>
            </w:r>
          </w:p>
        </w:tc>
      </w:tr>
      <w:tr>
        <w:trPr/>
        <w:tc>
          <w:tcPr>
            <w:tcW w:w="4533"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w:t>
            </w:r>
          </w:p>
        </w:tc>
        <w:tc>
          <w:tcPr>
            <w:tcW w:w="4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92,868</w:t>
            </w:r>
          </w:p>
        </w:tc>
        <w:tc>
          <w:tcPr>
            <w:tcW w:w="12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81,655</w:t>
            </w:r>
          </w:p>
        </w:tc>
        <w:tc>
          <w:tcPr>
            <w:tcW w:w="12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91,741</w:t>
            </w:r>
          </w:p>
        </w:tc>
        <w:tc>
          <w:tcPr>
            <w:tcW w:w="125" w:type="dxa"/>
            <w:tcBorders/>
            <w:shd w:fill="CCEEFF" w:val="clear"/>
            <w:vAlign w:val="bottom"/>
          </w:tcPr>
          <w:p>
            <w:pPr>
              <w:pStyle w:val="TableContents"/>
              <w:spacing w:before="0" w:after="283"/>
              <w:rPr/>
            </w:pPr>
            <w:r>
              <w:rPr/>
              <w:t>  </w:t>
            </w:r>
          </w:p>
        </w:tc>
      </w:tr>
      <w:tr>
        <w:trPr>
          <w:trHeight w:val="120" w:hRule="atLeast"/>
        </w:trPr>
        <w:tc>
          <w:tcPr>
            <w:tcW w:w="4533" w:type="dxa"/>
            <w:tcBorders/>
            <w:shd w:fill="auto" w:val="clear"/>
            <w:vAlign w:val="center"/>
          </w:tcPr>
          <w:p>
            <w:pPr>
              <w:pStyle w:val="TableContents"/>
              <w:spacing w:before="0" w:after="283"/>
              <w:rPr>
                <w:sz w:val="4"/>
                <w:szCs w:val="4"/>
              </w:rPr>
            </w:pPr>
            <w:r>
              <w:rPr>
                <w:sz w:val="4"/>
                <w:szCs w:val="4"/>
              </w:rPr>
            </w:r>
          </w:p>
        </w:tc>
        <w:tc>
          <w:tcPr>
            <w:tcW w:w="1296" w:type="dxa"/>
            <w:gridSpan w:val="4"/>
            <w:tcBorders/>
            <w:shd w:fill="auto" w:val="clear"/>
            <w:vAlign w:val="center"/>
          </w:tcPr>
          <w:p>
            <w:pPr>
              <w:pStyle w:val="TableContents"/>
              <w:spacing w:before="0" w:after="283"/>
              <w:rPr>
                <w:sz w:val="4"/>
                <w:szCs w:val="4"/>
              </w:rPr>
            </w:pPr>
            <w:r>
              <w:rPr>
                <w:sz w:val="4"/>
                <w:szCs w:val="4"/>
              </w:rPr>
            </w:r>
          </w:p>
        </w:tc>
        <w:tc>
          <w:tcPr>
            <w:tcW w:w="1375" w:type="dxa"/>
            <w:gridSpan w:val="4"/>
            <w:tcBorders/>
            <w:shd w:fill="auto" w:val="clear"/>
            <w:vAlign w:val="center"/>
          </w:tcPr>
          <w:p>
            <w:pPr>
              <w:pStyle w:val="TableContents"/>
              <w:spacing w:before="0" w:after="283"/>
              <w:rPr>
                <w:sz w:val="4"/>
                <w:szCs w:val="4"/>
              </w:rPr>
            </w:pPr>
            <w:r>
              <w:rPr>
                <w:sz w:val="4"/>
                <w:szCs w:val="4"/>
              </w:rPr>
            </w:r>
          </w:p>
        </w:tc>
        <w:tc>
          <w:tcPr>
            <w:tcW w:w="1368" w:type="dxa"/>
            <w:gridSpan w:val="4"/>
            <w:tcBorders/>
            <w:shd w:fill="auto" w:val="clear"/>
            <w:vAlign w:val="center"/>
          </w:tcPr>
          <w:p>
            <w:pPr>
              <w:pStyle w:val="TableContents"/>
              <w:spacing w:before="0" w:after="283"/>
              <w:rPr>
                <w:sz w:val="4"/>
                <w:szCs w:val="4"/>
              </w:rPr>
            </w:pPr>
            <w:r>
              <w:rPr>
                <w:sz w:val="4"/>
                <w:szCs w:val="4"/>
              </w:rPr>
            </w:r>
          </w:p>
        </w:tc>
      </w:tr>
      <w:tr>
        <w:trPr/>
        <w:tc>
          <w:tcPr>
            <w:tcW w:w="4533" w:type="dxa"/>
            <w:tcBorders/>
            <w:shd w:fill="auto" w:val="clear"/>
          </w:tcPr>
          <w:p>
            <w:pPr>
              <w:pStyle w:val="TableContents"/>
              <w:spacing w:before="0" w:after="283"/>
              <w:rPr>
                <w:rFonts w:ascii="Times New Roman" w:hAnsi="Times New Roman"/>
                <w:sz w:val="20"/>
                <w:u w:val="single"/>
              </w:rPr>
            </w:pPr>
            <w:r>
              <w:rPr>
                <w:rFonts w:ascii="Times New Roman" w:hAnsi="Times New Roman"/>
                <w:sz w:val="20"/>
                <w:u w:val="single"/>
              </w:rPr>
              <w:t>Cash Converters:</w:t>
            </w:r>
          </w:p>
        </w:tc>
        <w:tc>
          <w:tcPr>
            <w:tcW w:w="4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6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4533" w:type="dxa"/>
            <w:tcBorders/>
            <w:shd w:fill="CCEEFF" w:val="clear"/>
          </w:tcPr>
          <w:p>
            <w:pPr>
              <w:pStyle w:val="TableContents"/>
              <w:spacing w:before="0" w:after="283"/>
              <w:rPr>
                <w:rFonts w:ascii="Times New Roman" w:hAnsi="Times New Roman"/>
                <w:sz w:val="20"/>
              </w:rPr>
            </w:pPr>
            <w:r>
              <w:rPr>
                <w:rFonts w:ascii="Times New Roman" w:hAnsi="Times New Roman"/>
                <w:sz w:val="20"/>
              </w:rPr>
              <w:t>Recorded value</w:t>
            </w:r>
          </w:p>
        </w:tc>
        <w:tc>
          <w:tcPr>
            <w:tcW w:w="4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70,881</w:t>
            </w:r>
          </w:p>
        </w:tc>
        <w:tc>
          <w:tcPr>
            <w:tcW w:w="12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67,580</w:t>
            </w:r>
          </w:p>
        </w:tc>
        <w:tc>
          <w:tcPr>
            <w:tcW w:w="12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71,958</w:t>
            </w:r>
          </w:p>
        </w:tc>
        <w:tc>
          <w:tcPr>
            <w:tcW w:w="125" w:type="dxa"/>
            <w:tcBorders/>
            <w:shd w:fill="CCEEFF" w:val="clear"/>
            <w:vAlign w:val="bottom"/>
          </w:tcPr>
          <w:p>
            <w:pPr>
              <w:pStyle w:val="TableContents"/>
              <w:spacing w:before="0" w:after="283"/>
              <w:rPr/>
            </w:pPr>
            <w:r>
              <w:rPr/>
              <w:t>  </w:t>
            </w:r>
          </w:p>
        </w:tc>
      </w:tr>
      <w:tr>
        <w:trPr/>
        <w:tc>
          <w:tcPr>
            <w:tcW w:w="4533"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w:t>
            </w:r>
          </w:p>
        </w:tc>
        <w:tc>
          <w:tcPr>
            <w:tcW w:w="4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85,277</w:t>
            </w:r>
          </w:p>
        </w:tc>
        <w:tc>
          <w:tcPr>
            <w:tcW w:w="12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102,610</w:t>
            </w:r>
          </w:p>
        </w:tc>
        <w:tc>
          <w:tcPr>
            <w:tcW w:w="12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53,600</w:t>
            </w:r>
          </w:p>
        </w:tc>
        <w:tc>
          <w:tcPr>
            <w:tcW w:w="125"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 August 2011, legislation was proposed in Australia that would, among other things, limit the interest charged on certain consumer loans and prohibit loan extensions and refinancing. If this legislation is enacted in its currently proposed form, Cash Converters consumer loan business in Australia may be adversely affected, which could have the effect of decreasing Cash Converters revenues and earnings. As of September 30, 2011, the fair value of our investment in Cash Converters (based on the market price of Cash Converters stock as of that date) was below our recorded value. In light of Cash Converters statements at that time regarding its ability to mitigate the potential impact of the proposed legislation, we considered this loss in value to be temporary. Following a series of representations from Cash Converters, its customers and other industry executives, the Australian Parliament, referred the bill to the Senate Economics committee and to the Joint Committee on Corporations and Financial Services for review. The committees concluded that the proposed legislation did not achieve an appropriate balance between consumer protection and industry viability and recommended that the Australian government revisit key aspects of its reform package with further industry consultation. As of March 31, 2012, the fair value of our investment in Cash Converters was above our recorded value, further supporting our assessment of the loss in value of its stock to be temporary. </w:t>
      </w:r>
    </w:p>
    <w:p>
      <w:pPr>
        <w:pStyle w:val="TextBody"/>
        <w:spacing w:before="270" w:after="0"/>
        <w:rPr>
          <w:rFonts w:ascii="Times New Roman" w:hAnsi="Times New Roman"/>
          <w:b/>
          <w:sz w:val="20"/>
        </w:rPr>
      </w:pPr>
      <w:r>
        <w:rPr>
          <w:rFonts w:ascii="Times New Roman" w:hAnsi="Times New Roman"/>
          <w:b/>
          <w:sz w:val="20"/>
        </w:rPr>
        <w:t xml:space="preserve">Note E: Goodwill and Other Intangible Assets </w:t>
      </w:r>
    </w:p>
    <w:p>
      <w:pPr>
        <w:pStyle w:val="TextBody"/>
        <w:spacing w:before="90" w:after="0"/>
        <w:rPr>
          <w:rFonts w:ascii="Times New Roman" w:hAnsi="Times New Roman"/>
          <w:sz w:val="20"/>
        </w:rPr>
      </w:pPr>
      <w:r>
        <w:rPr>
          <w:rFonts w:ascii="Times New Roman" w:hAnsi="Times New Roman"/>
          <w:sz w:val="20"/>
        </w:rPr>
        <w:t xml:space="preserve">The following table presents the balance of each major class of indefinite-lived intangible asset at the specified dates: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578"/>
        <w:gridCol w:w="382"/>
        <w:gridCol w:w="125"/>
        <w:gridCol w:w="703"/>
        <w:gridCol w:w="120"/>
        <w:gridCol w:w="382"/>
        <w:gridCol w:w="125"/>
        <w:gridCol w:w="703"/>
        <w:gridCol w:w="120"/>
        <w:gridCol w:w="382"/>
        <w:gridCol w:w="125"/>
        <w:gridCol w:w="703"/>
        <w:gridCol w:w="124"/>
      </w:tblGrid>
      <w:tr>
        <w:trPr/>
        <w:tc>
          <w:tcPr>
            <w:tcW w:w="4578"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15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24" w:type="dxa"/>
            <w:tcBorders/>
            <w:shd w:fill="auto" w:val="clear"/>
            <w:vAlign w:val="bottom"/>
          </w:tcPr>
          <w:p>
            <w:pPr>
              <w:pStyle w:val="TableContents"/>
              <w:spacing w:before="0" w:after="283"/>
              <w:rPr/>
            </w:pPr>
            <w:r>
              <w:rPr/>
              <w:t> </w:t>
            </w:r>
          </w:p>
        </w:tc>
      </w:tr>
      <w:tr>
        <w:trPr/>
        <w:tc>
          <w:tcPr>
            <w:tcW w:w="457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4" w:type="dxa"/>
            <w:tcBorders/>
            <w:shd w:fill="auto" w:val="clear"/>
            <w:vAlign w:val="bottom"/>
          </w:tcPr>
          <w:p>
            <w:pPr>
              <w:pStyle w:val="TableContents"/>
              <w:spacing w:before="0" w:after="283"/>
              <w:rPr/>
            </w:pPr>
            <w:r>
              <w:rPr/>
              <w:t> </w:t>
            </w:r>
          </w:p>
        </w:tc>
      </w:tr>
      <w:tr>
        <w:trPr/>
        <w:tc>
          <w:tcPr>
            <w:tcW w:w="457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488"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4578" w:type="dxa"/>
            <w:tcBorders/>
            <w:shd w:fill="CCEEFF" w:val="clear"/>
          </w:tcPr>
          <w:p>
            <w:pPr>
              <w:pStyle w:val="TableContents"/>
              <w:spacing w:before="0" w:after="283"/>
              <w:rPr>
                <w:rFonts w:ascii="Times New Roman" w:hAnsi="Times New Roman"/>
                <w:sz w:val="20"/>
              </w:rPr>
            </w:pPr>
            <w:r>
              <w:rPr>
                <w:rFonts w:ascii="Times New Roman" w:hAnsi="Times New Roman"/>
                <w:sz w:val="20"/>
              </w:rPr>
              <w:t>Pawn licenses</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8,836</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8,836</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8,836</w:t>
            </w:r>
          </w:p>
        </w:tc>
        <w:tc>
          <w:tcPr>
            <w:tcW w:w="124" w:type="dxa"/>
            <w:tcBorders/>
            <w:shd w:fill="CCEEFF" w:val="clear"/>
            <w:vAlign w:val="bottom"/>
          </w:tcPr>
          <w:p>
            <w:pPr>
              <w:pStyle w:val="TableContents"/>
              <w:spacing w:before="0" w:after="283"/>
              <w:rPr/>
            </w:pPr>
            <w:r>
              <w:rPr/>
              <w:t>  </w:t>
            </w:r>
          </w:p>
        </w:tc>
      </w:tr>
      <w:tr>
        <w:trPr/>
        <w:tc>
          <w:tcPr>
            <w:tcW w:w="4578" w:type="dxa"/>
            <w:tcBorders/>
            <w:shd w:fill="auto" w:val="clear"/>
          </w:tcPr>
          <w:p>
            <w:pPr>
              <w:pStyle w:val="TableContents"/>
              <w:spacing w:before="0" w:after="283"/>
              <w:rPr>
                <w:rFonts w:ascii="Times New Roman" w:hAnsi="Times New Roman"/>
                <w:sz w:val="20"/>
              </w:rPr>
            </w:pPr>
            <w:r>
              <w:rPr>
                <w:rFonts w:ascii="Times New Roman" w:hAnsi="Times New Roman"/>
                <w:sz w:val="20"/>
              </w:rPr>
              <w:t>Trade name</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7,097</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4,870</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4,870</w:t>
            </w:r>
          </w:p>
        </w:tc>
        <w:tc>
          <w:tcPr>
            <w:tcW w:w="124" w:type="dxa"/>
            <w:tcBorders/>
            <w:shd w:fill="auto" w:val="clear"/>
            <w:vAlign w:val="bottom"/>
          </w:tcPr>
          <w:p>
            <w:pPr>
              <w:pStyle w:val="TableContents"/>
              <w:spacing w:before="0" w:after="283"/>
              <w:rPr/>
            </w:pPr>
            <w:r>
              <w:rPr/>
              <w:t>  </w:t>
            </w:r>
          </w:p>
        </w:tc>
      </w:tr>
      <w:tr>
        <w:trPr/>
        <w:tc>
          <w:tcPr>
            <w:tcW w:w="4578"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320,692</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143,404</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24" w:type="dxa"/>
            <w:tcBorders/>
            <w:shd w:fill="CCEEFF" w:val="clear"/>
            <w:vAlign w:val="bottom"/>
          </w:tcPr>
          <w:p>
            <w:pPr>
              <w:pStyle w:val="TableContents"/>
              <w:spacing w:before="0" w:after="283"/>
              <w:rPr/>
            </w:pPr>
            <w:r>
              <w:rPr/>
              <w:t>  </w:t>
            </w:r>
          </w:p>
        </w:tc>
      </w:tr>
      <w:tr>
        <w:trPr/>
        <w:tc>
          <w:tcPr>
            <w:tcW w:w="4578"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578"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336,625</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157,110</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186,912</w:t>
            </w:r>
          </w:p>
        </w:tc>
        <w:tc>
          <w:tcPr>
            <w:tcW w:w="124" w:type="dxa"/>
            <w:tcBorders/>
            <w:shd w:fill="auto" w:val="clear"/>
            <w:vAlign w:val="bottom"/>
          </w:tcPr>
          <w:p>
            <w:pPr>
              <w:pStyle w:val="TableContents"/>
              <w:spacing w:before="0" w:after="283"/>
              <w:rPr/>
            </w:pPr>
            <w:r>
              <w:rPr/>
              <w:t>  </w:t>
            </w:r>
          </w:p>
        </w:tc>
      </w:tr>
      <w:tr>
        <w:trPr/>
        <w:tc>
          <w:tcPr>
            <w:tcW w:w="4578"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following tables present the changes in the carrying value of goodwill, by segment, over the periods presented: </w:t>
      </w:r>
    </w:p>
    <w:p>
      <w:pPr>
        <w:pStyle w:val="TextBody"/>
        <w:spacing w:before="0" w:after="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358"/>
        <w:gridCol w:w="318"/>
        <w:gridCol w:w="125"/>
        <w:gridCol w:w="720"/>
        <w:gridCol w:w="125"/>
        <w:gridCol w:w="271"/>
        <w:gridCol w:w="125"/>
        <w:gridCol w:w="720"/>
        <w:gridCol w:w="120"/>
        <w:gridCol w:w="318"/>
        <w:gridCol w:w="254"/>
        <w:gridCol w:w="525"/>
        <w:gridCol w:w="119"/>
        <w:gridCol w:w="318"/>
        <w:gridCol w:w="125"/>
        <w:gridCol w:w="720"/>
        <w:gridCol w:w="127"/>
      </w:tblGrid>
      <w:tr>
        <w:trPr/>
        <w:tc>
          <w:tcPr>
            <w:tcW w:w="435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358"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8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w:t>
              <w:br/>
              <w:t>Canada</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8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w:t>
              <w:br/>
              <w:t>America</w:t>
            </w:r>
          </w:p>
        </w:tc>
        <w:tc>
          <w:tcPr>
            <w:tcW w:w="12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7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19"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8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27" w:type="dxa"/>
            <w:tcBorders/>
            <w:shd w:fill="auto" w:val="clear"/>
            <w:vAlign w:val="bottom"/>
          </w:tcPr>
          <w:p>
            <w:pPr>
              <w:pStyle w:val="TableContents"/>
              <w:spacing w:before="0" w:after="283"/>
              <w:rPr/>
            </w:pPr>
            <w:r>
              <w:rPr/>
              <w:t> </w:t>
            </w:r>
          </w:p>
        </w:tc>
      </w:tr>
      <w:tr>
        <w:trPr/>
        <w:tc>
          <w:tcPr>
            <w:tcW w:w="4358"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4585"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7" w:type="dxa"/>
            <w:tcBorders/>
            <w:shd w:fill="auto" w:val="clear"/>
            <w:vAlign w:val="bottom"/>
          </w:tcPr>
          <w:p>
            <w:pPr>
              <w:pStyle w:val="TableContents"/>
              <w:spacing w:before="0" w:after="283"/>
              <w:rPr/>
            </w:pPr>
            <w:r>
              <w:rPr/>
              <w:t> </w:t>
            </w:r>
          </w:p>
        </w:tc>
      </w:tr>
      <w:tr>
        <w:trPr/>
        <w:tc>
          <w:tcPr>
            <w:tcW w:w="435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September 30, 2011</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163,897</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9,309</w:t>
            </w:r>
          </w:p>
        </w:tc>
        <w:tc>
          <w:tcPr>
            <w:tcW w:w="12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27" w:type="dxa"/>
            <w:tcBorders/>
            <w:shd w:fill="CCEEFF" w:val="clear"/>
            <w:vAlign w:val="bottom"/>
          </w:tcPr>
          <w:p>
            <w:pPr>
              <w:pStyle w:val="TableContents"/>
              <w:spacing w:before="0" w:after="283"/>
              <w:rPr/>
            </w:pPr>
            <w:r>
              <w:rPr/>
              <w:t>  </w:t>
            </w:r>
          </w:p>
        </w:tc>
      </w:tr>
      <w:tr>
        <w:trPr/>
        <w:tc>
          <w:tcPr>
            <w:tcW w:w="4358"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50,071</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95,827</w:t>
            </w:r>
          </w:p>
        </w:tc>
        <w:tc>
          <w:tcPr>
            <w:tcW w:w="12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145,898</w:t>
            </w:r>
          </w:p>
        </w:tc>
        <w:tc>
          <w:tcPr>
            <w:tcW w:w="127" w:type="dxa"/>
            <w:tcBorders/>
            <w:shd w:fill="auto" w:val="clear"/>
            <w:vAlign w:val="bottom"/>
          </w:tcPr>
          <w:p>
            <w:pPr>
              <w:pStyle w:val="TableContents"/>
              <w:spacing w:before="0" w:after="283"/>
              <w:rPr/>
            </w:pPr>
            <w:r>
              <w:rPr/>
              <w:t>  </w:t>
            </w:r>
          </w:p>
        </w:tc>
      </w:tr>
      <w:tr>
        <w:trPr/>
        <w:tc>
          <w:tcPr>
            <w:tcW w:w="4358"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foreign currency translation changes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1,589</w:t>
            </w:r>
          </w:p>
        </w:tc>
        <w:tc>
          <w:tcPr>
            <w:tcW w:w="120"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5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1,588</w:t>
            </w:r>
          </w:p>
        </w:tc>
        <w:tc>
          <w:tcPr>
            <w:tcW w:w="127" w:type="dxa"/>
            <w:tcBorders/>
            <w:shd w:fill="CCEEFF" w:val="clear"/>
            <w:vAlign w:val="bottom"/>
          </w:tcPr>
          <w:p>
            <w:pPr>
              <w:pStyle w:val="TableContents"/>
              <w:spacing w:before="0" w:after="283"/>
              <w:rPr/>
            </w:pPr>
            <w:r>
              <w:rPr/>
              <w:t>  </w:t>
            </w:r>
          </w:p>
        </w:tc>
      </w:tr>
      <w:tr>
        <w:trPr/>
        <w:tc>
          <w:tcPr>
            <w:tcW w:w="4358"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single" w:sz="2" w:space="1" w:color="000000"/>
              </w:pBdr>
              <w:spacing w:before="0" w:after="283"/>
              <w:rPr/>
            </w:pPr>
            <w:r>
              <w:rPr/>
              <w:t> </w:t>
            </w:r>
          </w:p>
        </w:tc>
        <w:tc>
          <w:tcPr>
            <w:tcW w:w="525"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358" w:type="dxa"/>
            <w:tcBorders/>
            <w:shd w:fill="auto" w:val="clear"/>
          </w:tcPr>
          <w:p>
            <w:pPr>
              <w:pStyle w:val="TableContents"/>
              <w:spacing w:before="0" w:after="283"/>
              <w:rPr>
                <w:rFonts w:ascii="Times New Roman" w:hAnsi="Times New Roman"/>
                <w:sz w:val="20"/>
              </w:rPr>
            </w:pPr>
            <w:r>
              <w:rPr>
                <w:rFonts w:ascii="Times New Roman" w:hAnsi="Times New Roman"/>
                <w:sz w:val="20"/>
              </w:rPr>
              <w:t>Balance at March 31, 2012</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213,967</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106,725</w:t>
            </w:r>
          </w:p>
        </w:tc>
        <w:tc>
          <w:tcPr>
            <w:tcW w:w="12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320,692</w:t>
            </w:r>
          </w:p>
        </w:tc>
        <w:tc>
          <w:tcPr>
            <w:tcW w:w="127" w:type="dxa"/>
            <w:tcBorders/>
            <w:shd w:fill="auto" w:val="clear"/>
            <w:vAlign w:val="bottom"/>
          </w:tcPr>
          <w:p>
            <w:pPr>
              <w:pStyle w:val="TableContents"/>
              <w:spacing w:before="0" w:after="283"/>
              <w:rPr/>
            </w:pPr>
            <w:r>
              <w:rPr/>
              <w:t>  </w:t>
            </w:r>
          </w:p>
        </w:tc>
      </w:tr>
      <w:tr>
        <w:trPr/>
        <w:tc>
          <w:tcPr>
            <w:tcW w:w="4358"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pBdr>
                <w:top w:val="double" w:sz="6" w:space="1" w:color="000000"/>
              </w:pBdr>
              <w:spacing w:before="0" w:after="283"/>
              <w:rPr/>
            </w:pPr>
            <w:r>
              <w:rPr/>
              <w:t> </w:t>
            </w:r>
          </w:p>
        </w:tc>
        <w:tc>
          <w:tcPr>
            <w:tcW w:w="525"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0"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600" w:type="pct"/>
        <w:jc w:val="center"/>
        <w:tblInd w:w="0" w:type="dxa"/>
        <w:tblCellMar>
          <w:top w:w="0" w:type="dxa"/>
          <w:left w:w="0" w:type="dxa"/>
          <w:bottom w:w="0" w:type="dxa"/>
          <w:right w:w="0" w:type="dxa"/>
        </w:tblCellMar>
      </w:tblPr>
      <w:tblGrid>
        <w:gridCol w:w="4538"/>
        <w:gridCol w:w="322"/>
        <w:gridCol w:w="125"/>
        <w:gridCol w:w="716"/>
        <w:gridCol w:w="120"/>
        <w:gridCol w:w="322"/>
        <w:gridCol w:w="125"/>
        <w:gridCol w:w="494"/>
        <w:gridCol w:w="120"/>
        <w:gridCol w:w="322"/>
        <w:gridCol w:w="252"/>
        <w:gridCol w:w="522"/>
        <w:gridCol w:w="120"/>
        <w:gridCol w:w="322"/>
        <w:gridCol w:w="125"/>
        <w:gridCol w:w="716"/>
        <w:gridCol w:w="127"/>
      </w:tblGrid>
      <w:tr>
        <w:trPr/>
        <w:tc>
          <w:tcPr>
            <w:tcW w:w="4538"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538"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w:t>
              <w:br/>
              <w:t>Canada</w:t>
            </w:r>
          </w:p>
        </w:tc>
        <w:tc>
          <w:tcPr>
            <w:tcW w:w="12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6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w:t>
              <w:br/>
              <w:t>America</w:t>
            </w:r>
          </w:p>
        </w:tc>
        <w:tc>
          <w:tcPr>
            <w:tcW w:w="12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7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27" w:type="dxa"/>
            <w:tcBorders/>
            <w:shd w:fill="auto" w:val="clear"/>
            <w:vAlign w:val="bottom"/>
          </w:tcPr>
          <w:p>
            <w:pPr>
              <w:pStyle w:val="TableContents"/>
              <w:spacing w:before="0" w:after="283"/>
              <w:rPr/>
            </w:pPr>
            <w:r>
              <w:rPr/>
              <w:t> </w:t>
            </w:r>
          </w:p>
        </w:tc>
      </w:tr>
      <w:tr>
        <w:trPr/>
        <w:tc>
          <w:tcPr>
            <w:tcW w:w="4538"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4401"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7" w:type="dxa"/>
            <w:tcBorders/>
            <w:shd w:fill="auto" w:val="clear"/>
            <w:vAlign w:val="bottom"/>
          </w:tcPr>
          <w:p>
            <w:pPr>
              <w:pStyle w:val="TableContents"/>
              <w:spacing w:before="0" w:after="283"/>
              <w:rPr/>
            </w:pPr>
            <w:r>
              <w:rPr/>
              <w:t> </w:t>
            </w:r>
          </w:p>
        </w:tc>
      </w:tr>
      <w:tr>
        <w:trPr/>
        <w:tc>
          <w:tcPr>
            <w:tcW w:w="453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September 30, 2010</w:t>
            </w:r>
          </w:p>
        </w:tc>
        <w:tc>
          <w:tcPr>
            <w:tcW w:w="3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110,255</w:t>
            </w:r>
          </w:p>
        </w:tc>
        <w:tc>
          <w:tcPr>
            <w:tcW w:w="12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7,050</w:t>
            </w:r>
          </w:p>
        </w:tc>
        <w:tc>
          <w:tcPr>
            <w:tcW w:w="12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117,305</w:t>
            </w:r>
          </w:p>
        </w:tc>
        <w:tc>
          <w:tcPr>
            <w:tcW w:w="127" w:type="dxa"/>
            <w:tcBorders/>
            <w:shd w:fill="CCEEFF" w:val="clear"/>
            <w:vAlign w:val="bottom"/>
          </w:tcPr>
          <w:p>
            <w:pPr>
              <w:pStyle w:val="TableContents"/>
              <w:spacing w:before="0" w:after="283"/>
              <w:rPr/>
            </w:pPr>
            <w:r>
              <w:rPr/>
              <w:t>  </w:t>
            </w:r>
          </w:p>
        </w:tc>
      </w:tr>
      <w:tr>
        <w:trPr/>
        <w:tc>
          <w:tcPr>
            <w:tcW w:w="4538"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25,784</w:t>
            </w:r>
          </w:p>
        </w:tc>
        <w:tc>
          <w:tcPr>
            <w:tcW w:w="12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25,784</w:t>
            </w:r>
          </w:p>
        </w:tc>
        <w:tc>
          <w:tcPr>
            <w:tcW w:w="127" w:type="dxa"/>
            <w:tcBorders/>
            <w:shd w:fill="auto" w:val="clear"/>
            <w:vAlign w:val="bottom"/>
          </w:tcPr>
          <w:p>
            <w:pPr>
              <w:pStyle w:val="TableContents"/>
              <w:spacing w:before="0" w:after="283"/>
              <w:rPr/>
            </w:pPr>
            <w:r>
              <w:rPr/>
              <w:t>  </w:t>
            </w:r>
          </w:p>
        </w:tc>
      </w:tr>
      <w:tr>
        <w:trPr/>
        <w:tc>
          <w:tcPr>
            <w:tcW w:w="4538"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foreign currency translation changes</w:t>
            </w:r>
          </w:p>
        </w:tc>
        <w:tc>
          <w:tcPr>
            <w:tcW w:w="3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12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127" w:type="dxa"/>
            <w:tcBorders/>
            <w:shd w:fill="CCEEFF" w:val="clear"/>
            <w:vAlign w:val="bottom"/>
          </w:tcPr>
          <w:p>
            <w:pPr>
              <w:pStyle w:val="TableContents"/>
              <w:spacing w:before="0" w:after="283"/>
              <w:rPr/>
            </w:pPr>
            <w:r>
              <w:rPr/>
              <w:t>  </w:t>
            </w:r>
          </w:p>
        </w:tc>
      </w:tr>
      <w:tr>
        <w:trPr/>
        <w:tc>
          <w:tcPr>
            <w:tcW w:w="4538"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pBdr>
                <w:top w:val="single" w:sz="2" w:space="1" w:color="000000"/>
              </w:pBdr>
              <w:spacing w:before="0" w:after="283"/>
              <w:rPr/>
            </w:pPr>
            <w:r>
              <w:rPr/>
              <w:t> </w:t>
            </w:r>
          </w:p>
        </w:tc>
        <w:tc>
          <w:tcPr>
            <w:tcW w:w="5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6"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538" w:type="dxa"/>
            <w:tcBorders/>
            <w:shd w:fill="auto" w:val="clear"/>
          </w:tcPr>
          <w:p>
            <w:pPr>
              <w:pStyle w:val="TableContents"/>
              <w:spacing w:before="0" w:after="283"/>
              <w:rPr>
                <w:rFonts w:ascii="Times New Roman" w:hAnsi="Times New Roman"/>
                <w:sz w:val="20"/>
              </w:rPr>
            </w:pPr>
            <w:r>
              <w:rPr>
                <w:rFonts w:ascii="Times New Roman" w:hAnsi="Times New Roman"/>
                <w:sz w:val="20"/>
              </w:rPr>
              <w:t>Balance at March 31, 2011</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136,039</w:t>
            </w:r>
          </w:p>
        </w:tc>
        <w:tc>
          <w:tcPr>
            <w:tcW w:w="12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7,365</w:t>
            </w:r>
          </w:p>
        </w:tc>
        <w:tc>
          <w:tcPr>
            <w:tcW w:w="12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143,404</w:t>
            </w:r>
          </w:p>
        </w:tc>
        <w:tc>
          <w:tcPr>
            <w:tcW w:w="127" w:type="dxa"/>
            <w:tcBorders/>
            <w:shd w:fill="auto" w:val="clear"/>
            <w:vAlign w:val="bottom"/>
          </w:tcPr>
          <w:p>
            <w:pPr>
              <w:pStyle w:val="TableContents"/>
              <w:spacing w:before="0" w:after="283"/>
              <w:rPr/>
            </w:pPr>
            <w:r>
              <w:rPr/>
              <w:t>  </w:t>
            </w:r>
          </w:p>
        </w:tc>
      </w:tr>
      <w:tr>
        <w:trPr/>
        <w:tc>
          <w:tcPr>
            <w:tcW w:w="4538"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pBdr>
                <w:top w:val="double" w:sz="6" w:space="1" w:color="000000"/>
              </w:pBdr>
              <w:spacing w:before="0" w:after="283"/>
              <w:rPr/>
            </w:pPr>
            <w:r>
              <w:rPr/>
              <w:t> </w:t>
            </w:r>
          </w:p>
        </w:tc>
        <w:tc>
          <w:tcPr>
            <w:tcW w:w="52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6"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following table presents the gross carrying amount and accumulated amortization for each major class of definite-lived intangible asset at the specified dates: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652"/>
        <w:gridCol w:w="145"/>
        <w:gridCol w:w="125"/>
        <w:gridCol w:w="590"/>
        <w:gridCol w:w="120"/>
        <w:gridCol w:w="145"/>
        <w:gridCol w:w="146"/>
        <w:gridCol w:w="653"/>
        <w:gridCol w:w="125"/>
        <w:gridCol w:w="91"/>
        <w:gridCol w:w="125"/>
        <w:gridCol w:w="589"/>
        <w:gridCol w:w="120"/>
        <w:gridCol w:w="145"/>
        <w:gridCol w:w="125"/>
        <w:gridCol w:w="495"/>
        <w:gridCol w:w="120"/>
        <w:gridCol w:w="145"/>
        <w:gridCol w:w="146"/>
        <w:gridCol w:w="653"/>
        <w:gridCol w:w="125"/>
        <w:gridCol w:w="91"/>
        <w:gridCol w:w="125"/>
        <w:gridCol w:w="494"/>
        <w:gridCol w:w="120"/>
        <w:gridCol w:w="145"/>
        <w:gridCol w:w="125"/>
        <w:gridCol w:w="495"/>
        <w:gridCol w:w="120"/>
        <w:gridCol w:w="145"/>
        <w:gridCol w:w="146"/>
        <w:gridCol w:w="653"/>
        <w:gridCol w:w="125"/>
        <w:gridCol w:w="91"/>
        <w:gridCol w:w="124"/>
        <w:gridCol w:w="495"/>
        <w:gridCol w:w="131"/>
      </w:tblGrid>
      <w:tr>
        <w:trPr/>
        <w:tc>
          <w:tcPr>
            <w:tcW w:w="165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165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493" w:type="dxa"/>
            <w:gridSpan w:val="2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51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31" w:type="dxa"/>
            <w:tcBorders/>
            <w:shd w:fill="auto" w:val="clear"/>
            <w:vAlign w:val="bottom"/>
          </w:tcPr>
          <w:p>
            <w:pPr>
              <w:pStyle w:val="TableContents"/>
              <w:spacing w:before="0" w:after="283"/>
              <w:rPr/>
            </w:pPr>
            <w:r>
              <w:rPr/>
              <w:t> </w:t>
            </w:r>
          </w:p>
        </w:tc>
      </w:tr>
      <w:tr>
        <w:trPr/>
        <w:tc>
          <w:tcPr>
            <w:tcW w:w="165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70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51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251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1" w:type="dxa"/>
            <w:tcBorders/>
            <w:shd w:fill="auto" w:val="clear"/>
            <w:vAlign w:val="bottom"/>
          </w:tcPr>
          <w:p>
            <w:pPr>
              <w:pStyle w:val="TableContents"/>
              <w:spacing w:before="0" w:after="283"/>
              <w:rPr/>
            </w:pPr>
            <w:r>
              <w:rPr/>
              <w:t> </w:t>
            </w:r>
          </w:p>
        </w:tc>
      </w:tr>
      <w:tr>
        <w:trPr/>
        <w:tc>
          <w:tcPr>
            <w:tcW w:w="165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Carrying</w:t>
              <w:br/>
              <w:t>Amount</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Accumulated</w:t>
              <w:br/>
              <w:t>Amortization</w:t>
            </w:r>
          </w:p>
        </w:tc>
        <w:tc>
          <w:tcPr>
            <w:tcW w:w="12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Net Book</w:t>
              <w:br/>
              <w:t>Value</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Carrying</w:t>
              <w:br/>
              <w:t>Amount</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Accumulated</w:t>
              <w:br/>
              <w:t>Amortization</w:t>
            </w:r>
          </w:p>
        </w:tc>
        <w:tc>
          <w:tcPr>
            <w:tcW w:w="12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6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Net</w:t>
              <w:br/>
              <w:t>Book</w:t>
              <w:br/>
              <w:t>Value</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Carrying</w:t>
              <w:br/>
              <w:t>Amount</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Accumulated</w:t>
              <w:br/>
              <w:t>Amortization</w:t>
            </w:r>
          </w:p>
        </w:tc>
        <w:tc>
          <w:tcPr>
            <w:tcW w:w="12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6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Net</w:t>
              <w:br/>
              <w:t>Book</w:t>
              <w:br/>
              <w:t>Value</w:t>
            </w:r>
          </w:p>
        </w:tc>
        <w:tc>
          <w:tcPr>
            <w:tcW w:w="131" w:type="dxa"/>
            <w:tcBorders/>
            <w:shd w:fill="auto" w:val="clear"/>
            <w:vAlign w:val="bottom"/>
          </w:tcPr>
          <w:p>
            <w:pPr>
              <w:pStyle w:val="TableContents"/>
              <w:spacing w:before="0" w:after="283"/>
              <w:rPr/>
            </w:pPr>
            <w:r>
              <w:rPr/>
              <w:t> </w:t>
            </w:r>
          </w:p>
        </w:tc>
      </w:tr>
      <w:tr>
        <w:trPr/>
        <w:tc>
          <w:tcPr>
            <w:tcW w:w="165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277" w:type="dxa"/>
            <w:gridSpan w:val="3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1" w:type="dxa"/>
            <w:tcBorders/>
            <w:shd w:fill="auto" w:val="clear"/>
            <w:vAlign w:val="bottom"/>
          </w:tcPr>
          <w:p>
            <w:pPr>
              <w:pStyle w:val="TableContents"/>
              <w:spacing w:before="0" w:after="283"/>
              <w:rPr/>
            </w:pPr>
            <w:r>
              <w:rPr/>
              <w:t> </w:t>
            </w:r>
          </w:p>
        </w:tc>
      </w:tr>
      <w:tr>
        <w:trPr/>
        <w:tc>
          <w:tcPr>
            <w:tcW w:w="1652" w:type="dxa"/>
            <w:tcBorders/>
            <w:shd w:fill="CCEEFF" w:val="clear"/>
          </w:tcPr>
          <w:p>
            <w:pPr>
              <w:pStyle w:val="TableContents"/>
              <w:spacing w:before="0" w:after="283"/>
              <w:rPr>
                <w:rFonts w:ascii="Times New Roman" w:hAnsi="Times New Roman"/>
                <w:sz w:val="20"/>
              </w:rPr>
            </w:pPr>
            <w:r>
              <w:rPr>
                <w:rFonts w:ascii="Times New Roman" w:hAnsi="Times New Roman"/>
                <w:sz w:val="20"/>
              </w:rPr>
              <w:t>Real estate finders fees</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1,327</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1,098</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1,157</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31" w:type="dxa"/>
            <w:tcBorders/>
            <w:shd w:fill="CCEEFF" w:val="clear"/>
            <w:vAlign w:val="bottom"/>
          </w:tcPr>
          <w:p>
            <w:pPr>
              <w:pStyle w:val="TableContents"/>
              <w:spacing w:before="0" w:after="283"/>
              <w:rPr/>
            </w:pPr>
            <w:r>
              <w:rPr/>
              <w:t>  </w:t>
            </w:r>
          </w:p>
        </w:tc>
      </w:tr>
      <w:tr>
        <w:trPr/>
        <w:tc>
          <w:tcPr>
            <w:tcW w:w="1652" w:type="dxa"/>
            <w:tcBorders/>
            <w:shd w:fill="auto" w:val="clear"/>
          </w:tcPr>
          <w:p>
            <w:pPr>
              <w:pStyle w:val="TableContents"/>
              <w:spacing w:before="0" w:after="283"/>
              <w:rPr>
                <w:rFonts w:ascii="Times New Roman" w:hAnsi="Times New Roman"/>
                <w:sz w:val="20"/>
              </w:rPr>
            </w:pPr>
            <w:r>
              <w:rPr>
                <w:rFonts w:ascii="Times New Roman" w:hAnsi="Times New Roman"/>
                <w:sz w:val="20"/>
              </w:rPr>
              <w:t>Non-compete agreements</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4,301</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1,424</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3,313</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1,036</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3,722</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1,263</w:t>
            </w:r>
          </w:p>
        </w:tc>
        <w:tc>
          <w:tcPr>
            <w:tcW w:w="131" w:type="dxa"/>
            <w:tcBorders/>
            <w:shd w:fill="auto" w:val="clear"/>
            <w:vAlign w:val="bottom"/>
          </w:tcPr>
          <w:p>
            <w:pPr>
              <w:pStyle w:val="TableContents"/>
              <w:spacing w:before="0" w:after="283"/>
              <w:rPr/>
            </w:pPr>
            <w:r>
              <w:rPr/>
              <w:t>  </w:t>
            </w:r>
          </w:p>
        </w:tc>
      </w:tr>
      <w:tr>
        <w:trPr/>
        <w:tc>
          <w:tcPr>
            <w:tcW w:w="1652" w:type="dxa"/>
            <w:tcBorders/>
            <w:shd w:fill="CCEEFF" w:val="clear"/>
          </w:tcPr>
          <w:p>
            <w:pPr>
              <w:pStyle w:val="TableContents"/>
              <w:spacing w:before="0" w:after="283"/>
              <w:rPr>
                <w:rFonts w:ascii="Times New Roman" w:hAnsi="Times New Roman"/>
                <w:sz w:val="20"/>
              </w:rPr>
            </w:pPr>
            <w:r>
              <w:rPr>
                <w:rFonts w:ascii="Times New Roman" w:hAnsi="Times New Roman"/>
                <w:sz w:val="20"/>
              </w:rPr>
              <w:t>Favorable lease</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985</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644</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755</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131" w:type="dxa"/>
            <w:tcBorders/>
            <w:shd w:fill="CCEEFF" w:val="clear"/>
            <w:vAlign w:val="bottom"/>
          </w:tcPr>
          <w:p>
            <w:pPr>
              <w:pStyle w:val="TableContents"/>
              <w:spacing w:before="0" w:after="283"/>
              <w:rPr/>
            </w:pPr>
            <w:r>
              <w:rPr/>
              <w:t>  </w:t>
            </w:r>
          </w:p>
        </w:tc>
      </w:tr>
      <w:tr>
        <w:trPr/>
        <w:tc>
          <w:tcPr>
            <w:tcW w:w="1652" w:type="dxa"/>
            <w:tcBorders/>
            <w:shd w:fill="auto" w:val="clear"/>
          </w:tcPr>
          <w:p>
            <w:pPr>
              <w:pStyle w:val="TableContents"/>
              <w:spacing w:before="0" w:after="283"/>
              <w:rPr>
                <w:rFonts w:ascii="Times New Roman" w:hAnsi="Times New Roman"/>
                <w:sz w:val="20"/>
              </w:rPr>
            </w:pPr>
            <w:r>
              <w:rPr>
                <w:rFonts w:ascii="Times New Roman" w:hAnsi="Times New Roman"/>
                <w:sz w:val="20"/>
              </w:rPr>
              <w:t>Franchise rights</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1,602</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1,535</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1,547</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1,515</w:t>
            </w:r>
          </w:p>
        </w:tc>
        <w:tc>
          <w:tcPr>
            <w:tcW w:w="131" w:type="dxa"/>
            <w:tcBorders/>
            <w:shd w:fill="auto" w:val="clear"/>
            <w:vAlign w:val="bottom"/>
          </w:tcPr>
          <w:p>
            <w:pPr>
              <w:pStyle w:val="TableContents"/>
              <w:spacing w:before="0" w:after="283"/>
              <w:rPr/>
            </w:pPr>
            <w:r>
              <w:rPr/>
              <w:t>  </w:t>
            </w:r>
          </w:p>
        </w:tc>
      </w:tr>
      <w:tr>
        <w:trPr/>
        <w:tc>
          <w:tcPr>
            <w:tcW w:w="1652"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financing costs</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7,607</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5,114</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1,470</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2,411</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2,149</w:t>
            </w:r>
          </w:p>
        </w:tc>
        <w:tc>
          <w:tcPr>
            <w:tcW w:w="131" w:type="dxa"/>
            <w:tcBorders/>
            <w:shd w:fill="CCEEFF" w:val="clear"/>
            <w:vAlign w:val="bottom"/>
          </w:tcPr>
          <w:p>
            <w:pPr>
              <w:pStyle w:val="TableContents"/>
              <w:spacing w:before="0" w:after="283"/>
              <w:rPr/>
            </w:pPr>
            <w:r>
              <w:rPr/>
              <w:t>  </w:t>
            </w:r>
          </w:p>
        </w:tc>
      </w:tr>
      <w:tr>
        <w:trPr/>
        <w:tc>
          <w:tcPr>
            <w:tcW w:w="1652" w:type="dxa"/>
            <w:tcBorders/>
            <w:shd w:fill="auto" w:val="clear"/>
          </w:tcPr>
          <w:p>
            <w:pPr>
              <w:pStyle w:val="TableContents"/>
              <w:spacing w:before="0" w:after="283"/>
              <w:rPr>
                <w:rFonts w:ascii="Times New Roman" w:hAnsi="Times New Roman"/>
                <w:sz w:val="20"/>
              </w:rPr>
            </w:pPr>
            <w:r>
              <w:rPr>
                <w:rFonts w:ascii="Times New Roman" w:hAnsi="Times New Roman"/>
                <w:sz w:val="20"/>
              </w:rPr>
              <w:t>Contractual relationship</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14,604</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13,197</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1652"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31" w:type="dxa"/>
            <w:tcBorders/>
            <w:shd w:fill="CCEEFF" w:val="clear"/>
            <w:vAlign w:val="bottom"/>
          </w:tcPr>
          <w:p>
            <w:pPr>
              <w:pStyle w:val="TableContents"/>
              <w:spacing w:before="0" w:after="283"/>
              <w:rPr/>
            </w:pPr>
            <w:r>
              <w:rPr/>
              <w:t>  </w:t>
            </w:r>
          </w:p>
        </w:tc>
      </w:tr>
      <w:tr>
        <w:trPr/>
        <w:tc>
          <w:tcPr>
            <w:tcW w:w="1652"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8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6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495"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1652"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30,749</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22,971</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6,588</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2,416</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9,650</w:t>
            </w:r>
          </w:p>
        </w:tc>
        <w:tc>
          <w:tcPr>
            <w:tcW w:w="12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6,084</w:t>
            </w:r>
          </w:p>
        </w:tc>
        <w:tc>
          <w:tcPr>
            <w:tcW w:w="131" w:type="dxa"/>
            <w:tcBorders/>
            <w:shd w:fill="auto" w:val="clear"/>
            <w:vAlign w:val="bottom"/>
          </w:tcPr>
          <w:p>
            <w:pPr>
              <w:pStyle w:val="TableContents"/>
              <w:spacing w:before="0" w:after="283"/>
              <w:rPr/>
            </w:pPr>
            <w:r>
              <w:rPr/>
              <w:t>  </w:t>
            </w:r>
          </w:p>
        </w:tc>
      </w:tr>
      <w:tr>
        <w:trPr/>
        <w:tc>
          <w:tcPr>
            <w:tcW w:w="1652"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8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283"/>
              <w:rPr/>
            </w:pPr>
            <w:r>
              <w:rPr/>
              <w:t> </w:t>
            </w:r>
          </w:p>
        </w:tc>
        <w:tc>
          <w:tcPr>
            <w:tcW w:w="6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495"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our credit agreement. The following table presents the amount and classification of amortization recognized as expense in each of the periods presented: </w:t>
      </w:r>
    </w:p>
    <w:p>
      <w:pPr>
        <w:pStyle w:val="TextBody"/>
        <w:spacing w:before="0" w:after="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540"/>
        <w:gridCol w:w="285"/>
        <w:gridCol w:w="125"/>
        <w:gridCol w:w="523"/>
        <w:gridCol w:w="120"/>
        <w:gridCol w:w="285"/>
        <w:gridCol w:w="125"/>
        <w:gridCol w:w="338"/>
        <w:gridCol w:w="120"/>
        <w:gridCol w:w="285"/>
        <w:gridCol w:w="125"/>
        <w:gridCol w:w="523"/>
        <w:gridCol w:w="119"/>
        <w:gridCol w:w="285"/>
        <w:gridCol w:w="125"/>
        <w:gridCol w:w="338"/>
        <w:gridCol w:w="127"/>
      </w:tblGrid>
      <w:tr>
        <w:trPr/>
        <w:tc>
          <w:tcPr>
            <w:tcW w:w="554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55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516"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515"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Six Months Ended</w:t>
            </w:r>
          </w:p>
        </w:tc>
        <w:tc>
          <w:tcPr>
            <w:tcW w:w="127"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51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51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7"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64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4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64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1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4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7"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3436"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7" w:type="dxa"/>
            <w:tcBorders/>
            <w:shd w:fill="auto" w:val="clear"/>
            <w:vAlign w:val="bottom"/>
          </w:tcPr>
          <w:p>
            <w:pPr>
              <w:pStyle w:val="TableContents"/>
              <w:spacing w:before="0" w:after="283"/>
              <w:rPr/>
            </w:pPr>
            <w:r>
              <w:rPr/>
              <w:t> </w:t>
            </w:r>
          </w:p>
        </w:tc>
      </w:tr>
      <w:tr>
        <w:trPr/>
        <w:tc>
          <w:tcPr>
            <w:tcW w:w="5540"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expense</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1,697</w:t>
            </w:r>
          </w:p>
        </w:tc>
        <w:tc>
          <w:tcPr>
            <w:tcW w:w="12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12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1,924</w:t>
            </w:r>
          </w:p>
        </w:tc>
        <w:tc>
          <w:tcPr>
            <w:tcW w:w="11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127" w:type="dxa"/>
            <w:tcBorders/>
            <w:shd w:fill="CCEEFF" w:val="clear"/>
            <w:vAlign w:val="bottom"/>
          </w:tcPr>
          <w:p>
            <w:pPr>
              <w:pStyle w:val="TableContents"/>
              <w:spacing w:before="0" w:after="283"/>
              <w:rPr/>
            </w:pPr>
            <w:r>
              <w:rPr/>
              <w:t>  </w:t>
            </w:r>
          </w:p>
        </w:tc>
      </w:tr>
      <w:tr>
        <w:trPr/>
        <w:tc>
          <w:tcPr>
            <w:tcW w:w="5540" w:type="dxa"/>
            <w:tcBorders/>
            <w:shd w:fill="auto"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1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7" w:type="dxa"/>
            <w:tcBorders/>
            <w:shd w:fill="auto" w:val="clear"/>
            <w:vAlign w:val="bottom"/>
          </w:tcPr>
          <w:p>
            <w:pPr>
              <w:pStyle w:val="TableContents"/>
              <w:spacing w:before="0" w:after="283"/>
              <w:rPr/>
            </w:pPr>
            <w:r>
              <w:rPr/>
              <w:t>  </w:t>
            </w:r>
          </w:p>
        </w:tc>
      </w:tr>
      <w:tr>
        <w:trPr/>
        <w:tc>
          <w:tcPr>
            <w:tcW w:w="5540"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444</w:t>
            </w:r>
          </w:p>
        </w:tc>
        <w:tc>
          <w:tcPr>
            <w:tcW w:w="12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595</w:t>
            </w:r>
          </w:p>
        </w:tc>
        <w:tc>
          <w:tcPr>
            <w:tcW w:w="11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27" w:type="dxa"/>
            <w:tcBorders/>
            <w:shd w:fill="CCEEFF"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2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33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23"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338"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540" w:type="dxa"/>
            <w:tcBorders/>
            <w:shd w:fill="auto" w:val="clear"/>
          </w:tcPr>
          <w:p>
            <w:pPr>
              <w:pStyle w:val="TableContents"/>
              <w:spacing w:before="0" w:after="283"/>
              <w:rPr>
                <w:rFonts w:ascii="Times New Roman" w:hAnsi="Times New Roman"/>
                <w:sz w:val="20"/>
              </w:rPr>
            </w:pPr>
            <w:r>
              <w:rPr>
                <w:rFonts w:ascii="Times New Roman" w:hAnsi="Times New Roman"/>
                <w:sz w:val="20"/>
              </w:rPr>
              <w:t>Total expense from the amortization of definite-lived intangible assets</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2,164</w:t>
            </w:r>
          </w:p>
        </w:tc>
        <w:tc>
          <w:tcPr>
            <w:tcW w:w="12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358</w:t>
            </w:r>
          </w:p>
        </w:tc>
        <w:tc>
          <w:tcPr>
            <w:tcW w:w="12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2,568</w:t>
            </w:r>
          </w:p>
        </w:tc>
        <w:tc>
          <w:tcPr>
            <w:tcW w:w="11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w:t>
            </w:r>
          </w:p>
        </w:tc>
        <w:tc>
          <w:tcPr>
            <w:tcW w:w="127"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following table presents our estimate of amortization expense for definite-lived intangible assets: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3397"/>
        <w:gridCol w:w="467"/>
        <w:gridCol w:w="262"/>
        <w:gridCol w:w="1022"/>
        <w:gridCol w:w="120"/>
        <w:gridCol w:w="467"/>
        <w:gridCol w:w="311"/>
        <w:gridCol w:w="848"/>
        <w:gridCol w:w="120"/>
        <w:gridCol w:w="467"/>
        <w:gridCol w:w="193"/>
        <w:gridCol w:w="774"/>
        <w:gridCol w:w="124"/>
      </w:tblGrid>
      <w:tr>
        <w:trPr/>
        <w:tc>
          <w:tcPr>
            <w:tcW w:w="339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3397"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sz w:val="14"/>
              </w:rPr>
            </w:pPr>
            <w:r>
              <w:rPr>
                <w:rFonts w:ascii="Times New Roman" w:hAnsi="Times New Roman"/>
                <w:sz w:val="14"/>
              </w:rPr>
              <w:t>Fiscal Years Ended September 30,</w:t>
            </w:r>
          </w:p>
        </w:tc>
        <w:tc>
          <w:tcPr>
            <w:tcW w:w="467" w:type="dxa"/>
            <w:tcBorders/>
            <w:shd w:fill="auto" w:val="clear"/>
            <w:vAlign w:val="bottom"/>
          </w:tcPr>
          <w:p>
            <w:pPr>
              <w:pStyle w:val="TableContents"/>
              <w:spacing w:before="0" w:after="283"/>
              <w:rPr/>
            </w:pPr>
            <w:r>
              <w:rPr/>
              <w:t>  </w:t>
            </w:r>
          </w:p>
        </w:tc>
        <w:tc>
          <w:tcPr>
            <w:tcW w:w="12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Amortization expense</w:t>
            </w:r>
          </w:p>
        </w:tc>
        <w:tc>
          <w:tcPr>
            <w:tcW w:w="12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1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Operations expense</w:t>
            </w:r>
          </w:p>
        </w:tc>
        <w:tc>
          <w:tcPr>
            <w:tcW w:w="12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Interest expense</w:t>
            </w:r>
          </w:p>
        </w:tc>
        <w:tc>
          <w:tcPr>
            <w:tcW w:w="124" w:type="dxa"/>
            <w:tcBorders/>
            <w:shd w:fill="auto" w:val="clear"/>
            <w:vAlign w:val="bottom"/>
          </w:tcPr>
          <w:p>
            <w:pPr>
              <w:pStyle w:val="TableContents"/>
              <w:spacing w:before="0" w:after="283"/>
              <w:rPr/>
            </w:pPr>
            <w:r>
              <w:rPr/>
              <w:t> </w:t>
            </w:r>
          </w:p>
        </w:tc>
      </w:tr>
      <w:tr>
        <w:trPr/>
        <w:tc>
          <w:tcPr>
            <w:tcW w:w="3397"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4584"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3397"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2012</w:t>
            </w:r>
          </w:p>
        </w:tc>
        <w:tc>
          <w:tcPr>
            <w:tcW w:w="46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6,356</w:t>
            </w:r>
          </w:p>
        </w:tc>
        <w:tc>
          <w:tcPr>
            <w:tcW w:w="12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12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2,341</w:t>
            </w:r>
          </w:p>
        </w:tc>
        <w:tc>
          <w:tcPr>
            <w:tcW w:w="124" w:type="dxa"/>
            <w:tcBorders/>
            <w:shd w:fill="CCEEFF" w:val="clear"/>
            <w:vAlign w:val="bottom"/>
          </w:tcPr>
          <w:p>
            <w:pPr>
              <w:pStyle w:val="TableContents"/>
              <w:spacing w:before="0" w:after="283"/>
              <w:rPr/>
            </w:pPr>
            <w:r>
              <w:rPr/>
              <w:t>  </w:t>
            </w:r>
          </w:p>
        </w:tc>
      </w:tr>
      <w:tr>
        <w:trPr/>
        <w:tc>
          <w:tcPr>
            <w:tcW w:w="339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2013</w:t>
            </w:r>
          </w:p>
        </w:tc>
        <w:tc>
          <w:tcPr>
            <w:tcW w:w="4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8,665</w:t>
            </w:r>
          </w:p>
        </w:tc>
        <w:tc>
          <w:tcPr>
            <w:tcW w:w="12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2,031</w:t>
            </w:r>
          </w:p>
        </w:tc>
        <w:tc>
          <w:tcPr>
            <w:tcW w:w="124" w:type="dxa"/>
            <w:tcBorders/>
            <w:shd w:fill="auto" w:val="clear"/>
            <w:vAlign w:val="bottom"/>
          </w:tcPr>
          <w:p>
            <w:pPr>
              <w:pStyle w:val="TableContents"/>
              <w:spacing w:before="0" w:after="283"/>
              <w:rPr/>
            </w:pPr>
            <w:r>
              <w:rPr/>
              <w:t>  </w:t>
            </w:r>
          </w:p>
        </w:tc>
      </w:tr>
      <w:tr>
        <w:trPr/>
        <w:tc>
          <w:tcPr>
            <w:tcW w:w="3397"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2014</w:t>
            </w:r>
          </w:p>
        </w:tc>
        <w:tc>
          <w:tcPr>
            <w:tcW w:w="46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1,399</w:t>
            </w:r>
          </w:p>
        </w:tc>
        <w:tc>
          <w:tcPr>
            <w:tcW w:w="12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2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670</w:t>
            </w:r>
          </w:p>
        </w:tc>
        <w:tc>
          <w:tcPr>
            <w:tcW w:w="124" w:type="dxa"/>
            <w:tcBorders/>
            <w:shd w:fill="CCEEFF" w:val="clear"/>
            <w:vAlign w:val="bottom"/>
          </w:tcPr>
          <w:p>
            <w:pPr>
              <w:pStyle w:val="TableContents"/>
              <w:spacing w:before="0" w:after="283"/>
              <w:rPr/>
            </w:pPr>
            <w:r>
              <w:rPr/>
              <w:t>  </w:t>
            </w:r>
          </w:p>
        </w:tc>
      </w:tr>
      <w:tr>
        <w:trPr/>
        <w:tc>
          <w:tcPr>
            <w:tcW w:w="339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2015</w:t>
            </w:r>
          </w:p>
        </w:tc>
        <w:tc>
          <w:tcPr>
            <w:tcW w:w="46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w:t>
            </w:r>
          </w:p>
        </w:tc>
        <w:tc>
          <w:tcPr>
            <w:tcW w:w="12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w:t>
            </w:r>
          </w:p>
        </w:tc>
        <w:tc>
          <w:tcPr>
            <w:tcW w:w="12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w:t>
            </w:r>
          </w:p>
        </w:tc>
        <w:tc>
          <w:tcPr>
            <w:tcW w:w="124" w:type="dxa"/>
            <w:tcBorders/>
            <w:shd w:fill="auto" w:val="clear"/>
            <w:vAlign w:val="bottom"/>
          </w:tcPr>
          <w:p>
            <w:pPr>
              <w:pStyle w:val="TableContents"/>
              <w:spacing w:before="0" w:after="283"/>
              <w:rPr/>
            </w:pPr>
            <w:r>
              <w:rPr/>
              <w:t>  </w:t>
            </w:r>
          </w:p>
        </w:tc>
      </w:tr>
      <w:tr>
        <w:trPr/>
        <w:tc>
          <w:tcPr>
            <w:tcW w:w="3397"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2016</w:t>
            </w:r>
          </w:p>
        </w:tc>
        <w:tc>
          <w:tcPr>
            <w:tcW w:w="46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2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2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As acquisitions and dispositions occur in the future, amortization expense may vary from these estimates.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Note F: Long-term Debt </w:t>
      </w:r>
    </w:p>
    <w:p>
      <w:pPr>
        <w:pStyle w:val="TextBody"/>
        <w:spacing w:before="90" w:after="0"/>
        <w:rPr>
          <w:rFonts w:ascii="Times New Roman" w:hAnsi="Times New Roman"/>
          <w:sz w:val="20"/>
        </w:rPr>
      </w:pPr>
      <w:r>
        <w:rPr>
          <w:rFonts w:ascii="Times New Roman" w:hAnsi="Times New Roman"/>
          <w:sz w:val="20"/>
        </w:rPr>
        <w:t xml:space="preserve">The table presents our long-term debt instruments and balances outstanding at March 31, 2012 and 2011 and September 30, 2011 (in thousands): </w:t>
      </w:r>
    </w:p>
    <w:p>
      <w:pPr>
        <w:pStyle w:val="TextBody"/>
        <w:spacing w:before="0" w:after="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379"/>
        <w:gridCol w:w="314"/>
        <w:gridCol w:w="125"/>
        <w:gridCol w:w="727"/>
        <w:gridCol w:w="120"/>
        <w:gridCol w:w="314"/>
        <w:gridCol w:w="125"/>
        <w:gridCol w:w="727"/>
        <w:gridCol w:w="120"/>
        <w:gridCol w:w="314"/>
        <w:gridCol w:w="124"/>
        <w:gridCol w:w="595"/>
        <w:gridCol w:w="120"/>
        <w:gridCol w:w="314"/>
        <w:gridCol w:w="139"/>
        <w:gridCol w:w="703"/>
        <w:gridCol w:w="128"/>
      </w:tblGrid>
      <w:tr>
        <w:trPr/>
        <w:tc>
          <w:tcPr>
            <w:tcW w:w="437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437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13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2012</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28" w:type="dxa"/>
            <w:tcBorders/>
            <w:shd w:fill="auto" w:val="clear"/>
            <w:vAlign w:val="bottom"/>
          </w:tcPr>
          <w:p>
            <w:pPr>
              <w:pStyle w:val="TableContents"/>
              <w:spacing w:before="0" w:after="283"/>
              <w:rPr/>
            </w:pPr>
            <w:r>
              <w:rPr/>
              <w:t> </w:t>
            </w:r>
          </w:p>
        </w:tc>
      </w:tr>
      <w:tr>
        <w:trPr/>
        <w:tc>
          <w:tcPr>
            <w:tcW w:w="4379"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Carrying</w:t>
              <w:br/>
              <w:t>Amount</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Contractual</w:t>
              <w:br/>
              <w:t>Amount</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8" w:type="dxa"/>
            <w:tcBorders/>
            <w:shd w:fill="auto" w:val="clear"/>
            <w:vAlign w:val="bottom"/>
          </w:tcPr>
          <w:p>
            <w:pPr>
              <w:pStyle w:val="TableContents"/>
              <w:spacing w:before="0" w:after="283"/>
              <w:rPr/>
            </w:pPr>
            <w:r>
              <w:rPr/>
              <w:t> </w:t>
            </w:r>
          </w:p>
        </w:tc>
      </w:tr>
      <w:tr>
        <w:trPr/>
        <w:tc>
          <w:tcPr>
            <w:tcW w:w="4379" w:type="dxa"/>
            <w:tcBorders/>
            <w:shd w:fill="CCEEFF" w:val="clear"/>
          </w:tcPr>
          <w:p>
            <w:pPr>
              <w:pStyle w:val="TableContents"/>
              <w:spacing w:before="0" w:after="283"/>
              <w:rPr>
                <w:rFonts w:ascii="Times New Roman" w:hAnsi="Times New Roman"/>
                <w:b/>
                <w:sz w:val="20"/>
              </w:rPr>
            </w:pPr>
            <w:r>
              <w:rPr>
                <w:rFonts w:ascii="Times New Roman" w:hAnsi="Times New Roman"/>
                <w:b/>
                <w:sz w:val="20"/>
              </w:rPr>
              <w:t>Recourse to EZCORP:</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70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4379" w:type="dxa"/>
            <w:tcBorders/>
            <w:shd w:fill="auto" w:val="clear"/>
          </w:tcPr>
          <w:p>
            <w:pPr>
              <w:pStyle w:val="TableContents"/>
              <w:spacing w:before="0" w:after="283"/>
              <w:rPr>
                <w:rFonts w:ascii="Times New Roman" w:hAnsi="Times New Roman"/>
                <w:sz w:val="20"/>
              </w:rPr>
            </w:pPr>
            <w:r>
              <w:rPr>
                <w:rFonts w:ascii="Times New Roman" w:hAnsi="Times New Roman"/>
                <w:sz w:val="20"/>
              </w:rPr>
              <w:t>Domestic line of credit up to $175,000 due 2015</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28" w:type="dxa"/>
            <w:tcBorders/>
            <w:shd w:fill="auto" w:val="clear"/>
            <w:vAlign w:val="bottom"/>
          </w:tcPr>
          <w:p>
            <w:pPr>
              <w:pStyle w:val="TableContents"/>
              <w:spacing w:before="0" w:after="283"/>
              <w:rPr/>
            </w:pPr>
            <w:r>
              <w:rPr/>
              <w:t>  </w:t>
            </w:r>
          </w:p>
        </w:tc>
      </w:tr>
      <w:tr>
        <w:trPr/>
        <w:tc>
          <w:tcPr>
            <w:tcW w:w="4379" w:type="dxa"/>
            <w:tcBorders/>
            <w:shd w:fill="CCEEFF" w:val="clear"/>
          </w:tcPr>
          <w:p>
            <w:pPr>
              <w:pStyle w:val="TableContents"/>
              <w:spacing w:before="0" w:after="283"/>
              <w:rPr>
                <w:rFonts w:ascii="Times New Roman" w:hAnsi="Times New Roman"/>
                <w:sz w:val="20"/>
              </w:rPr>
            </w:pPr>
            <w:r>
              <w:rPr>
                <w:rFonts w:ascii="Times New Roman" w:hAnsi="Times New Roman"/>
                <w:sz w:val="20"/>
              </w:rPr>
              <w:t>Term debt due 2012</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rHeight w:val="120" w:hRule="atLeast"/>
        </w:trPr>
        <w:tc>
          <w:tcPr>
            <w:tcW w:w="4379" w:type="dxa"/>
            <w:tcBorders/>
            <w:shd w:fill="auto" w:val="clear"/>
            <w:vAlign w:val="center"/>
          </w:tcPr>
          <w:p>
            <w:pPr>
              <w:pStyle w:val="TableContents"/>
              <w:spacing w:before="0" w:after="283"/>
              <w:rPr>
                <w:sz w:val="4"/>
                <w:szCs w:val="4"/>
              </w:rPr>
            </w:pPr>
            <w:r>
              <w:rPr>
                <w:sz w:val="4"/>
                <w:szCs w:val="4"/>
              </w:rPr>
            </w:r>
          </w:p>
        </w:tc>
        <w:tc>
          <w:tcPr>
            <w:tcW w:w="1286" w:type="dxa"/>
            <w:gridSpan w:val="4"/>
            <w:tcBorders/>
            <w:shd w:fill="auto" w:val="clear"/>
            <w:vAlign w:val="center"/>
          </w:tcPr>
          <w:p>
            <w:pPr>
              <w:pStyle w:val="TableContents"/>
              <w:spacing w:before="0" w:after="283"/>
              <w:rPr>
                <w:sz w:val="4"/>
                <w:szCs w:val="4"/>
              </w:rPr>
            </w:pPr>
            <w:r>
              <w:rPr>
                <w:sz w:val="4"/>
                <w:szCs w:val="4"/>
              </w:rPr>
            </w:r>
          </w:p>
        </w:tc>
        <w:tc>
          <w:tcPr>
            <w:tcW w:w="1286" w:type="dxa"/>
            <w:gridSpan w:val="4"/>
            <w:tcBorders/>
            <w:shd w:fill="auto" w:val="clear"/>
            <w:vAlign w:val="center"/>
          </w:tcPr>
          <w:p>
            <w:pPr>
              <w:pStyle w:val="TableContents"/>
              <w:spacing w:before="0" w:after="283"/>
              <w:rPr>
                <w:sz w:val="4"/>
                <w:szCs w:val="4"/>
              </w:rPr>
            </w:pPr>
            <w:r>
              <w:rPr>
                <w:sz w:val="4"/>
                <w:szCs w:val="4"/>
              </w:rPr>
            </w:r>
          </w:p>
        </w:tc>
        <w:tc>
          <w:tcPr>
            <w:tcW w:w="1153" w:type="dxa"/>
            <w:gridSpan w:val="4"/>
            <w:tcBorders/>
            <w:shd w:fill="auto" w:val="clear"/>
            <w:vAlign w:val="center"/>
          </w:tcPr>
          <w:p>
            <w:pPr>
              <w:pStyle w:val="TableContents"/>
              <w:spacing w:before="0" w:after="283"/>
              <w:rPr>
                <w:sz w:val="4"/>
                <w:szCs w:val="4"/>
              </w:rPr>
            </w:pPr>
            <w:r>
              <w:rPr>
                <w:sz w:val="4"/>
                <w:szCs w:val="4"/>
              </w:rPr>
            </w:r>
          </w:p>
        </w:tc>
        <w:tc>
          <w:tcPr>
            <w:tcW w:w="1284" w:type="dxa"/>
            <w:gridSpan w:val="4"/>
            <w:tcBorders/>
            <w:shd w:fill="auto" w:val="clear"/>
            <w:vAlign w:val="center"/>
          </w:tcPr>
          <w:p>
            <w:pPr>
              <w:pStyle w:val="TableContents"/>
              <w:spacing w:before="0" w:after="283"/>
              <w:rPr>
                <w:sz w:val="4"/>
                <w:szCs w:val="4"/>
              </w:rPr>
            </w:pPr>
            <w:r>
              <w:rPr>
                <w:sz w:val="4"/>
                <w:szCs w:val="4"/>
              </w:rPr>
            </w:r>
          </w:p>
        </w:tc>
      </w:tr>
      <w:tr>
        <w:trPr/>
        <w:tc>
          <w:tcPr>
            <w:tcW w:w="4379" w:type="dxa"/>
            <w:tcBorders/>
            <w:shd w:fill="auto" w:val="clear"/>
          </w:tcPr>
          <w:p>
            <w:pPr>
              <w:pStyle w:val="TableContents"/>
              <w:spacing w:before="0" w:after="283"/>
              <w:rPr>
                <w:rFonts w:ascii="Times New Roman" w:hAnsi="Times New Roman"/>
                <w:b/>
                <w:sz w:val="20"/>
              </w:rPr>
            </w:pPr>
            <w:r>
              <w:rPr>
                <w:rFonts w:ascii="Times New Roman" w:hAnsi="Times New Roman"/>
                <w:b/>
                <w:sz w:val="20"/>
              </w:rPr>
              <w:t>Non-recourse to EZCORP:</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70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4379" w:type="dxa"/>
            <w:tcBorders/>
            <w:shd w:fill="CCEEFF" w:val="clear"/>
          </w:tcPr>
          <w:p>
            <w:pPr>
              <w:pStyle w:val="TableContents"/>
              <w:spacing w:before="0" w:after="283"/>
              <w:rPr>
                <w:rFonts w:ascii="Times New Roman" w:hAnsi="Times New Roman"/>
                <w:sz w:val="20"/>
              </w:rPr>
            </w:pPr>
            <w:r>
              <w:rPr>
                <w:rFonts w:ascii="Times New Roman" w:hAnsi="Times New Roman"/>
                <w:sz w:val="20"/>
              </w:rPr>
              <w:t>10% unsecured notes due 2013</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1,820</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1,820</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379" w:type="dxa"/>
            <w:tcBorders/>
            <w:shd w:fill="auto" w:val="clear"/>
          </w:tcPr>
          <w:p>
            <w:pPr>
              <w:pStyle w:val="TableContents"/>
              <w:spacing w:before="0" w:after="283"/>
              <w:rPr>
                <w:rFonts w:ascii="Times New Roman" w:hAnsi="Times New Roman"/>
                <w:sz w:val="20"/>
              </w:rPr>
            </w:pPr>
            <w:r>
              <w:rPr>
                <w:rFonts w:ascii="Times New Roman" w:hAnsi="Times New Roman"/>
                <w:sz w:val="20"/>
              </w:rPr>
              <w:t>16% unsecured notes due 2013</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5,404</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5,141</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9" w:type="dxa"/>
            <w:tcBorders/>
            <w:shd w:fill="CCEEFF" w:val="clear"/>
          </w:tcPr>
          <w:p>
            <w:pPr>
              <w:pStyle w:val="TableContents"/>
              <w:spacing w:before="0" w:after="283"/>
              <w:rPr>
                <w:rFonts w:ascii="Times New Roman" w:hAnsi="Times New Roman"/>
                <w:sz w:val="20"/>
              </w:rPr>
            </w:pPr>
            <w:r>
              <w:rPr>
                <w:rFonts w:ascii="Times New Roman" w:hAnsi="Times New Roman"/>
                <w:sz w:val="20"/>
              </w:rPr>
              <w:t>20% unsecured notes due 2013</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12,730</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10,854</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379" w:type="dxa"/>
            <w:tcBorders/>
            <w:shd w:fill="auto" w:val="clear"/>
          </w:tcPr>
          <w:p>
            <w:pPr>
              <w:pStyle w:val="TableContents"/>
              <w:spacing w:before="0" w:after="283"/>
              <w:rPr>
                <w:rFonts w:ascii="Times New Roman" w:hAnsi="Times New Roman"/>
                <w:sz w:val="20"/>
              </w:rPr>
            </w:pPr>
            <w:r>
              <w:rPr>
                <w:rFonts w:ascii="Times New Roman" w:hAnsi="Times New Roman"/>
                <w:sz w:val="20"/>
              </w:rPr>
              <w:t>14% secured notes due 2013</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3,327</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3,079</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9" w:type="dxa"/>
            <w:tcBorders/>
            <w:shd w:fill="CCEEFF" w:val="clear"/>
          </w:tcPr>
          <w:p>
            <w:pPr>
              <w:pStyle w:val="TableContents"/>
              <w:spacing w:before="0" w:after="283"/>
              <w:rPr>
                <w:rFonts w:ascii="Times New Roman" w:hAnsi="Times New Roman"/>
                <w:sz w:val="20"/>
              </w:rPr>
            </w:pPr>
            <w:r>
              <w:rPr>
                <w:rFonts w:ascii="Times New Roman" w:hAnsi="Times New Roman"/>
                <w:sz w:val="20"/>
              </w:rPr>
              <w:t>17% secured notes due 2014</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33,710</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28,821</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379" w:type="dxa"/>
            <w:tcBorders/>
            <w:shd w:fill="auto" w:val="clear"/>
          </w:tcPr>
          <w:p>
            <w:pPr>
              <w:pStyle w:val="TableContents"/>
              <w:spacing w:before="0" w:after="283"/>
              <w:rPr>
                <w:rFonts w:ascii="Times New Roman" w:hAnsi="Times New Roman"/>
                <w:sz w:val="20"/>
              </w:rPr>
            </w:pPr>
            <w:r>
              <w:rPr>
                <w:rFonts w:ascii="Times New Roman" w:hAnsi="Times New Roman"/>
                <w:sz w:val="20"/>
              </w:rPr>
              <w:t>25% secured notes due 2015</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6,675</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5,125</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9" w:type="dxa"/>
            <w:tcBorders/>
            <w:shd w:fill="CCEEFF" w:val="clear"/>
          </w:tcPr>
          <w:p>
            <w:pPr>
              <w:pStyle w:val="TableContents"/>
              <w:spacing w:before="0" w:after="283"/>
              <w:rPr>
                <w:rFonts w:ascii="Times New Roman" w:hAnsi="Times New Roman"/>
                <w:sz w:val="20"/>
              </w:rPr>
            </w:pPr>
            <w:r>
              <w:rPr>
                <w:rFonts w:ascii="Times New Roman" w:hAnsi="Times New Roman"/>
                <w:sz w:val="20"/>
              </w:rPr>
              <w:t>18% secured notes due 2015</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26,391</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20,683</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379" w:type="dxa"/>
            <w:tcBorders/>
            <w:shd w:fill="auto" w:val="clear"/>
          </w:tcPr>
          <w:p>
            <w:pPr>
              <w:pStyle w:val="TableContents"/>
              <w:spacing w:before="0" w:after="283"/>
              <w:rPr>
                <w:rFonts w:ascii="Times New Roman" w:hAnsi="Times New Roman"/>
                <w:sz w:val="20"/>
              </w:rPr>
            </w:pPr>
            <w:r>
              <w:rPr>
                <w:rFonts w:ascii="Times New Roman" w:hAnsi="Times New Roman"/>
                <w:sz w:val="20"/>
              </w:rPr>
              <w:t>20% secured notes due 2015</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10,783</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7,335</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9" w:type="dxa"/>
            <w:tcBorders/>
            <w:shd w:fill="CCEEFF" w:val="clear"/>
          </w:tcPr>
          <w:p>
            <w:pPr>
              <w:pStyle w:val="TableContents"/>
              <w:spacing w:before="0" w:after="283"/>
              <w:rPr>
                <w:rFonts w:ascii="Times New Roman" w:hAnsi="Times New Roman"/>
                <w:sz w:val="20"/>
              </w:rPr>
            </w:pPr>
            <w:r>
              <w:rPr>
                <w:rFonts w:ascii="Times New Roman" w:hAnsi="Times New Roman"/>
                <w:sz w:val="20"/>
              </w:rPr>
              <w:t>10% unsecured notes due 2016</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1,514</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1,514</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379"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5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703"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379" w:type="dxa"/>
            <w:tcBorders/>
            <w:shd w:fill="auto" w:val="clear"/>
          </w:tcPr>
          <w:p>
            <w:pPr>
              <w:pStyle w:val="TableContents"/>
              <w:spacing w:before="0" w:after="283"/>
              <w:rPr>
                <w:rFonts w:ascii="Times New Roman" w:hAnsi="Times New Roman"/>
                <w:sz w:val="20"/>
              </w:rPr>
            </w:pPr>
            <w:r>
              <w:rPr>
                <w:rFonts w:ascii="Times New Roman" w:hAnsi="Times New Roman"/>
                <w:sz w:val="20"/>
              </w:rPr>
              <w:t>Total debt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132,354</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114,372</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28" w:type="dxa"/>
            <w:tcBorders/>
            <w:shd w:fill="auto" w:val="clear"/>
            <w:vAlign w:val="bottom"/>
          </w:tcPr>
          <w:p>
            <w:pPr>
              <w:pStyle w:val="TableContents"/>
              <w:spacing w:before="0" w:after="283"/>
              <w:rPr/>
            </w:pPr>
            <w:r>
              <w:rPr/>
              <w:t>  </w:t>
            </w:r>
          </w:p>
        </w:tc>
      </w:tr>
      <w:tr>
        <w:trPr/>
        <w:tc>
          <w:tcPr>
            <w:tcW w:w="4379"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5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703"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On May 10, 2011, we entered into a new senior secured credit agreement with a syndicate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our $17.5 million outstanding debt. The new credit facility increases our available credit and provides greater flexibility to make investments and acquisitions both domestically and internationally. </w:t>
      </w:r>
    </w:p>
    <w:p>
      <w:pPr>
        <w:pStyle w:val="TextBody"/>
        <w:spacing w:before="180" w:after="0"/>
        <w:rPr>
          <w:rFonts w:ascii="Times New Roman" w:hAnsi="Times New Roman"/>
          <w:sz w:val="20"/>
        </w:rPr>
      </w:pPr>
      <w:r>
        <w:rPr>
          <w:rFonts w:ascii="Times New Roman" w:hAnsi="Times New Roman"/>
          <w:sz w:val="20"/>
        </w:rPr>
        <w:t xml:space="preserve">Pursuant to the credit agreement, we may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pay a commitment fee of 37.5 to 50 basis points depending on our leverage ratio calculated at the end of each quarter. From the closing date to approximately October 31, 2011, we paid a minimum interest rate of LIBOR plus 250 basis points or the banks base rate plus 150 basis points, at our option, and a commitment fee of 50 basis points on the unused portion of the credit line. Terms of the credit agreement require, among other things, that we meet certain financial covenants. At March 31, 2012, we were in compliance with all covenants. We expect the recorded value of our debt to approximate its fair value as it is all variable rate debt and carries no pre-payment penalty. </w:t>
      </w:r>
    </w:p>
    <w:p>
      <w:pPr>
        <w:pStyle w:val="TextBody"/>
        <w:spacing w:before="180" w:after="0"/>
        <w:rPr>
          <w:rFonts w:ascii="Times New Roman" w:hAnsi="Times New Roman"/>
          <w:sz w:val="20"/>
        </w:rPr>
      </w:pPr>
      <w:r>
        <w:rPr>
          <w:rFonts w:ascii="Times New Roman" w:hAnsi="Times New Roman"/>
          <w:sz w:val="20"/>
        </w:rPr>
        <w:t xml:space="preserve">Deferred financing costs related to our credit agreement are included in intangible assets, net on the balance sheet and are being amortized to interest expense over the term of the agreement. </w:t>
      </w:r>
    </w:p>
    <w:p>
      <w:pPr>
        <w:pStyle w:val="TextBody"/>
        <w:spacing w:before="180" w:after="0"/>
        <w:rPr>
          <w:rFonts w:ascii="Times New Roman" w:hAnsi="Times New Roman"/>
          <w:sz w:val="20"/>
        </w:rPr>
      </w:pPr>
      <w:r>
        <w:rPr>
          <w:rFonts w:ascii="Times New Roman" w:hAnsi="Times New Roman"/>
          <w:sz w:val="20"/>
        </w:rPr>
        <w:t xml:space="preserve">On January 30, 2012, we acquired a 60% ownership interest in Crediamigo, a specialty consumer finance company headquartered in Mexico City. Non-recourse debt amounts in the table above represent Crediamigos third party debt. All secured notes are guaranteed by the Crediamigo loan portfolio. The 14% secured notes require monthly payments of $0.1 million with remaining principal due at maturity. Beginning September 30, 2012, the 18% secured notes require monthly payments of $0.1 million increasing to $0.7 million on November 30, 2012, with the remaining principal due at maturity. On November 30, 2012, the 17% secured notes require monthly payments of $1.0 million, with remaining principal due at maturity. The difference between the carrying amount and contractual amount relates to premium on Crediamigos debt recorded as part of the purchase accounting, which is being amortized as a reduction of interest expense over the life of the debt. </w:t>
      </w:r>
    </w:p>
    <w:p>
      <w:pPr>
        <w:pStyle w:val="TextBody"/>
        <w:spacing w:before="180" w:after="0"/>
        <w:rPr>
          <w:rFonts w:ascii="Times New Roman" w:hAnsi="Times New Roman"/>
          <w:sz w:val="20"/>
        </w:rPr>
      </w:pPr>
      <w:r>
        <w:rPr>
          <w:rFonts w:ascii="Times New Roman" w:hAnsi="Times New Roman"/>
          <w:sz w:val="20"/>
        </w:rPr>
        <w:t xml:space="preserve">Included in the amounts above are notes due to Crediamigos shareholders, which are presented in the table below (in thousands): </w:t>
      </w:r>
    </w:p>
    <w:p>
      <w:pPr>
        <w:pStyle w:val="TextBody"/>
        <w:spacing w:before="0" w:after="0"/>
        <w:rPr/>
      </w:pPr>
      <w:r>
        <w:rPr/>
        <w:t>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209"/>
        <w:gridCol w:w="676"/>
        <w:gridCol w:w="160"/>
        <w:gridCol w:w="771"/>
        <w:gridCol w:w="123"/>
      </w:tblGrid>
      <w:tr>
        <w:trPr/>
        <w:tc>
          <w:tcPr>
            <w:tcW w:w="52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209" w:type="dxa"/>
            <w:tcBorders/>
            <w:shd w:fill="auto" w:val="clear"/>
            <w:vAlign w:val="bottom"/>
          </w:tcPr>
          <w:p>
            <w:pPr>
              <w:pStyle w:val="TableContents"/>
              <w:spacing w:before="0" w:after="283"/>
              <w:rPr/>
            </w:pPr>
            <w:r>
              <w:rPr/>
              <w:t> </w:t>
            </w:r>
          </w:p>
        </w:tc>
        <w:tc>
          <w:tcPr>
            <w:tcW w:w="676" w:type="dxa"/>
            <w:tcBorders/>
            <w:shd w:fill="auto" w:val="clear"/>
            <w:vAlign w:val="bottom"/>
          </w:tcPr>
          <w:p>
            <w:pPr>
              <w:pStyle w:val="TableContents"/>
              <w:spacing w:before="0" w:after="283"/>
              <w:rPr/>
            </w:pPr>
            <w:r>
              <w:rPr/>
              <w:t>  </w:t>
            </w:r>
          </w:p>
        </w:tc>
        <w:tc>
          <w:tcPr>
            <w:tcW w:w="9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2012</w:t>
            </w:r>
          </w:p>
        </w:tc>
        <w:tc>
          <w:tcPr>
            <w:tcW w:w="123" w:type="dxa"/>
            <w:tcBorders/>
            <w:shd w:fill="auto" w:val="clear"/>
            <w:vAlign w:val="bottom"/>
          </w:tcPr>
          <w:p>
            <w:pPr>
              <w:pStyle w:val="TableContents"/>
              <w:spacing w:before="0" w:after="283"/>
              <w:rPr/>
            </w:pPr>
            <w:r>
              <w:rPr/>
              <w:t> </w:t>
            </w:r>
          </w:p>
        </w:tc>
      </w:tr>
      <w:tr>
        <w:trPr/>
        <w:tc>
          <w:tcPr>
            <w:tcW w:w="5209" w:type="dxa"/>
            <w:tcBorders/>
            <w:shd w:fill="CCEEFF" w:val="clear"/>
          </w:tcPr>
          <w:p>
            <w:pPr>
              <w:pStyle w:val="TableContents"/>
              <w:spacing w:before="0" w:after="283"/>
              <w:rPr>
                <w:rFonts w:ascii="Times New Roman" w:hAnsi="Times New Roman"/>
                <w:sz w:val="20"/>
              </w:rPr>
            </w:pPr>
            <w:r>
              <w:rPr>
                <w:rFonts w:ascii="Times New Roman" w:hAnsi="Times New Roman"/>
                <w:sz w:val="20"/>
              </w:rPr>
              <w:t>16% unsecured notes due 2013</w:t>
            </w:r>
          </w:p>
        </w:tc>
        <w:tc>
          <w:tcPr>
            <w:tcW w:w="67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5,141</w:t>
            </w:r>
          </w:p>
        </w:tc>
        <w:tc>
          <w:tcPr>
            <w:tcW w:w="123" w:type="dxa"/>
            <w:tcBorders/>
            <w:shd w:fill="CCEEFF" w:val="clear"/>
            <w:vAlign w:val="bottom"/>
          </w:tcPr>
          <w:p>
            <w:pPr>
              <w:pStyle w:val="TableContents"/>
              <w:spacing w:before="0" w:after="283"/>
              <w:rPr/>
            </w:pPr>
            <w:r>
              <w:rPr/>
              <w:t>  </w:t>
            </w:r>
          </w:p>
        </w:tc>
      </w:tr>
      <w:tr>
        <w:trPr/>
        <w:tc>
          <w:tcPr>
            <w:tcW w:w="5209" w:type="dxa"/>
            <w:tcBorders/>
            <w:shd w:fill="auto" w:val="clear"/>
          </w:tcPr>
          <w:p>
            <w:pPr>
              <w:pStyle w:val="TableContents"/>
              <w:spacing w:before="0" w:after="283"/>
              <w:rPr>
                <w:rFonts w:ascii="Times New Roman" w:hAnsi="Times New Roman"/>
                <w:sz w:val="20"/>
              </w:rPr>
            </w:pPr>
            <w:r>
              <w:rPr>
                <w:rFonts w:ascii="Times New Roman" w:hAnsi="Times New Roman"/>
                <w:sz w:val="20"/>
              </w:rPr>
              <w:t>17% secured notes due 2014</w:t>
            </w:r>
          </w:p>
        </w:tc>
        <w:tc>
          <w:tcPr>
            <w:tcW w:w="6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9,676</w:t>
            </w:r>
          </w:p>
        </w:tc>
        <w:tc>
          <w:tcPr>
            <w:tcW w:w="123" w:type="dxa"/>
            <w:tcBorders/>
            <w:shd w:fill="auto" w:val="clear"/>
            <w:vAlign w:val="bottom"/>
          </w:tcPr>
          <w:p>
            <w:pPr>
              <w:pStyle w:val="TableContents"/>
              <w:spacing w:before="0" w:after="283"/>
              <w:rPr/>
            </w:pPr>
            <w:r>
              <w:rPr/>
              <w:t>  </w:t>
            </w:r>
          </w:p>
        </w:tc>
      </w:tr>
      <w:tr>
        <w:trPr/>
        <w:tc>
          <w:tcPr>
            <w:tcW w:w="5209" w:type="dxa"/>
            <w:tcBorders/>
            <w:shd w:fill="CCEEFF" w:val="clear"/>
          </w:tcPr>
          <w:p>
            <w:pPr>
              <w:pStyle w:val="TableContents"/>
              <w:spacing w:before="0" w:after="283"/>
              <w:rPr>
                <w:rFonts w:ascii="Times New Roman" w:hAnsi="Times New Roman"/>
                <w:sz w:val="20"/>
              </w:rPr>
            </w:pPr>
            <w:r>
              <w:rPr>
                <w:rFonts w:ascii="Times New Roman" w:hAnsi="Times New Roman"/>
                <w:sz w:val="20"/>
              </w:rPr>
              <w:t>10% unsecured notes due 2016</w:t>
            </w:r>
          </w:p>
        </w:tc>
        <w:tc>
          <w:tcPr>
            <w:tcW w:w="67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963</w:t>
            </w:r>
          </w:p>
        </w:tc>
        <w:tc>
          <w:tcPr>
            <w:tcW w:w="123" w:type="dxa"/>
            <w:tcBorders/>
            <w:shd w:fill="CCEEFF" w:val="clear"/>
            <w:vAlign w:val="bottom"/>
          </w:tcPr>
          <w:p>
            <w:pPr>
              <w:pStyle w:val="TableContents"/>
              <w:spacing w:before="0" w:after="283"/>
              <w:rPr/>
            </w:pPr>
            <w:r>
              <w:rPr/>
              <w:t>  </w:t>
            </w:r>
          </w:p>
        </w:tc>
      </w:tr>
      <w:tr>
        <w:trPr/>
        <w:tc>
          <w:tcPr>
            <w:tcW w:w="5209" w:type="dxa"/>
            <w:tcBorders/>
            <w:shd w:fill="auto" w:val="clear"/>
            <w:vAlign w:val="bottom"/>
          </w:tcPr>
          <w:p>
            <w:pPr>
              <w:pStyle w:val="TableContents"/>
              <w:spacing w:before="0" w:after="283"/>
              <w:rPr>
                <w:sz w:val="4"/>
                <w:szCs w:val="4"/>
              </w:rPr>
            </w:pPr>
            <w:r>
              <w:rPr>
                <w:sz w:val="4"/>
                <w:szCs w:val="4"/>
              </w:rPr>
            </w:r>
          </w:p>
        </w:tc>
        <w:tc>
          <w:tcPr>
            <w:tcW w:w="6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283"/>
              <w:rPr/>
            </w:pPr>
            <w:r>
              <w:rPr/>
              <w:t> </w:t>
            </w:r>
          </w:p>
        </w:tc>
        <w:tc>
          <w:tcPr>
            <w:tcW w:w="771"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209" w:type="dxa"/>
            <w:tcBorders/>
            <w:shd w:fill="auto" w:val="clear"/>
          </w:tcPr>
          <w:p>
            <w:pPr>
              <w:pStyle w:val="TableContents"/>
              <w:spacing w:before="0" w:after="283"/>
              <w:rPr>
                <w:rFonts w:ascii="Times New Roman" w:hAnsi="Times New Roman"/>
                <w:sz w:val="20"/>
              </w:rPr>
            </w:pPr>
            <w:r>
              <w:rPr>
                <w:rFonts w:ascii="Times New Roman" w:hAnsi="Times New Roman"/>
                <w:sz w:val="20"/>
              </w:rPr>
              <w:t>Total debt to stockholders</w:t>
            </w:r>
          </w:p>
        </w:tc>
        <w:tc>
          <w:tcPr>
            <w:tcW w:w="6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15,780</w:t>
            </w:r>
          </w:p>
        </w:tc>
        <w:tc>
          <w:tcPr>
            <w:tcW w:w="123" w:type="dxa"/>
            <w:tcBorders/>
            <w:shd w:fill="auto" w:val="clear"/>
            <w:vAlign w:val="bottom"/>
          </w:tcPr>
          <w:p>
            <w:pPr>
              <w:pStyle w:val="TableContents"/>
              <w:spacing w:before="0" w:after="283"/>
              <w:rPr/>
            </w:pPr>
            <w:r>
              <w:rPr/>
              <w:t>  </w:t>
            </w:r>
          </w:p>
        </w:tc>
      </w:tr>
      <w:tr>
        <w:trPr/>
        <w:tc>
          <w:tcPr>
            <w:tcW w:w="5209" w:type="dxa"/>
            <w:tcBorders/>
            <w:shd w:fill="auto" w:val="clear"/>
            <w:vAlign w:val="bottom"/>
          </w:tcPr>
          <w:p>
            <w:pPr>
              <w:pStyle w:val="TableContents"/>
              <w:spacing w:before="0" w:after="283"/>
              <w:rPr>
                <w:sz w:val="4"/>
                <w:szCs w:val="4"/>
              </w:rPr>
            </w:pPr>
            <w:r>
              <w:rPr>
                <w:sz w:val="4"/>
                <w:szCs w:val="4"/>
              </w:rPr>
            </w:r>
          </w:p>
        </w:tc>
        <w:tc>
          <w:tcPr>
            <w:tcW w:w="6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double" w:sz="6" w:space="1" w:color="000000"/>
              </w:pBdr>
              <w:spacing w:before="0" w:after="283"/>
              <w:rPr/>
            </w:pPr>
            <w:r>
              <w:rPr/>
              <w:t> </w:t>
            </w:r>
          </w:p>
        </w:tc>
        <w:tc>
          <w:tcPr>
            <w:tcW w:w="771"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Note G: Stock Compensation </w:t>
      </w:r>
    </w:p>
    <w:p>
      <w:pPr>
        <w:pStyle w:val="TextBody"/>
        <w:spacing w:before="90" w:after="0"/>
        <w:rPr>
          <w:rFonts w:ascii="Times New Roman" w:hAnsi="Times New Roman"/>
          <w:sz w:val="20"/>
        </w:rPr>
      </w:pPr>
      <w:r>
        <w:rPr>
          <w:rFonts w:ascii="Times New Roman" w:hAnsi="Times New Roman"/>
          <w:sz w:val="20"/>
        </w:rPr>
        <w:t xml:space="preserve">Our net income includes the following compensation costs related to our stock compensation arrangements: </w:t>
      </w:r>
    </w:p>
    <w:p>
      <w:pPr>
        <w:pStyle w:val="TextBody"/>
        <w:spacing w:before="0" w:after="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220"/>
        <w:gridCol w:w="276"/>
        <w:gridCol w:w="125"/>
        <w:gridCol w:w="503"/>
        <w:gridCol w:w="125"/>
        <w:gridCol w:w="229"/>
        <w:gridCol w:w="125"/>
        <w:gridCol w:w="503"/>
        <w:gridCol w:w="125"/>
        <w:gridCol w:w="229"/>
        <w:gridCol w:w="125"/>
        <w:gridCol w:w="549"/>
        <w:gridCol w:w="125"/>
        <w:gridCol w:w="229"/>
        <w:gridCol w:w="125"/>
        <w:gridCol w:w="646"/>
        <w:gridCol w:w="129"/>
      </w:tblGrid>
      <w:tr>
        <w:trPr/>
        <w:tc>
          <w:tcPr>
            <w:tcW w:w="52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2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610"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5"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99"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Six Months Ended</w:t>
            </w:r>
          </w:p>
        </w:tc>
        <w:tc>
          <w:tcPr>
            <w:tcW w:w="129" w:type="dxa"/>
            <w:tcBorders/>
            <w:shd w:fill="auto" w:val="clear"/>
            <w:vAlign w:val="bottom"/>
          </w:tcPr>
          <w:p>
            <w:pPr>
              <w:pStyle w:val="TableContents"/>
              <w:spacing w:before="0" w:after="283"/>
              <w:rPr/>
            </w:pPr>
            <w:r>
              <w:rPr/>
              <w:t> </w:t>
            </w:r>
          </w:p>
        </w:tc>
      </w:tr>
      <w:tr>
        <w:trPr/>
        <w:tc>
          <w:tcPr>
            <w:tcW w:w="52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61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5"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79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9" w:type="dxa"/>
            <w:tcBorders/>
            <w:shd w:fill="auto" w:val="clear"/>
            <w:vAlign w:val="bottom"/>
          </w:tcPr>
          <w:p>
            <w:pPr>
              <w:pStyle w:val="TableContents"/>
              <w:spacing w:before="0" w:after="283"/>
              <w:rPr/>
            </w:pPr>
            <w:r>
              <w:rPr/>
              <w:t> </w:t>
            </w:r>
          </w:p>
        </w:tc>
      </w:tr>
      <w:tr>
        <w:trPr/>
        <w:tc>
          <w:tcPr>
            <w:tcW w:w="52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6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5"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6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6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5"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7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9" w:type="dxa"/>
            <w:tcBorders/>
            <w:shd w:fill="auto" w:val="clear"/>
            <w:vAlign w:val="bottom"/>
          </w:tcPr>
          <w:p>
            <w:pPr>
              <w:pStyle w:val="TableContents"/>
              <w:spacing w:before="0" w:after="283"/>
              <w:rPr/>
            </w:pPr>
            <w:r>
              <w:rPr/>
              <w:t> </w:t>
            </w:r>
          </w:p>
        </w:tc>
      </w:tr>
      <w:tr>
        <w:trPr/>
        <w:tc>
          <w:tcPr>
            <w:tcW w:w="52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3763"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9" w:type="dxa"/>
            <w:tcBorders/>
            <w:shd w:fill="auto" w:val="clear"/>
            <w:vAlign w:val="bottom"/>
          </w:tcPr>
          <w:p>
            <w:pPr>
              <w:pStyle w:val="TableContents"/>
              <w:spacing w:before="0" w:after="283"/>
              <w:rPr/>
            </w:pPr>
            <w:r>
              <w:rPr/>
              <w:t> </w:t>
            </w:r>
          </w:p>
        </w:tc>
      </w:tr>
      <w:tr>
        <w:trPr/>
        <w:tc>
          <w:tcPr>
            <w:tcW w:w="5220" w:type="dxa"/>
            <w:tcBorders/>
            <w:shd w:fill="CCEEFF" w:val="clear"/>
          </w:tcPr>
          <w:p>
            <w:pPr>
              <w:pStyle w:val="TableContents"/>
              <w:spacing w:before="0" w:after="283"/>
              <w:rPr>
                <w:rFonts w:ascii="Times New Roman" w:hAnsi="Times New Roman"/>
                <w:sz w:val="20"/>
              </w:rPr>
            </w:pPr>
            <w:r>
              <w:rPr>
                <w:rFonts w:ascii="Times New Roman" w:hAnsi="Times New Roman"/>
                <w:sz w:val="20"/>
              </w:rPr>
              <w:t>Gross compensation costs</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1,725</w:t>
            </w:r>
          </w:p>
        </w:tc>
        <w:tc>
          <w:tcPr>
            <w:tcW w:w="12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1,480</w:t>
            </w:r>
          </w:p>
        </w:tc>
        <w:tc>
          <w:tcPr>
            <w:tcW w:w="12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3,238</w:t>
            </w:r>
          </w:p>
        </w:tc>
        <w:tc>
          <w:tcPr>
            <w:tcW w:w="12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10,028</w:t>
            </w:r>
          </w:p>
        </w:tc>
        <w:tc>
          <w:tcPr>
            <w:tcW w:w="129" w:type="dxa"/>
            <w:tcBorders/>
            <w:shd w:fill="CCEEFF" w:val="clear"/>
            <w:vAlign w:val="bottom"/>
          </w:tcPr>
          <w:p>
            <w:pPr>
              <w:pStyle w:val="TableContents"/>
              <w:spacing w:before="0" w:after="283"/>
              <w:rPr/>
            </w:pPr>
            <w:r>
              <w:rPr/>
              <w:t>  </w:t>
            </w:r>
          </w:p>
        </w:tc>
      </w:tr>
      <w:tr>
        <w:trPr/>
        <w:tc>
          <w:tcPr>
            <w:tcW w:w="522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benefits</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(3,453</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20"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0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0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46"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20" w:type="dxa"/>
            <w:tcBorders/>
            <w:shd w:fill="CCEEFF" w:val="clear"/>
          </w:tcPr>
          <w:p>
            <w:pPr>
              <w:pStyle w:val="TableContents"/>
              <w:spacing w:before="0" w:after="283"/>
              <w:rPr>
                <w:rFonts w:ascii="Times New Roman" w:hAnsi="Times New Roman"/>
                <w:sz w:val="20"/>
              </w:rPr>
            </w:pPr>
            <w:r>
              <w:rPr>
                <w:rFonts w:ascii="Times New Roman" w:hAnsi="Times New Roman"/>
                <w:sz w:val="20"/>
              </w:rPr>
              <w:t>Net compensation expense</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1,155</w:t>
            </w:r>
          </w:p>
        </w:tc>
        <w:tc>
          <w:tcPr>
            <w:tcW w:w="12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1,001</w:t>
            </w:r>
          </w:p>
        </w:tc>
        <w:tc>
          <w:tcPr>
            <w:tcW w:w="12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2,222</w:t>
            </w:r>
          </w:p>
        </w:tc>
        <w:tc>
          <w:tcPr>
            <w:tcW w:w="125"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6,575</w:t>
            </w:r>
          </w:p>
        </w:tc>
        <w:tc>
          <w:tcPr>
            <w:tcW w:w="129" w:type="dxa"/>
            <w:tcBorders/>
            <w:shd w:fill="CCEEFF" w:val="clear"/>
            <w:vAlign w:val="bottom"/>
          </w:tcPr>
          <w:p>
            <w:pPr>
              <w:pStyle w:val="TableContents"/>
              <w:spacing w:before="0" w:after="283"/>
              <w:rPr/>
            </w:pPr>
            <w:r>
              <w:rPr/>
              <w:t>  </w:t>
            </w:r>
          </w:p>
        </w:tc>
      </w:tr>
      <w:tr>
        <w:trPr/>
        <w:tc>
          <w:tcPr>
            <w:tcW w:w="5220"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0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0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46"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Included in the compensation cost for the six months ended March 31, 2011 is $7.3 million for the accelerated vesting of restricted stock upon the retirement of our former Chief Executive Officer on October 31, 2010, and a related $2.5 million income tax benefit. Stock option exercises resulted in the issuance of 195,898 shares in the current quarter for total proceeds of $0.6 million. All options and restricted stock relate to our Class A Non-voting Common Stock. </w:t>
      </w:r>
    </w:p>
    <w:p>
      <w:pPr>
        <w:pStyle w:val="TextBody"/>
        <w:spacing w:before="270" w:after="0"/>
        <w:rPr>
          <w:rFonts w:ascii="Times New Roman" w:hAnsi="Times New Roman"/>
          <w:b/>
          <w:sz w:val="20"/>
        </w:rPr>
      </w:pPr>
      <w:r>
        <w:rPr>
          <w:rFonts w:ascii="Times New Roman" w:hAnsi="Times New Roman"/>
          <w:b/>
          <w:sz w:val="20"/>
        </w:rPr>
        <w:t xml:space="preserve">Note H: Income Taxes </w:t>
      </w:r>
    </w:p>
    <w:p>
      <w:pPr>
        <w:pStyle w:val="TextBody"/>
        <w:spacing w:before="90" w:after="0"/>
        <w:rPr>
          <w:rFonts w:ascii="Times New Roman" w:hAnsi="Times New Roman"/>
          <w:sz w:val="20"/>
        </w:rPr>
      </w:pPr>
      <w:r>
        <w:rPr>
          <w:rFonts w:ascii="Times New Roman" w:hAnsi="Times New Roman"/>
          <w:sz w:val="20"/>
        </w:rPr>
        <w:t xml:space="preserve">The current quarters effective tax rate is 34.7% of pretax income compared to 35.4% for the prior year quarter. For the current six-month period, the effective tax rate is 34.3% compared to 35.5% in the prior six-month period. The decrease in effective tax rates is primarily due to the recognition of state net operating losses, as well as an increase in foreign tax credits on overseas earnings. </w:t>
      </w:r>
    </w:p>
    <w:p>
      <w:pPr>
        <w:pStyle w:val="TextBody"/>
        <w:spacing w:before="270" w:after="0"/>
        <w:rPr>
          <w:rFonts w:ascii="Times New Roman" w:hAnsi="Times New Roman"/>
          <w:b/>
          <w:sz w:val="20"/>
        </w:rPr>
      </w:pPr>
      <w:r>
        <w:rPr>
          <w:rFonts w:ascii="Times New Roman" w:hAnsi="Times New Roman"/>
          <w:b/>
          <w:sz w:val="20"/>
        </w:rPr>
        <w:t xml:space="preserve">Note I: Contingencies </w:t>
      </w:r>
    </w:p>
    <w:p>
      <w:pPr>
        <w:pStyle w:val="TextBody"/>
        <w:spacing w:before="90" w:after="0"/>
        <w:rPr>
          <w:rFonts w:ascii="Times New Roman" w:hAnsi="Times New Roman"/>
          <w:sz w:val="20"/>
        </w:rPr>
      </w:pPr>
      <w:r>
        <w:rPr>
          <w:rFonts w:ascii="Times New Roman" w:hAnsi="Times New Roman"/>
          <w:sz w:val="20"/>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70" w:after="0"/>
        <w:rPr>
          <w:rFonts w:ascii="Times New Roman" w:hAnsi="Times New Roman"/>
          <w:b/>
          <w:sz w:val="20"/>
        </w:rPr>
      </w:pPr>
      <w:r>
        <w:rPr>
          <w:rFonts w:ascii="Times New Roman" w:hAnsi="Times New Roman"/>
          <w:b/>
          <w:sz w:val="20"/>
        </w:rPr>
        <w:t xml:space="preserve">Note J: Operating Segment Information </w:t>
      </w:r>
    </w:p>
    <w:p>
      <w:pPr>
        <w:pStyle w:val="TextBody"/>
        <w:spacing w:before="90" w:after="0"/>
        <w:rPr>
          <w:rFonts w:ascii="Times New Roman" w:hAnsi="Times New Roman"/>
          <w:sz w:val="20"/>
        </w:rPr>
      </w:pPr>
      <w:r>
        <w:rPr>
          <w:rFonts w:ascii="Times New Roman" w:hAnsi="Times New Roman"/>
          <w:sz w:val="20"/>
        </w:rPr>
        <w:t xml:space="preserve">Segment information is prepared on the same basis that our management reviews financial information for operational decision-making purposes. Previously, we reported segment information based primarily on product offerings. Beginning with the second quarter of fiscal 2012, we redefined our reportable operating segments based on geography as our company is increasingly being organized and managed along geographic lines, with product offerings and channels based on local custom and regulation. As a result, we concluded that segment reporting based on geography more closely aligns with our management organization and strategic direction. </w:t>
      </w:r>
    </w:p>
    <w:p>
      <w:pPr>
        <w:pStyle w:val="TextBody"/>
        <w:spacing w:before="270" w:after="0"/>
        <w:rPr>
          <w:rFonts w:ascii="Times New Roman" w:hAnsi="Times New Roman"/>
          <w:sz w:val="20"/>
        </w:rPr>
      </w:pPr>
      <w:r>
        <w:rPr>
          <w:rFonts w:ascii="Times New Roman" w:hAnsi="Times New Roman"/>
          <w:sz w:val="20"/>
        </w:rPr>
        <w:t xml:space="preserve">For periods ending after January 1, 2012, we will report segments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&amp; Canada  All business activities in the United States and Canada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Latin America  All business activities in Mexico and other parts of Latin America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International  All business activities in the rest of the world (currently consisting of consumer loans online in the U.K. and our equity interests in the net income of Albemarle &amp; Bond and Cash Converters International) </w:t>
            </w:r>
          </w:p>
        </w:tc>
      </w:tr>
    </w:tbl>
    <w:p>
      <w:pPr>
        <w:pStyle w:val="TextBody"/>
        <w:spacing w:before="180" w:after="0"/>
        <w:rPr>
          <w:rFonts w:ascii="Times New Roman" w:hAnsi="Times New Roman"/>
          <w:sz w:val="20"/>
        </w:rPr>
      </w:pPr>
      <w:r>
        <w:rPr>
          <w:rFonts w:ascii="Times New Roman" w:hAnsi="Times New Roman"/>
          <w:sz w:val="20"/>
        </w:rPr>
        <w:t xml:space="preserve">Concurrent with the change in reportable operating segments, we revised our prior period financial information to reflect comparable financial information for the new segment structure. </w:t>
      </w:r>
    </w:p>
    <w:p>
      <w:pPr>
        <w:pStyle w:val="TextBody"/>
        <w:spacing w:before="180" w:after="0"/>
        <w:rPr>
          <w:rFonts w:ascii="Times New Roman" w:hAnsi="Times New Roman"/>
          <w:sz w:val="20"/>
        </w:rPr>
      </w:pPr>
      <w:r>
        <w:rPr>
          <w:rFonts w:ascii="Times New Roman" w:hAnsi="Times New Roman"/>
          <w:sz w:val="20"/>
        </w:rPr>
        <w:t xml:space="preserve">There are no inter-segment revenues, and the amounts below were determined in accordance with the same accounting principles used in our consolidated financial statements. The following tables present operating segment information for the three and six-month periods ending March 31, 2012 and 2011, including the reclassifications discussed in Note A Significant Accounting Policies.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274"/>
        <w:gridCol w:w="358"/>
        <w:gridCol w:w="125"/>
        <w:gridCol w:w="728"/>
        <w:gridCol w:w="120"/>
        <w:gridCol w:w="358"/>
        <w:gridCol w:w="125"/>
        <w:gridCol w:w="590"/>
        <w:gridCol w:w="120"/>
        <w:gridCol w:w="358"/>
        <w:gridCol w:w="143"/>
        <w:gridCol w:w="672"/>
        <w:gridCol w:w="125"/>
        <w:gridCol w:w="309"/>
        <w:gridCol w:w="124"/>
        <w:gridCol w:w="728"/>
        <w:gridCol w:w="131"/>
      </w:tblGrid>
      <w:tr>
        <w:trPr/>
        <w:tc>
          <w:tcPr>
            <w:tcW w:w="427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274"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4625"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March 31, 2012</w:t>
            </w:r>
          </w:p>
        </w:tc>
        <w:tc>
          <w:tcPr>
            <w:tcW w:w="131" w:type="dxa"/>
            <w:tcBorders/>
            <w:shd w:fill="auto"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8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w:t>
              <w:br/>
              <w:t>Canada</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w:t>
              <w:br/>
              <w:t>America</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8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4625"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1"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7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2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85,498</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9,499</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94,997</w:t>
            </w:r>
          </w:p>
        </w:tc>
        <w:tc>
          <w:tcPr>
            <w:tcW w:w="131"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49,414</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3,761</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53,175</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50,505</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5,939</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56,444</w:t>
            </w:r>
          </w:p>
        </w:tc>
        <w:tc>
          <w:tcPr>
            <w:tcW w:w="131"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42,806</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7,383</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50,319</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Other revenues</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1,219</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1,343</w:t>
            </w:r>
          </w:p>
        </w:tc>
        <w:tc>
          <w:tcPr>
            <w:tcW w:w="131" w:type="dxa"/>
            <w:tcBorders/>
            <w:shd w:fill="auto"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229,442</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26,706</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256,278</w:t>
            </w:r>
          </w:p>
        </w:tc>
        <w:tc>
          <w:tcPr>
            <w:tcW w:w="131" w:type="dxa"/>
            <w:tcBorders/>
            <w:shd w:fill="CCEEFF" w:val="clear"/>
            <w:vAlign w:val="bottom"/>
          </w:tcPr>
          <w:p>
            <w:pPr>
              <w:pStyle w:val="TableContents"/>
              <w:spacing w:before="0" w:after="283"/>
              <w:rPr/>
            </w:pPr>
            <w:r>
              <w:rPr/>
              <w:t>  </w:t>
            </w:r>
          </w:p>
        </w:tc>
      </w:tr>
      <w:tr>
        <w:trPr>
          <w:trHeight w:val="120" w:hRule="atLeast"/>
        </w:trPr>
        <w:tc>
          <w:tcPr>
            <w:tcW w:w="4274" w:type="dxa"/>
            <w:tcBorders/>
            <w:shd w:fill="auto" w:val="clear"/>
            <w:vAlign w:val="center"/>
          </w:tcPr>
          <w:p>
            <w:pPr>
              <w:pStyle w:val="TableContents"/>
              <w:spacing w:before="0" w:after="283"/>
              <w:rPr>
                <w:sz w:val="4"/>
                <w:szCs w:val="4"/>
              </w:rPr>
            </w:pPr>
            <w:r>
              <w:rPr>
                <w:sz w:val="4"/>
                <w:szCs w:val="4"/>
              </w:rPr>
            </w:r>
          </w:p>
        </w:tc>
        <w:tc>
          <w:tcPr>
            <w:tcW w:w="1331" w:type="dxa"/>
            <w:gridSpan w:val="4"/>
            <w:tcBorders/>
            <w:shd w:fill="auto" w:val="clear"/>
            <w:vAlign w:val="center"/>
          </w:tcPr>
          <w:p>
            <w:pPr>
              <w:pStyle w:val="TableContents"/>
              <w:spacing w:before="0" w:after="283"/>
              <w:rPr>
                <w:sz w:val="4"/>
                <w:szCs w:val="4"/>
              </w:rPr>
            </w:pPr>
            <w:r>
              <w:rPr>
                <w:sz w:val="4"/>
                <w:szCs w:val="4"/>
              </w:rPr>
            </w:r>
          </w:p>
        </w:tc>
        <w:tc>
          <w:tcPr>
            <w:tcW w:w="1193"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2" w:type="dxa"/>
            <w:gridSpan w:val="4"/>
            <w:tcBorders/>
            <w:shd w:fill="auto" w:val="clear"/>
            <w:vAlign w:val="center"/>
          </w:tcPr>
          <w:p>
            <w:pPr>
              <w:pStyle w:val="TableContents"/>
              <w:spacing w:before="0" w:after="283"/>
              <w:rPr>
                <w:sz w:val="4"/>
                <w:szCs w:val="4"/>
              </w:rPr>
            </w:pPr>
            <w:r>
              <w:rPr>
                <w:sz w:val="4"/>
                <w:szCs w:val="4"/>
              </w:rPr>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50,499</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5,381</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55,880</w:t>
            </w:r>
          </w:p>
        </w:tc>
        <w:tc>
          <w:tcPr>
            <w:tcW w:w="131"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29,537</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2,773</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32,310</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5,878</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31" w:type="dxa"/>
            <w:tcBorders/>
            <w:shd w:fill="auto"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143,528</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18,044</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161,622</w:t>
            </w:r>
          </w:p>
        </w:tc>
        <w:tc>
          <w:tcPr>
            <w:tcW w:w="131" w:type="dxa"/>
            <w:tcBorders/>
            <w:shd w:fill="CCEEFF" w:val="clear"/>
            <w:vAlign w:val="bottom"/>
          </w:tcPr>
          <w:p>
            <w:pPr>
              <w:pStyle w:val="TableContents"/>
              <w:spacing w:before="0" w:after="283"/>
              <w:rPr/>
            </w:pPr>
            <w:r>
              <w:rPr/>
              <w:t>  </w:t>
            </w:r>
          </w:p>
        </w:tc>
      </w:tr>
      <w:tr>
        <w:trPr>
          <w:trHeight w:val="120" w:hRule="atLeast"/>
        </w:trPr>
        <w:tc>
          <w:tcPr>
            <w:tcW w:w="4274" w:type="dxa"/>
            <w:tcBorders/>
            <w:shd w:fill="auto" w:val="clear"/>
            <w:vAlign w:val="center"/>
          </w:tcPr>
          <w:p>
            <w:pPr>
              <w:pStyle w:val="TableContents"/>
              <w:spacing w:before="0" w:after="283"/>
              <w:rPr>
                <w:sz w:val="4"/>
                <w:szCs w:val="4"/>
              </w:rPr>
            </w:pPr>
            <w:r>
              <w:rPr>
                <w:sz w:val="4"/>
                <w:szCs w:val="4"/>
              </w:rPr>
            </w:r>
          </w:p>
        </w:tc>
        <w:tc>
          <w:tcPr>
            <w:tcW w:w="1331" w:type="dxa"/>
            <w:gridSpan w:val="4"/>
            <w:tcBorders/>
            <w:shd w:fill="auto" w:val="clear"/>
            <w:vAlign w:val="center"/>
          </w:tcPr>
          <w:p>
            <w:pPr>
              <w:pStyle w:val="TableContents"/>
              <w:spacing w:before="0" w:after="283"/>
              <w:rPr>
                <w:sz w:val="4"/>
                <w:szCs w:val="4"/>
              </w:rPr>
            </w:pPr>
            <w:r>
              <w:rPr>
                <w:sz w:val="4"/>
                <w:szCs w:val="4"/>
              </w:rPr>
            </w:r>
          </w:p>
        </w:tc>
        <w:tc>
          <w:tcPr>
            <w:tcW w:w="1193"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292" w:type="dxa"/>
            <w:gridSpan w:val="4"/>
            <w:tcBorders/>
            <w:shd w:fill="auto" w:val="clear"/>
            <w:vAlign w:val="center"/>
          </w:tcPr>
          <w:p>
            <w:pPr>
              <w:pStyle w:val="TableContents"/>
              <w:spacing w:before="0" w:after="283"/>
              <w:rPr>
                <w:sz w:val="4"/>
                <w:szCs w:val="4"/>
              </w:rPr>
            </w:pPr>
            <w:r>
              <w:rPr>
                <w:sz w:val="4"/>
                <w:szCs w:val="4"/>
              </w:rPr>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68,890</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8,211</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2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77,269</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5,424</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4,334</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9,760</w:t>
            </w:r>
          </w:p>
        </w:tc>
        <w:tc>
          <w:tcPr>
            <w:tcW w:w="131"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3,524</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2,397</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5,935</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Loss on sale or disposal of assets</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31"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net</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1,769</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1,769</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(4,577</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791</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0"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64,874</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120"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4,443</w:t>
            </w:r>
          </w:p>
        </w:tc>
        <w:tc>
          <w:tcPr>
            <w:tcW w:w="12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70,637</w:t>
            </w:r>
          </w:p>
        </w:tc>
        <w:tc>
          <w:tcPr>
            <w:tcW w:w="131"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7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13,394</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57,243</w:t>
            </w:r>
          </w:p>
        </w:tc>
        <w:tc>
          <w:tcPr>
            <w:tcW w:w="131"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214" w:type="dxa"/>
            <w:gridSpan w:val="9"/>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19,870</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37,373</w:t>
            </w:r>
          </w:p>
        </w:tc>
        <w:tc>
          <w:tcPr>
            <w:tcW w:w="131" w:type="dxa"/>
            <w:tcBorders/>
            <w:shd w:fill="auto" w:val="clear"/>
            <w:vAlign w:val="bottom"/>
          </w:tcPr>
          <w:p>
            <w:pPr>
              <w:pStyle w:val="TableContents"/>
              <w:spacing w:before="0" w:after="283"/>
              <w:rPr/>
            </w:pPr>
            <w:r>
              <w:rPr/>
              <w:t>  </w:t>
            </w:r>
          </w:p>
        </w:tc>
      </w:tr>
      <w:tr>
        <w:trPr/>
        <w:tc>
          <w:tcPr>
            <w:tcW w:w="427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redeemable noncontrolling interest</w:t>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7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1" w:type="dxa"/>
            <w:tcBorders/>
            <w:shd w:fill="CCEEFF"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2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27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37,261</w:t>
            </w:r>
          </w:p>
        </w:tc>
        <w:tc>
          <w:tcPr>
            <w:tcW w:w="131" w:type="dxa"/>
            <w:tcBorders/>
            <w:shd w:fill="auto" w:val="clear"/>
            <w:vAlign w:val="bottom"/>
          </w:tcPr>
          <w:p>
            <w:pPr>
              <w:pStyle w:val="TableContents"/>
              <w:spacing w:before="0" w:after="283"/>
              <w:rPr/>
            </w:pPr>
            <w:r>
              <w:rPr/>
              <w:t>  </w:t>
            </w:r>
          </w:p>
        </w:tc>
      </w:tr>
      <w:tr>
        <w:trPr/>
        <w:tc>
          <w:tcPr>
            <w:tcW w:w="4274"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2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600" w:type="pct"/>
        <w:jc w:val="center"/>
        <w:tblInd w:w="0" w:type="dxa"/>
        <w:tblCellMar>
          <w:top w:w="0" w:type="dxa"/>
          <w:left w:w="0" w:type="dxa"/>
          <w:bottom w:w="0" w:type="dxa"/>
          <w:right w:w="0" w:type="dxa"/>
        </w:tblCellMar>
      </w:tblPr>
      <w:tblGrid>
        <w:gridCol w:w="4328"/>
        <w:gridCol w:w="362"/>
        <w:gridCol w:w="125"/>
        <w:gridCol w:w="733"/>
        <w:gridCol w:w="125"/>
        <w:gridCol w:w="313"/>
        <w:gridCol w:w="125"/>
        <w:gridCol w:w="593"/>
        <w:gridCol w:w="125"/>
        <w:gridCol w:w="313"/>
        <w:gridCol w:w="143"/>
        <w:gridCol w:w="677"/>
        <w:gridCol w:w="125"/>
        <w:gridCol w:w="313"/>
        <w:gridCol w:w="125"/>
        <w:gridCol w:w="732"/>
        <w:gridCol w:w="131"/>
      </w:tblGrid>
      <w:tr>
        <w:trPr/>
        <w:tc>
          <w:tcPr>
            <w:tcW w:w="4328"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32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456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March 31, 2011</w:t>
            </w:r>
          </w:p>
        </w:tc>
        <w:tc>
          <w:tcPr>
            <w:tcW w:w="131" w:type="dxa"/>
            <w:tcBorders/>
            <w:shd w:fill="auto" w:val="clear"/>
            <w:vAlign w:val="bottom"/>
          </w:tcPr>
          <w:p>
            <w:pPr>
              <w:pStyle w:val="TableContents"/>
              <w:spacing w:before="0" w:after="283"/>
              <w:rPr/>
            </w:pPr>
            <w:r>
              <w:rPr/>
              <w:t> </w:t>
            </w:r>
          </w:p>
        </w:tc>
      </w:tr>
      <w:tr>
        <w:trPr/>
        <w:tc>
          <w:tcPr>
            <w:tcW w:w="432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85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w:t>
              <w:br/>
              <w:t>Canada</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w:t>
              <w:br/>
              <w:t>America</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432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4567"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1" w:type="dxa"/>
            <w:tcBorders/>
            <w:shd w:fill="auto" w:val="clear"/>
            <w:vAlign w:val="bottom"/>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7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72,420</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5,353</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77,773</w:t>
            </w:r>
          </w:p>
        </w:tc>
        <w:tc>
          <w:tcPr>
            <w:tcW w:w="131" w:type="dxa"/>
            <w:tcBorders/>
            <w:shd w:fill="auto" w:val="clear"/>
            <w:vAlign w:val="bottom"/>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44,351</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3,644</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47,995</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43,073</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3,696</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46,769</w:t>
            </w:r>
          </w:p>
        </w:tc>
        <w:tc>
          <w:tcPr>
            <w:tcW w:w="131" w:type="dxa"/>
            <w:tcBorders/>
            <w:shd w:fill="auto" w:val="clear"/>
            <w:vAlign w:val="bottom"/>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Other revenues</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31" w:type="dxa"/>
            <w:tcBorders/>
            <w:shd w:fill="auto" w:val="clear"/>
            <w:vAlign w:val="bottom"/>
          </w:tcPr>
          <w:p>
            <w:pPr>
              <w:pStyle w:val="TableContents"/>
              <w:spacing w:before="0" w:after="283"/>
              <w:rPr/>
            </w:pPr>
            <w:r>
              <w:rPr/>
              <w:t>  </w:t>
            </w:r>
          </w:p>
        </w:tc>
      </w:tr>
      <w:tr>
        <w:trPr/>
        <w:tc>
          <w:tcPr>
            <w:tcW w:w="432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200,536</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12,718</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213,254</w:t>
            </w:r>
          </w:p>
        </w:tc>
        <w:tc>
          <w:tcPr>
            <w:tcW w:w="131" w:type="dxa"/>
            <w:tcBorders/>
            <w:shd w:fill="CCEEFF" w:val="clear"/>
            <w:vAlign w:val="bottom"/>
          </w:tcPr>
          <w:p>
            <w:pPr>
              <w:pStyle w:val="TableContents"/>
              <w:spacing w:before="0" w:after="283"/>
              <w:rPr/>
            </w:pPr>
            <w:r>
              <w:rPr/>
              <w:t>  </w:t>
            </w:r>
          </w:p>
        </w:tc>
      </w:tr>
      <w:tr>
        <w:trPr>
          <w:trHeight w:val="120" w:hRule="atLeast"/>
        </w:trPr>
        <w:tc>
          <w:tcPr>
            <w:tcW w:w="4328" w:type="dxa"/>
            <w:tcBorders/>
            <w:shd w:fill="auto" w:val="clear"/>
            <w:vAlign w:val="center"/>
          </w:tcPr>
          <w:p>
            <w:pPr>
              <w:pStyle w:val="TableContents"/>
              <w:spacing w:before="0" w:after="283"/>
              <w:rPr>
                <w:sz w:val="4"/>
                <w:szCs w:val="4"/>
              </w:rPr>
            </w:pPr>
            <w:r>
              <w:rPr>
                <w:sz w:val="4"/>
                <w:szCs w:val="4"/>
              </w:rPr>
            </w:r>
          </w:p>
        </w:tc>
        <w:tc>
          <w:tcPr>
            <w:tcW w:w="1345" w:type="dxa"/>
            <w:gridSpan w:val="4"/>
            <w:tcBorders/>
            <w:shd w:fill="auto" w:val="clear"/>
            <w:vAlign w:val="center"/>
          </w:tcPr>
          <w:p>
            <w:pPr>
              <w:pStyle w:val="TableContents"/>
              <w:spacing w:before="0" w:after="283"/>
              <w:rPr>
                <w:sz w:val="4"/>
                <w:szCs w:val="4"/>
              </w:rPr>
            </w:pPr>
            <w:r>
              <w:rPr>
                <w:sz w:val="4"/>
                <w:szCs w:val="4"/>
              </w:rPr>
            </w:r>
          </w:p>
        </w:tc>
        <w:tc>
          <w:tcPr>
            <w:tcW w:w="1156" w:type="dxa"/>
            <w:gridSpan w:val="4"/>
            <w:tcBorders/>
            <w:shd w:fill="auto" w:val="clear"/>
            <w:vAlign w:val="center"/>
          </w:tcPr>
          <w:p>
            <w:pPr>
              <w:pStyle w:val="TableContents"/>
              <w:spacing w:before="0" w:after="283"/>
              <w:rPr>
                <w:sz w:val="4"/>
                <w:szCs w:val="4"/>
              </w:rPr>
            </w:pPr>
            <w:r>
              <w:rPr>
                <w:sz w:val="4"/>
                <w:szCs w:val="4"/>
              </w:rPr>
            </w:r>
          </w:p>
        </w:tc>
        <w:tc>
          <w:tcPr>
            <w:tcW w:w="1258"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41,484</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44,639</w:t>
            </w:r>
          </w:p>
        </w:tc>
        <w:tc>
          <w:tcPr>
            <w:tcW w:w="131" w:type="dxa"/>
            <w:tcBorders/>
            <w:shd w:fill="auto" w:val="clear"/>
            <w:vAlign w:val="bottom"/>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28,848</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3,077</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31,925</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31" w:type="dxa"/>
            <w:tcBorders/>
            <w:shd w:fill="auto" w:val="clear"/>
            <w:vAlign w:val="bottom"/>
          </w:tcPr>
          <w:p>
            <w:pPr>
              <w:pStyle w:val="TableContents"/>
              <w:spacing w:before="0" w:after="283"/>
              <w:rPr/>
            </w:pPr>
            <w:r>
              <w:rPr/>
              <w:t>  </w:t>
            </w:r>
          </w:p>
        </w:tc>
      </w:tr>
      <w:tr>
        <w:trPr/>
        <w:tc>
          <w:tcPr>
            <w:tcW w:w="432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124,464</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6,486</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130,950</w:t>
            </w:r>
          </w:p>
        </w:tc>
        <w:tc>
          <w:tcPr>
            <w:tcW w:w="131" w:type="dxa"/>
            <w:tcBorders/>
            <w:shd w:fill="CCEEFF" w:val="clear"/>
            <w:vAlign w:val="bottom"/>
          </w:tcPr>
          <w:p>
            <w:pPr>
              <w:pStyle w:val="TableContents"/>
              <w:spacing w:before="0" w:after="283"/>
              <w:rPr/>
            </w:pPr>
            <w:r>
              <w:rPr/>
              <w:t>  </w:t>
            </w:r>
          </w:p>
        </w:tc>
      </w:tr>
      <w:tr>
        <w:trPr>
          <w:trHeight w:val="120" w:hRule="atLeast"/>
        </w:trPr>
        <w:tc>
          <w:tcPr>
            <w:tcW w:w="4328" w:type="dxa"/>
            <w:tcBorders/>
            <w:shd w:fill="auto" w:val="clear"/>
            <w:vAlign w:val="center"/>
          </w:tcPr>
          <w:p>
            <w:pPr>
              <w:pStyle w:val="TableContents"/>
              <w:spacing w:before="0" w:after="283"/>
              <w:rPr>
                <w:sz w:val="4"/>
                <w:szCs w:val="4"/>
              </w:rPr>
            </w:pPr>
            <w:r>
              <w:rPr>
                <w:sz w:val="4"/>
                <w:szCs w:val="4"/>
              </w:rPr>
            </w:r>
          </w:p>
        </w:tc>
        <w:tc>
          <w:tcPr>
            <w:tcW w:w="1345" w:type="dxa"/>
            <w:gridSpan w:val="4"/>
            <w:tcBorders/>
            <w:shd w:fill="auto" w:val="clear"/>
            <w:vAlign w:val="center"/>
          </w:tcPr>
          <w:p>
            <w:pPr>
              <w:pStyle w:val="TableContents"/>
              <w:spacing w:before="0" w:after="283"/>
              <w:rPr>
                <w:sz w:val="4"/>
                <w:szCs w:val="4"/>
              </w:rPr>
            </w:pPr>
            <w:r>
              <w:rPr>
                <w:sz w:val="4"/>
                <w:szCs w:val="4"/>
              </w:rPr>
            </w:r>
          </w:p>
        </w:tc>
        <w:tc>
          <w:tcPr>
            <w:tcW w:w="1156" w:type="dxa"/>
            <w:gridSpan w:val="4"/>
            <w:tcBorders/>
            <w:shd w:fill="auto" w:val="clear"/>
            <w:vAlign w:val="center"/>
          </w:tcPr>
          <w:p>
            <w:pPr>
              <w:pStyle w:val="TableContents"/>
              <w:spacing w:before="0" w:after="283"/>
              <w:rPr>
                <w:sz w:val="4"/>
                <w:szCs w:val="4"/>
              </w:rPr>
            </w:pPr>
            <w:r>
              <w:rPr>
                <w:sz w:val="4"/>
                <w:szCs w:val="4"/>
              </w:rPr>
            </w:r>
          </w:p>
        </w:tc>
        <w:tc>
          <w:tcPr>
            <w:tcW w:w="1258" w:type="dxa"/>
            <w:gridSpan w:val="4"/>
            <w:tcBorders/>
            <w:shd w:fill="auto" w:val="clear"/>
            <w:vAlign w:val="center"/>
          </w:tcPr>
          <w:p>
            <w:pPr>
              <w:pStyle w:val="TableContents"/>
              <w:spacing w:before="0" w:after="283"/>
              <w:rPr>
                <w:sz w:val="4"/>
                <w:szCs w:val="4"/>
              </w:rPr>
            </w:pPr>
            <w:r>
              <w:rPr>
                <w:sz w:val="4"/>
                <w:szCs w:val="4"/>
              </w:rPr>
            </w:r>
          </w:p>
        </w:tc>
        <w:tc>
          <w:tcPr>
            <w:tcW w:w="1301" w:type="dxa"/>
            <w:gridSpan w:val="4"/>
            <w:tcBorders/>
            <w:shd w:fill="auto" w:val="clear"/>
            <w:vAlign w:val="center"/>
          </w:tcPr>
          <w:p>
            <w:pPr>
              <w:pStyle w:val="TableContents"/>
              <w:spacing w:before="0" w:after="283"/>
              <w:rPr>
                <w:sz w:val="4"/>
                <w:szCs w:val="4"/>
              </w:rPr>
            </w:pPr>
            <w:r>
              <w:rPr>
                <w:sz w:val="4"/>
                <w:szCs w:val="4"/>
              </w:rPr>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61,196</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4,849</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66,045</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4,407</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1,079</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5,513</w:t>
            </w:r>
          </w:p>
        </w:tc>
        <w:tc>
          <w:tcPr>
            <w:tcW w:w="131" w:type="dxa"/>
            <w:tcBorders/>
            <w:shd w:fill="auto" w:val="clear"/>
            <w:vAlign w:val="bottom"/>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2,885</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3,563</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Gain on sale or disposal of assets</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net</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56,151</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4,664</w:t>
            </w:r>
          </w:p>
        </w:tc>
        <w:tc>
          <w:tcPr>
            <w:tcW w:w="125"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60,693</w:t>
            </w:r>
          </w:p>
        </w:tc>
        <w:tc>
          <w:tcPr>
            <w:tcW w:w="131" w:type="dxa"/>
            <w:tcBorders/>
            <w:shd w:fill="auto" w:val="clear"/>
            <w:vAlign w:val="bottom"/>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7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11,411</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49,282</w:t>
            </w:r>
          </w:p>
        </w:tc>
        <w:tc>
          <w:tcPr>
            <w:tcW w:w="131" w:type="dxa"/>
            <w:tcBorders/>
            <w:shd w:fill="auto" w:val="clear"/>
            <w:vAlign w:val="bottom"/>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147" w:type="dxa"/>
            <w:gridSpan w:val="9"/>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17,444</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31" w:type="dxa"/>
            <w:tcBorders/>
            <w:shd w:fill="auto" w:val="clear"/>
            <w:vAlign w:val="bottom"/>
          </w:tcPr>
          <w:p>
            <w:pPr>
              <w:pStyle w:val="TableContents"/>
              <w:spacing w:before="0" w:after="283"/>
              <w:rPr/>
            </w:pPr>
            <w:r>
              <w:rPr/>
              <w:t>  </w:t>
            </w:r>
          </w:p>
        </w:tc>
      </w:tr>
      <w:tr>
        <w:trPr/>
        <w:tc>
          <w:tcPr>
            <w:tcW w:w="432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redeemable noncontrolling interest</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7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1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432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328"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31" w:type="dxa"/>
            <w:tcBorders/>
            <w:shd w:fill="auto" w:val="clear"/>
            <w:vAlign w:val="bottom"/>
          </w:tcPr>
          <w:p>
            <w:pPr>
              <w:pStyle w:val="TableContents"/>
              <w:spacing w:before="0" w:after="283"/>
              <w:rPr/>
            </w:pPr>
            <w:r>
              <w:rPr/>
              <w:t>  </w:t>
            </w:r>
          </w:p>
        </w:tc>
      </w:tr>
      <w:tr>
        <w:trPr/>
        <w:tc>
          <w:tcPr>
            <w:tcW w:w="432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600" w:type="pct"/>
        <w:jc w:val="center"/>
        <w:tblInd w:w="0" w:type="dxa"/>
        <w:tblCellMar>
          <w:top w:w="0" w:type="dxa"/>
          <w:left w:w="0" w:type="dxa"/>
          <w:bottom w:w="0" w:type="dxa"/>
          <w:right w:w="0" w:type="dxa"/>
        </w:tblCellMar>
      </w:tblPr>
      <w:tblGrid>
        <w:gridCol w:w="4506"/>
        <w:gridCol w:w="314"/>
        <w:gridCol w:w="125"/>
        <w:gridCol w:w="734"/>
        <w:gridCol w:w="125"/>
        <w:gridCol w:w="270"/>
        <w:gridCol w:w="125"/>
        <w:gridCol w:w="601"/>
        <w:gridCol w:w="120"/>
        <w:gridCol w:w="314"/>
        <w:gridCol w:w="143"/>
        <w:gridCol w:w="627"/>
        <w:gridCol w:w="125"/>
        <w:gridCol w:w="270"/>
        <w:gridCol w:w="125"/>
        <w:gridCol w:w="734"/>
        <w:gridCol w:w="130"/>
      </w:tblGrid>
      <w:tr>
        <w:trPr/>
        <w:tc>
          <w:tcPr>
            <w:tcW w:w="450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50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4438"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 2012</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w:t>
              <w:br/>
              <w:t>Canada</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7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w:t>
              <w:br/>
              <w:t>America</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7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4438"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162,050</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19,841</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181,891</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102,280</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7,298</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109,578</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104,875</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11,361</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116,236</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87,818</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7,383</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95,407</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Other revenues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1,795</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2,039</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458,818</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46,127</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505,151</w:t>
            </w:r>
          </w:p>
        </w:tc>
        <w:tc>
          <w:tcPr>
            <w:tcW w:w="130" w:type="dxa"/>
            <w:tcBorders/>
            <w:shd w:fill="CCEEFF" w:val="clear"/>
            <w:vAlign w:val="bottom"/>
          </w:tcPr>
          <w:p>
            <w:pPr>
              <w:pStyle w:val="TableContents"/>
              <w:spacing w:before="0" w:after="283"/>
              <w:rPr/>
            </w:pPr>
            <w:r>
              <w:rPr/>
              <w:t>  </w:t>
            </w:r>
          </w:p>
        </w:tc>
      </w:tr>
      <w:tr>
        <w:trPr>
          <w:trHeight w:val="120" w:hRule="atLeast"/>
        </w:trPr>
        <w:tc>
          <w:tcPr>
            <w:tcW w:w="4506" w:type="dxa"/>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116"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1259" w:type="dxa"/>
            <w:gridSpan w:val="4"/>
            <w:tcBorders/>
            <w:shd w:fill="auto" w:val="clear"/>
            <w:vAlign w:val="center"/>
          </w:tcPr>
          <w:p>
            <w:pPr>
              <w:pStyle w:val="TableContents"/>
              <w:spacing w:before="0" w:after="283"/>
              <w:rPr>
                <w:sz w:val="4"/>
                <w:szCs w:val="4"/>
              </w:rPr>
            </w:pPr>
            <w:r>
              <w:rPr>
                <w:sz w:val="4"/>
                <w:szCs w:val="4"/>
              </w:rPr>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93,950</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10,326</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104,276</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62,687</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5,047</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67,734</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17,491</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285,413</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30,246</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315,650</w:t>
            </w:r>
          </w:p>
        </w:tc>
        <w:tc>
          <w:tcPr>
            <w:tcW w:w="130" w:type="dxa"/>
            <w:tcBorders/>
            <w:shd w:fill="CCEEFF" w:val="clear"/>
            <w:vAlign w:val="bottom"/>
          </w:tcPr>
          <w:p>
            <w:pPr>
              <w:pStyle w:val="TableContents"/>
              <w:spacing w:before="0" w:after="283"/>
              <w:rPr/>
            </w:pPr>
            <w:r>
              <w:rPr/>
              <w:t>  </w:t>
            </w:r>
          </w:p>
        </w:tc>
      </w:tr>
      <w:tr>
        <w:trPr>
          <w:trHeight w:val="120" w:hRule="atLeast"/>
        </w:trPr>
        <w:tc>
          <w:tcPr>
            <w:tcW w:w="4506" w:type="dxa"/>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116"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1259" w:type="dxa"/>
            <w:gridSpan w:val="4"/>
            <w:tcBorders/>
            <w:shd w:fill="auto" w:val="clear"/>
            <w:vAlign w:val="center"/>
          </w:tcPr>
          <w:p>
            <w:pPr>
              <w:pStyle w:val="TableContents"/>
              <w:spacing w:before="0" w:after="283"/>
              <w:rPr>
                <w:sz w:val="4"/>
                <w:szCs w:val="4"/>
              </w:rPr>
            </w:pPr>
            <w:r>
              <w:rPr>
                <w:sz w:val="4"/>
                <w:szCs w:val="4"/>
              </w:rPr>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137,215</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14,209</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151,770</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11,871</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5,629</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17,922</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6,771</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3,174</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9,981</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(Gain) loss on sale or disposal of assets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net</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1,733</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1,737</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129,996</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5,484</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7,989</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143,469</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26,735</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116,734</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059" w:type="dxa"/>
            <w:gridSpan w:val="9"/>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40,009</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redeemable noncontrolling interest</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600" w:type="pct"/>
        <w:jc w:val="center"/>
        <w:tblInd w:w="0" w:type="dxa"/>
        <w:tblCellMar>
          <w:top w:w="0" w:type="dxa"/>
          <w:left w:w="0" w:type="dxa"/>
          <w:bottom w:w="0" w:type="dxa"/>
          <w:right w:w="0" w:type="dxa"/>
        </w:tblCellMar>
      </w:tblPr>
      <w:tblGrid>
        <w:gridCol w:w="4506"/>
        <w:gridCol w:w="314"/>
        <w:gridCol w:w="125"/>
        <w:gridCol w:w="734"/>
        <w:gridCol w:w="125"/>
        <w:gridCol w:w="270"/>
        <w:gridCol w:w="125"/>
        <w:gridCol w:w="601"/>
        <w:gridCol w:w="120"/>
        <w:gridCol w:w="314"/>
        <w:gridCol w:w="143"/>
        <w:gridCol w:w="627"/>
        <w:gridCol w:w="125"/>
        <w:gridCol w:w="270"/>
        <w:gridCol w:w="125"/>
        <w:gridCol w:w="734"/>
        <w:gridCol w:w="130"/>
      </w:tblGrid>
      <w:tr>
        <w:trPr/>
        <w:tc>
          <w:tcPr>
            <w:tcW w:w="450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50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4438"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 2011</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w:t>
              <w:br/>
              <w:t>Canada</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7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w:t>
              <w:br/>
              <w:t>America</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7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4438"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138,725</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10,928</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149,653</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91,554</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7,106</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98,660</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89,509</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7,070</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96,579</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86,782</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86,782</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Other revenues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406,948</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25,132</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432,080</w:t>
            </w:r>
          </w:p>
        </w:tc>
        <w:tc>
          <w:tcPr>
            <w:tcW w:w="130" w:type="dxa"/>
            <w:tcBorders/>
            <w:shd w:fill="CCEEFF" w:val="clear"/>
            <w:vAlign w:val="bottom"/>
          </w:tcPr>
          <w:p>
            <w:pPr>
              <w:pStyle w:val="TableContents"/>
              <w:spacing w:before="0" w:after="283"/>
              <w:rPr/>
            </w:pPr>
            <w:r>
              <w:rPr/>
              <w:t>  </w:t>
            </w:r>
          </w:p>
        </w:tc>
      </w:tr>
      <w:tr>
        <w:trPr>
          <w:trHeight w:val="120" w:hRule="atLeast"/>
        </w:trPr>
        <w:tc>
          <w:tcPr>
            <w:tcW w:w="4506" w:type="dxa"/>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116"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1259" w:type="dxa"/>
            <w:gridSpan w:val="4"/>
            <w:tcBorders/>
            <w:shd w:fill="auto" w:val="clear"/>
            <w:vAlign w:val="center"/>
          </w:tcPr>
          <w:p>
            <w:pPr>
              <w:pStyle w:val="TableContents"/>
              <w:spacing w:before="0" w:after="283"/>
              <w:rPr>
                <w:sz w:val="4"/>
                <w:szCs w:val="4"/>
              </w:rPr>
            </w:pPr>
            <w:r>
              <w:rPr>
                <w:sz w:val="4"/>
                <w:szCs w:val="4"/>
              </w:rPr>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79,681</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6,269</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85,950</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58,465</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5,715</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64,180</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252,034</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13,148</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265,182</w:t>
            </w:r>
          </w:p>
        </w:tc>
        <w:tc>
          <w:tcPr>
            <w:tcW w:w="130" w:type="dxa"/>
            <w:tcBorders/>
            <w:shd w:fill="CCEEFF" w:val="clear"/>
            <w:vAlign w:val="bottom"/>
          </w:tcPr>
          <w:p>
            <w:pPr>
              <w:pStyle w:val="TableContents"/>
              <w:spacing w:before="0" w:after="283"/>
              <w:rPr/>
            </w:pPr>
            <w:r>
              <w:rPr/>
              <w:t>  </w:t>
            </w:r>
          </w:p>
        </w:tc>
      </w:tr>
      <w:tr>
        <w:trPr>
          <w:trHeight w:val="120" w:hRule="atLeast"/>
        </w:trPr>
        <w:tc>
          <w:tcPr>
            <w:tcW w:w="4506" w:type="dxa"/>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c>
          <w:tcPr>
            <w:tcW w:w="1116" w:type="dxa"/>
            <w:gridSpan w:val="4"/>
            <w:tcBorders/>
            <w:shd w:fill="auto" w:val="clear"/>
            <w:vAlign w:val="center"/>
          </w:tcPr>
          <w:p>
            <w:pPr>
              <w:pStyle w:val="TableContents"/>
              <w:spacing w:before="0" w:after="283"/>
              <w:rPr>
                <w:sz w:val="4"/>
                <w:szCs w:val="4"/>
              </w:rPr>
            </w:pPr>
            <w:r>
              <w:rPr>
                <w:sz w:val="4"/>
                <w:szCs w:val="4"/>
              </w:rPr>
            </w:r>
          </w:p>
        </w:tc>
        <w:tc>
          <w:tcPr>
            <w:tcW w:w="1209" w:type="dxa"/>
            <w:gridSpan w:val="4"/>
            <w:tcBorders/>
            <w:shd w:fill="auto" w:val="clear"/>
            <w:vAlign w:val="center"/>
          </w:tcPr>
          <w:p>
            <w:pPr>
              <w:pStyle w:val="TableContents"/>
              <w:spacing w:before="0" w:after="283"/>
              <w:rPr>
                <w:sz w:val="4"/>
                <w:szCs w:val="4"/>
              </w:rPr>
            </w:pPr>
            <w:r>
              <w:rPr>
                <w:sz w:val="4"/>
                <w:szCs w:val="4"/>
              </w:rPr>
            </w:r>
          </w:p>
        </w:tc>
        <w:tc>
          <w:tcPr>
            <w:tcW w:w="1259" w:type="dxa"/>
            <w:gridSpan w:val="4"/>
            <w:tcBorders/>
            <w:shd w:fill="auto" w:val="clear"/>
            <w:vAlign w:val="center"/>
          </w:tcPr>
          <w:p>
            <w:pPr>
              <w:pStyle w:val="TableContents"/>
              <w:spacing w:before="0" w:after="283"/>
              <w:rPr>
                <w:sz w:val="4"/>
                <w:szCs w:val="4"/>
              </w:rPr>
            </w:pPr>
            <w:r>
              <w:rPr>
                <w:sz w:val="4"/>
                <w:szCs w:val="4"/>
              </w:rPr>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121,422</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9,127</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130,549</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9,810</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2,016</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11,878</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amoritzation</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5,602</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1,281</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6,883</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(Gain) loss on sale or disposal of assets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net</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0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115,369</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720</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8,067</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124,156</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expenses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32,339</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taxes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91,817</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059" w:type="dxa"/>
            <w:gridSpan w:val="9"/>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32,550</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0" w:type="dxa"/>
            <w:tcBorders/>
            <w:shd w:fill="auto" w:val="clear"/>
            <w:vAlign w:val="bottom"/>
          </w:tcPr>
          <w:p>
            <w:pPr>
              <w:pStyle w:val="TableContents"/>
              <w:spacing w:before="0" w:after="283"/>
              <w:rPr/>
            </w:pPr>
            <w:r>
              <w:rPr/>
              <w:t>  </w:t>
            </w:r>
          </w:p>
        </w:tc>
      </w:tr>
      <w:tr>
        <w:trPr/>
        <w:tc>
          <w:tcPr>
            <w:tcW w:w="450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redeemable noncontrolling interest</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0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0" w:type="dxa"/>
            <w:tcBorders/>
            <w:shd w:fill="auto" w:val="clear"/>
            <w:vAlign w:val="bottom"/>
          </w:tcPr>
          <w:p>
            <w:pPr>
              <w:pStyle w:val="TableContents"/>
              <w:spacing w:before="0" w:after="283"/>
              <w:rPr/>
            </w:pPr>
            <w:r>
              <w:rPr/>
              <w:t>  </w:t>
            </w:r>
          </w:p>
        </w:tc>
      </w:tr>
      <w:tr>
        <w:trPr/>
        <w:tc>
          <w:tcPr>
            <w:tcW w:w="4506"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presents separately identified segment assets: </w:t>
      </w:r>
    </w:p>
    <w:p>
      <w:pPr>
        <w:pStyle w:val="TextBody"/>
        <w:spacing w:before="0" w:after="0"/>
        <w:rPr/>
      </w:pPr>
      <w:r>
        <w:rPr/>
        <w: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386"/>
        <w:gridCol w:w="311"/>
        <w:gridCol w:w="125"/>
        <w:gridCol w:w="697"/>
        <w:gridCol w:w="120"/>
        <w:gridCol w:w="311"/>
        <w:gridCol w:w="125"/>
        <w:gridCol w:w="697"/>
        <w:gridCol w:w="120"/>
        <w:gridCol w:w="311"/>
        <w:gridCol w:w="215"/>
        <w:gridCol w:w="594"/>
        <w:gridCol w:w="120"/>
        <w:gridCol w:w="311"/>
        <w:gridCol w:w="124"/>
        <w:gridCol w:w="697"/>
        <w:gridCol w:w="124"/>
      </w:tblGrid>
      <w:tr>
        <w:trPr/>
        <w:tc>
          <w:tcPr>
            <w:tcW w:w="438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38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&amp;</w:t>
              <w:br/>
              <w:t>Canada</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Latin</w:t>
              <w:br/>
              <w:t>America</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International</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24" w:type="dxa"/>
            <w:tcBorders/>
            <w:shd w:fill="auto" w:val="clear"/>
            <w:vAlign w:val="bottom"/>
          </w:tcPr>
          <w:p>
            <w:pPr>
              <w:pStyle w:val="TableContents"/>
              <w:spacing w:before="0" w:after="283"/>
              <w:rPr/>
            </w:pPr>
            <w:r>
              <w:rPr/>
              <w:t> </w:t>
            </w:r>
          </w:p>
        </w:tc>
      </w:tr>
      <w:tr>
        <w:trPr/>
        <w:tc>
          <w:tcPr>
            <w:tcW w:w="4386"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4567"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b/>
                <w:sz w:val="20"/>
                <w:u w:val="single"/>
              </w:rPr>
            </w:pPr>
            <w:r>
              <w:rPr>
                <w:rFonts w:ascii="Times New Roman" w:hAnsi="Times New Roman"/>
                <w:b/>
                <w:sz w:val="20"/>
                <w:u w:val="single"/>
              </w:rPr>
              <w:t>Assets at March 31, 2012:</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 net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108,804</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13,501</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122,305</w:t>
            </w:r>
          </w:p>
        </w:tc>
        <w:tc>
          <w:tcPr>
            <w:tcW w:w="124" w:type="dxa"/>
            <w:tcBorders/>
            <w:shd w:fill="auto" w:val="clear"/>
            <w:vAlign w:val="bottom"/>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net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14,072</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62,579</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76,738</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25,886</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20,933</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46,847</w:t>
            </w:r>
          </w:p>
        </w:tc>
        <w:tc>
          <w:tcPr>
            <w:tcW w:w="124" w:type="dxa"/>
            <w:tcBorders/>
            <w:shd w:fill="auto" w:val="clear"/>
            <w:vAlign w:val="bottom"/>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 net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77,190</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10,701</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87,891</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57,241</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19,180</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76,421</w:t>
            </w:r>
          </w:p>
        </w:tc>
        <w:tc>
          <w:tcPr>
            <w:tcW w:w="124" w:type="dxa"/>
            <w:tcBorders/>
            <w:shd w:fill="auto" w:val="clear"/>
            <w:vAlign w:val="bottom"/>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213,967</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106,725</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320,692</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Total separately identified recorded segment assets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497,160</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233,619</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730,894</w:t>
            </w:r>
          </w:p>
        </w:tc>
        <w:tc>
          <w:tcPr>
            <w:tcW w:w="124" w:type="dxa"/>
            <w:tcBorders/>
            <w:shd w:fill="auto" w:val="clear"/>
            <w:vAlign w:val="bottom"/>
          </w:tcPr>
          <w:p>
            <w:pPr>
              <w:pStyle w:val="TableContents"/>
              <w:spacing w:before="0" w:after="283"/>
              <w:rPr/>
            </w:pPr>
            <w:r>
              <w:rPr/>
              <w:t>  </w:t>
            </w:r>
          </w:p>
        </w:tc>
      </w:tr>
      <w:tr>
        <w:trPr/>
        <w:tc>
          <w:tcPr>
            <w:tcW w:w="438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283"/>
              <w:rPr/>
            </w:pPr>
            <w:r>
              <w:rPr/>
              <w:t> </w:t>
            </w:r>
          </w:p>
        </w:tc>
        <w:tc>
          <w:tcPr>
            <w:tcW w:w="59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outstanding from unaffiliated lenders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20,056</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20,056</w:t>
            </w:r>
          </w:p>
        </w:tc>
        <w:tc>
          <w:tcPr>
            <w:tcW w:w="124" w:type="dxa"/>
            <w:tcBorders/>
            <w:shd w:fill="CCEEFF" w:val="clear"/>
            <w:vAlign w:val="bottom"/>
          </w:tcPr>
          <w:p>
            <w:pPr>
              <w:pStyle w:val="TableContents"/>
              <w:spacing w:before="0" w:after="283"/>
              <w:rPr/>
            </w:pPr>
            <w:r>
              <w:rPr/>
              <w:t>  </w:t>
            </w:r>
          </w:p>
        </w:tc>
      </w:tr>
      <w:tr>
        <w:trPr>
          <w:trHeight w:val="120" w:hRule="atLeast"/>
        </w:trPr>
        <w:tc>
          <w:tcPr>
            <w:tcW w:w="4386" w:type="dxa"/>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56" w:type="dxa"/>
            <w:gridSpan w:val="4"/>
            <w:tcBorders/>
            <w:shd w:fill="auto" w:val="clear"/>
            <w:vAlign w:val="center"/>
          </w:tcPr>
          <w:p>
            <w:pPr>
              <w:pStyle w:val="TableContents"/>
              <w:spacing w:before="0" w:after="283"/>
              <w:rPr>
                <w:sz w:val="4"/>
                <w:szCs w:val="4"/>
              </w:rPr>
            </w:pPr>
            <w:r>
              <w:rPr>
                <w:sz w:val="4"/>
                <w:szCs w:val="4"/>
              </w:rPr>
            </w:r>
          </w:p>
        </w:tc>
      </w:tr>
      <w:tr>
        <w:trPr/>
        <w:tc>
          <w:tcPr>
            <w:tcW w:w="4386" w:type="dxa"/>
            <w:tcBorders/>
            <w:shd w:fill="auto" w:val="clear"/>
          </w:tcPr>
          <w:p>
            <w:pPr>
              <w:pStyle w:val="TableContents"/>
              <w:spacing w:before="0" w:after="283"/>
              <w:rPr>
                <w:rFonts w:ascii="Times New Roman" w:hAnsi="Times New Roman"/>
                <w:b/>
                <w:sz w:val="20"/>
                <w:u w:val="single"/>
              </w:rPr>
            </w:pPr>
            <w:r>
              <w:rPr>
                <w:rFonts w:ascii="Times New Roman" w:hAnsi="Times New Roman"/>
                <w:b/>
                <w:sz w:val="20"/>
                <w:u w:val="single"/>
              </w:rPr>
              <w:t>Assets at March 31, 2011:</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sz w:val="4"/>
                <w:szCs w:val="4"/>
              </w:rPr>
            </w:pPr>
            <w:r>
              <w:rPr>
                <w:sz w:val="4"/>
                <w:szCs w:val="4"/>
              </w:rPr>
            </w:r>
          </w:p>
        </w:tc>
        <w:tc>
          <w:tcPr>
            <w:tcW w:w="59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Pawn loans, net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97,375</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9,150</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106,525</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loans, net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11,948</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11,948</w:t>
            </w:r>
          </w:p>
        </w:tc>
        <w:tc>
          <w:tcPr>
            <w:tcW w:w="124" w:type="dxa"/>
            <w:tcBorders/>
            <w:shd w:fill="auto" w:val="clear"/>
            <w:vAlign w:val="bottom"/>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24,647</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1,355</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26,002</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63,242</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7,033</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70,275</w:t>
            </w:r>
          </w:p>
        </w:tc>
        <w:tc>
          <w:tcPr>
            <w:tcW w:w="124" w:type="dxa"/>
            <w:tcBorders/>
            <w:shd w:fill="auto" w:val="clear"/>
            <w:vAlign w:val="bottom"/>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46,155</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11,925</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58,080</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136,039</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7,365</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143,404</w:t>
            </w:r>
          </w:p>
        </w:tc>
        <w:tc>
          <w:tcPr>
            <w:tcW w:w="124" w:type="dxa"/>
            <w:tcBorders/>
            <w:shd w:fill="auto" w:val="clear"/>
            <w:vAlign w:val="bottom"/>
          </w:tcPr>
          <w:p>
            <w:pPr>
              <w:pStyle w:val="TableContents"/>
              <w:spacing w:before="0" w:after="283"/>
              <w:rPr/>
            </w:pPr>
            <w:r>
              <w:rPr/>
              <w:t>  </w:t>
            </w:r>
          </w:p>
        </w:tc>
      </w:tr>
      <w:tr>
        <w:trPr/>
        <w:tc>
          <w:tcPr>
            <w:tcW w:w="438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Total separately identified recorded segment assets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379,406</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36,828</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416,234</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283"/>
              <w:rPr/>
            </w:pPr>
            <w:r>
              <w:rPr/>
              <w:t> </w:t>
            </w:r>
          </w:p>
        </w:tc>
        <w:tc>
          <w:tcPr>
            <w:tcW w:w="59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loans outstanding from unaffiliated lenders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21,504</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21,504</w:t>
            </w:r>
          </w:p>
        </w:tc>
        <w:tc>
          <w:tcPr>
            <w:tcW w:w="124" w:type="dxa"/>
            <w:tcBorders/>
            <w:shd w:fill="auto" w:val="clear"/>
            <w:vAlign w:val="bottom"/>
          </w:tcPr>
          <w:p>
            <w:pPr>
              <w:pStyle w:val="TableContents"/>
              <w:spacing w:before="0" w:after="283"/>
              <w:rPr/>
            </w:pPr>
            <w:r>
              <w:rPr/>
              <w:t>  </w:t>
            </w:r>
          </w:p>
        </w:tc>
      </w:tr>
      <w:tr>
        <w:trPr>
          <w:trHeight w:val="120" w:hRule="atLeast"/>
        </w:trPr>
        <w:tc>
          <w:tcPr>
            <w:tcW w:w="4386" w:type="dxa"/>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253"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56" w:type="dxa"/>
            <w:gridSpan w:val="4"/>
            <w:tcBorders/>
            <w:shd w:fill="auto" w:val="clear"/>
            <w:vAlign w:val="center"/>
          </w:tcPr>
          <w:p>
            <w:pPr>
              <w:pStyle w:val="TableContents"/>
              <w:spacing w:before="0" w:after="283"/>
              <w:rPr>
                <w:sz w:val="4"/>
                <w:szCs w:val="4"/>
              </w:rPr>
            </w:pPr>
            <w:r>
              <w:rPr>
                <w:sz w:val="4"/>
                <w:szCs w:val="4"/>
              </w:rPr>
            </w:r>
          </w:p>
        </w:tc>
      </w:tr>
      <w:tr>
        <w:trPr/>
        <w:tc>
          <w:tcPr>
            <w:tcW w:w="4386" w:type="dxa"/>
            <w:tcBorders/>
            <w:shd w:fill="CCEEFF" w:val="clear"/>
          </w:tcPr>
          <w:p>
            <w:pPr>
              <w:pStyle w:val="TableContents"/>
              <w:spacing w:before="0" w:after="283"/>
              <w:rPr>
                <w:rFonts w:ascii="Times New Roman" w:hAnsi="Times New Roman"/>
                <w:b/>
                <w:sz w:val="20"/>
                <w:u w:val="single"/>
              </w:rPr>
            </w:pPr>
            <w:r>
              <w:rPr>
                <w:rFonts w:ascii="Times New Roman" w:hAnsi="Times New Roman"/>
                <w:b/>
                <w:sz w:val="20"/>
                <w:u w:val="single"/>
              </w:rPr>
              <w:t>Assets at September 30, 2011:</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 net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134,457</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10,861</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145,318</w:t>
            </w:r>
          </w:p>
        </w:tc>
        <w:tc>
          <w:tcPr>
            <w:tcW w:w="124" w:type="dxa"/>
            <w:tcBorders/>
            <w:shd w:fill="auto" w:val="clear"/>
            <w:vAlign w:val="bottom"/>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net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14,611</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14,611</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31,567</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1,663</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33,230</w:t>
            </w:r>
          </w:p>
        </w:tc>
        <w:tc>
          <w:tcPr>
            <w:tcW w:w="124" w:type="dxa"/>
            <w:tcBorders/>
            <w:shd w:fill="auto" w:val="clear"/>
            <w:vAlign w:val="bottom"/>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 net</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81,859</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8,514</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90,373</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51,469</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12,769</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64,238</w:t>
            </w:r>
          </w:p>
        </w:tc>
        <w:tc>
          <w:tcPr>
            <w:tcW w:w="124" w:type="dxa"/>
            <w:tcBorders/>
            <w:shd w:fill="auto" w:val="clear"/>
            <w:vAlign w:val="bottom"/>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163,897</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9,309</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24" w:type="dxa"/>
            <w:tcBorders/>
            <w:shd w:fill="CCEEFF" w:val="clear"/>
            <w:vAlign w:val="bottom"/>
          </w:tcPr>
          <w:p>
            <w:pPr>
              <w:pStyle w:val="TableContents"/>
              <w:spacing w:before="0" w:after="283"/>
              <w:rPr/>
            </w:pPr>
            <w:r>
              <w:rPr/>
              <w:t>  </w:t>
            </w:r>
          </w:p>
        </w:tc>
      </w:tr>
      <w:tr>
        <w:trPr/>
        <w:tc>
          <w:tcPr>
            <w:tcW w:w="438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386" w:type="dxa"/>
            <w:tcBorders/>
            <w:shd w:fill="auto" w:val="clear"/>
          </w:tcPr>
          <w:p>
            <w:pPr>
              <w:pStyle w:val="TableContents"/>
              <w:spacing w:before="0" w:after="283"/>
              <w:rPr>
                <w:rFonts w:ascii="Times New Roman" w:hAnsi="Times New Roman"/>
                <w:sz w:val="20"/>
              </w:rPr>
            </w:pPr>
            <w:r>
              <w:rPr>
                <w:rFonts w:ascii="Times New Roman" w:hAnsi="Times New Roman"/>
                <w:sz w:val="20"/>
              </w:rPr>
              <w:t>Total separately identified recorded segment assets</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477,860</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43,116</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520,976</w:t>
            </w:r>
          </w:p>
        </w:tc>
        <w:tc>
          <w:tcPr>
            <w:tcW w:w="124" w:type="dxa"/>
            <w:tcBorders/>
            <w:shd w:fill="auto" w:val="clear"/>
            <w:vAlign w:val="bottom"/>
          </w:tcPr>
          <w:p>
            <w:pPr>
              <w:pStyle w:val="TableContents"/>
              <w:spacing w:before="0" w:after="283"/>
              <w:rPr/>
            </w:pPr>
            <w:r>
              <w:rPr/>
              <w:t>  </w:t>
            </w:r>
          </w:p>
        </w:tc>
      </w:tr>
      <w:tr>
        <w:trPr/>
        <w:tc>
          <w:tcPr>
            <w:tcW w:w="4386"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283"/>
              <w:rPr/>
            </w:pPr>
            <w:r>
              <w:rPr/>
              <w:t> </w:t>
            </w:r>
          </w:p>
        </w:tc>
        <w:tc>
          <w:tcPr>
            <w:tcW w:w="59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38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outstanding from unaffiliated lenders</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27,040</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27,040</w:t>
            </w:r>
          </w:p>
        </w:tc>
        <w:tc>
          <w:tcPr>
            <w:tcW w:w="124"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Note: Property and equipment, net on the Condensed Consolidating Balance Sheet includes corporate amounts that are not shown in the tables above. </w:t>
      </w:r>
    </w:p>
    <w:p>
      <w:pPr>
        <w:pStyle w:val="TextBody"/>
        <w:spacing w:before="270" w:after="0"/>
        <w:rPr>
          <w:rFonts w:ascii="Times New Roman" w:hAnsi="Times New Roman"/>
          <w:b/>
          <w:sz w:val="20"/>
        </w:rPr>
      </w:pPr>
      <w:r>
        <w:rPr>
          <w:rFonts w:ascii="Times New Roman" w:hAnsi="Times New Roman"/>
          <w:b/>
          <w:sz w:val="20"/>
        </w:rPr>
        <w:t xml:space="preserve">Note K: Allowance for Losses and Credit Quality of Financing Receivables </w:t>
      </w:r>
    </w:p>
    <w:p>
      <w:pPr>
        <w:pStyle w:val="TextBody"/>
        <w:spacing w:before="90" w:after="0"/>
        <w:rPr>
          <w:rFonts w:ascii="Times New Roman" w:hAnsi="Times New Roman"/>
          <w:sz w:val="20"/>
        </w:rPr>
      </w:pPr>
      <w:r>
        <w:rPr>
          <w:rFonts w:ascii="Times New Roman" w:hAnsi="Times New Roman"/>
          <w:sz w:val="20"/>
        </w:rPr>
        <w:t xml:space="preserve">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 </w:t>
      </w:r>
    </w:p>
    <w:p>
      <w:pPr>
        <w:pStyle w:val="TextBody"/>
        <w:spacing w:before="180" w:after="0"/>
        <w:rPr>
          <w:rFonts w:ascii="Times New Roman" w:hAnsi="Times New Roman"/>
          <w:sz w:val="20"/>
        </w:rPr>
      </w:pPr>
      <w:r>
        <w:rPr>
          <w:rFonts w:ascii="Times New Roman" w:hAnsi="Times New Roman"/>
          <w:sz w:val="20"/>
        </w:rPr>
        <w:t xml:space="preserve">We consider consumer loans made by our wholly owned subsidiaries defaulted if they have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consumer loan bad debt upon default, leaving only active loans in the reported balance. Accrued fees related to defaulted loans reduce fee revenue upon loan default, and increase fee revenue upon collection.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Based on historical collection experience, the age of past-due loans and amounts we expect to receive through the sale of repossessed vehicles, we provide an allowance for losses on auto title loans. </w:t>
      </w:r>
    </w:p>
    <w:p>
      <w:pPr>
        <w:pStyle w:val="TextBody"/>
        <w:spacing w:before="180" w:after="0"/>
        <w:rPr>
          <w:rFonts w:ascii="Times New Roman" w:hAnsi="Times New Roman"/>
          <w:sz w:val="20"/>
        </w:rPr>
      </w:pPr>
      <w:r>
        <w:rPr>
          <w:rFonts w:ascii="Times New Roman" w:hAnsi="Times New Roman"/>
          <w:sz w:val="20"/>
        </w:rPr>
        <w:t xml:space="preserve">The Crediamigo acquisition marked our initial entry into unsecured consumer lending in Mexico. Crediamigo considers consumer loans defaulted if the customer is no longer employed, and therefore Crediamigo is no longer entitled to payments via payroll withholdings. Once Crediamigo receives notice that the customers employment has been terminated, we charge the loan principal to consumer loan bad debt, leaving only active loans in the reported balance. Accrued fees related to defaulted loans reduce fee revenue upon default, and increase fee revenue upon collection. </w:t>
      </w:r>
    </w:p>
    <w:p>
      <w:pPr>
        <w:pStyle w:val="TextBody"/>
        <w:spacing w:before="180" w:after="0"/>
        <w:rPr>
          <w:rFonts w:ascii="Times New Roman" w:hAnsi="Times New Roman"/>
          <w:sz w:val="20"/>
        </w:rPr>
      </w:pPr>
      <w:r>
        <w:rPr>
          <w:rFonts w:ascii="Times New Roman" w:hAnsi="Times New Roman"/>
          <w:sz w:val="20"/>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t>
      </w:r>
    </w:p>
    <w:p>
      <w:pPr>
        <w:pStyle w:val="TextBody"/>
        <w:spacing w:before="180" w:after="0"/>
        <w:rPr>
          <w:rFonts w:ascii="Times New Roman" w:hAnsi="Times New Roman"/>
          <w:sz w:val="20"/>
        </w:rPr>
      </w:pPr>
      <w:r>
        <w:rPr>
          <w:rFonts w:ascii="Times New Roman" w:hAnsi="Times New Roman"/>
          <w:sz w:val="20"/>
        </w:rPr>
        <w:t xml:space="preserve">The following table presents changes in the allowance for credit losses as well as the recorded investment in our financing receivables by portfolio segment for the periods presented: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03"/>
        <w:gridCol w:w="206"/>
        <w:gridCol w:w="130"/>
        <w:gridCol w:w="534"/>
        <w:gridCol w:w="179"/>
        <w:gridCol w:w="164"/>
        <w:gridCol w:w="129"/>
        <w:gridCol w:w="576"/>
        <w:gridCol w:w="125"/>
        <w:gridCol w:w="164"/>
        <w:gridCol w:w="133"/>
        <w:gridCol w:w="542"/>
        <w:gridCol w:w="119"/>
        <w:gridCol w:w="206"/>
        <w:gridCol w:w="125"/>
        <w:gridCol w:w="520"/>
        <w:gridCol w:w="120"/>
        <w:gridCol w:w="206"/>
        <w:gridCol w:w="127"/>
        <w:gridCol w:w="526"/>
        <w:gridCol w:w="120"/>
        <w:gridCol w:w="205"/>
        <w:gridCol w:w="125"/>
        <w:gridCol w:w="593"/>
        <w:gridCol w:w="128"/>
      </w:tblGrid>
      <w:tr>
        <w:trPr/>
        <w:tc>
          <w:tcPr>
            <w:tcW w:w="420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420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w:t>
            </w:r>
          </w:p>
        </w:tc>
        <w:tc>
          <w:tcPr>
            <w:tcW w:w="206" w:type="dxa"/>
            <w:tcBorders/>
            <w:shd w:fill="auto" w:val="clear"/>
            <w:vAlign w:val="bottom"/>
          </w:tcPr>
          <w:p>
            <w:pPr>
              <w:pStyle w:val="TableContents"/>
              <w:spacing w:before="0" w:after="283"/>
              <w:rPr/>
            </w:pPr>
            <w:r>
              <w:rPr/>
              <w:t>  </w:t>
            </w:r>
          </w:p>
        </w:tc>
        <w:tc>
          <w:tcPr>
            <w:tcW w:w="6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Allowance</w:t>
              <w:br/>
              <w:t>Balance at</w:t>
              <w:br/>
              <w:t>Beginning</w:t>
              <w:br/>
              <w:t>of Period</w:t>
            </w:r>
          </w:p>
        </w:tc>
        <w:tc>
          <w:tcPr>
            <w:tcW w:w="17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Charge-offs</w:t>
            </w:r>
          </w:p>
        </w:tc>
        <w:tc>
          <w:tcPr>
            <w:tcW w:w="12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6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Recoveries</w:t>
            </w:r>
          </w:p>
        </w:tc>
        <w:tc>
          <w:tcPr>
            <w:tcW w:w="11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Provision</w:t>
            </w:r>
          </w:p>
        </w:tc>
        <w:tc>
          <w:tcPr>
            <w:tcW w:w="1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5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Allowance</w:t>
              <w:br/>
              <w:t>Balance at</w:t>
              <w:br/>
              <w:t>End of</w:t>
              <w:br/>
              <w:t>Period</w:t>
            </w:r>
          </w:p>
        </w:tc>
        <w:tc>
          <w:tcPr>
            <w:tcW w:w="12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Financing</w:t>
              <w:br/>
              <w:t>Receivable</w:t>
              <w:br/>
              <w:t>at End of</w:t>
              <w:br/>
              <w:t>Period</w:t>
            </w:r>
          </w:p>
        </w:tc>
        <w:tc>
          <w:tcPr>
            <w:tcW w:w="128" w:type="dxa"/>
            <w:tcBorders/>
            <w:shd w:fill="auto" w:val="clear"/>
            <w:vAlign w:val="bottom"/>
          </w:tcPr>
          <w:p>
            <w:pPr>
              <w:pStyle w:val="TableContents"/>
              <w:spacing w:before="0" w:after="283"/>
              <w:rPr/>
            </w:pPr>
            <w:r>
              <w:rPr/>
              <w:t> </w:t>
            </w:r>
          </w:p>
        </w:tc>
      </w:tr>
      <w:tr>
        <w:trPr/>
        <w:tc>
          <w:tcPr>
            <w:tcW w:w="420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668" w:type="dxa"/>
            <w:gridSpan w:val="22"/>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8" w:type="dxa"/>
            <w:tcBorders/>
            <w:shd w:fill="auto" w:val="clear"/>
            <w:vAlign w:val="bottom"/>
          </w:tcPr>
          <w:p>
            <w:pPr>
              <w:pStyle w:val="TableContents"/>
              <w:spacing w:before="0" w:after="283"/>
              <w:rPr/>
            </w:pPr>
            <w:r>
              <w:rPr/>
              <w:t> </w:t>
            </w:r>
          </w:p>
        </w:tc>
      </w:tr>
      <w:tr>
        <w:trPr/>
        <w:tc>
          <w:tcPr>
            <w:tcW w:w="4203" w:type="dxa"/>
            <w:tcBorders/>
            <w:shd w:fill="CCEEFF" w:val="clear"/>
          </w:tcPr>
          <w:p>
            <w:pPr>
              <w:pStyle w:val="TableContents"/>
              <w:spacing w:before="0" w:after="283"/>
              <w:rPr>
                <w:rFonts w:ascii="Times New Roman" w:hAnsi="Times New Roman"/>
                <w:b/>
                <w:sz w:val="20"/>
              </w:rPr>
            </w:pPr>
            <w:r>
              <w:rPr>
                <w:rFonts w:ascii="Times New Roman" w:hAnsi="Times New Roman"/>
                <w:b/>
                <w:sz w:val="20"/>
              </w:rPr>
              <w:t>Allowance for lossed on unsecured short-term consumer loans:</w:t>
            </w:r>
          </w:p>
        </w:tc>
        <w:tc>
          <w:tcPr>
            <w:tcW w:w="20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34"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57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4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52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4203" w:type="dxa"/>
            <w:tcBorders/>
            <w:shd w:fill="auto" w:val="clear"/>
          </w:tcPr>
          <w:p>
            <w:pPr>
              <w:pStyle w:val="TableContents"/>
              <w:spacing w:before="0" w:after="283"/>
              <w:rPr>
                <w:rFonts w:ascii="Times New Roman" w:hAnsi="Times New Roman"/>
                <w:sz w:val="20"/>
              </w:rPr>
            </w:pPr>
            <w:r>
              <w:rPr>
                <w:rFonts w:ascii="Times New Roman" w:hAnsi="Times New Roman"/>
                <w:sz w:val="20"/>
              </w:rPr>
              <w:t>Three Months Ended March 31, 2012</w:t>
            </w:r>
          </w:p>
        </w:tc>
        <w:tc>
          <w:tcPr>
            <w:tcW w:w="20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1,730</w:t>
            </w:r>
          </w:p>
        </w:tc>
        <w:tc>
          <w:tcPr>
            <w:tcW w:w="17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(4,275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2,245</w:t>
            </w:r>
          </w:p>
        </w:tc>
        <w:tc>
          <w:tcPr>
            <w:tcW w:w="11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1,741</w:t>
            </w:r>
          </w:p>
        </w:tc>
        <w:tc>
          <w:tcPr>
            <w:tcW w:w="1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1,441</w:t>
            </w:r>
          </w:p>
        </w:tc>
        <w:tc>
          <w:tcPr>
            <w:tcW w:w="12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12,892</w:t>
            </w:r>
          </w:p>
        </w:tc>
        <w:tc>
          <w:tcPr>
            <w:tcW w:w="128" w:type="dxa"/>
            <w:tcBorders/>
            <w:shd w:fill="auto" w:val="clear"/>
            <w:vAlign w:val="bottom"/>
          </w:tcPr>
          <w:p>
            <w:pPr>
              <w:pStyle w:val="TableContents"/>
              <w:spacing w:before="0" w:after="283"/>
              <w:rPr/>
            </w:pPr>
            <w:r>
              <w:rPr/>
              <w:t>  </w:t>
            </w:r>
          </w:p>
        </w:tc>
      </w:tr>
      <w:tr>
        <w:trPr/>
        <w:tc>
          <w:tcPr>
            <w:tcW w:w="4203" w:type="dxa"/>
            <w:tcBorders/>
            <w:shd w:fill="CCEEFF" w:val="clear"/>
          </w:tcPr>
          <w:p>
            <w:pPr>
              <w:pStyle w:val="TableContents"/>
              <w:spacing w:before="0" w:after="283"/>
              <w:rPr>
                <w:rFonts w:ascii="Times New Roman" w:hAnsi="Times New Roman"/>
                <w:sz w:val="20"/>
              </w:rPr>
            </w:pPr>
            <w:r>
              <w:rPr>
                <w:rFonts w:ascii="Times New Roman" w:hAnsi="Times New Roman"/>
                <w:sz w:val="20"/>
              </w:rPr>
              <w:t>Three Months Ended March 31, 2011</w:t>
            </w:r>
          </w:p>
        </w:tc>
        <w:tc>
          <w:tcPr>
            <w:tcW w:w="20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1,210</w:t>
            </w:r>
          </w:p>
        </w:tc>
        <w:tc>
          <w:tcPr>
            <w:tcW w:w="17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1,574</w:t>
            </w:r>
          </w:p>
        </w:tc>
        <w:tc>
          <w:tcPr>
            <w:tcW w:w="11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2,311</w:t>
            </w:r>
          </w:p>
        </w:tc>
        <w:tc>
          <w:tcPr>
            <w:tcW w:w="1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1,110</w:t>
            </w:r>
          </w:p>
        </w:tc>
        <w:tc>
          <w:tcPr>
            <w:tcW w:w="12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11,036</w:t>
            </w:r>
          </w:p>
        </w:tc>
        <w:tc>
          <w:tcPr>
            <w:tcW w:w="128" w:type="dxa"/>
            <w:tcBorders/>
            <w:shd w:fill="CCEEFF" w:val="clear"/>
            <w:vAlign w:val="bottom"/>
          </w:tcPr>
          <w:p>
            <w:pPr>
              <w:pStyle w:val="TableContents"/>
              <w:spacing w:before="0" w:after="283"/>
              <w:rPr/>
            </w:pPr>
            <w:r>
              <w:rPr/>
              <w:t>  </w:t>
            </w:r>
          </w:p>
        </w:tc>
      </w:tr>
      <w:tr>
        <w:trPr/>
        <w:tc>
          <w:tcPr>
            <w:tcW w:w="4203" w:type="dxa"/>
            <w:tcBorders/>
            <w:shd w:fill="auto" w:val="clear"/>
          </w:tcPr>
          <w:p>
            <w:pPr>
              <w:pStyle w:val="TableContents"/>
              <w:spacing w:before="0" w:after="283"/>
              <w:rPr>
                <w:rFonts w:ascii="Times New Roman" w:hAnsi="Times New Roman"/>
                <w:sz w:val="20"/>
              </w:rPr>
            </w:pPr>
            <w:r>
              <w:rPr>
                <w:rFonts w:ascii="Times New Roman" w:hAnsi="Times New Roman"/>
                <w:sz w:val="20"/>
              </w:rPr>
              <w:t>Six Months Ended March 31, 2012</w:t>
            </w:r>
          </w:p>
        </w:tc>
        <w:tc>
          <w:tcPr>
            <w:tcW w:w="20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1,727</w:t>
            </w:r>
          </w:p>
        </w:tc>
        <w:tc>
          <w:tcPr>
            <w:tcW w:w="17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(8,954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3,703</w:t>
            </w:r>
          </w:p>
        </w:tc>
        <w:tc>
          <w:tcPr>
            <w:tcW w:w="11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4,965</w:t>
            </w:r>
          </w:p>
        </w:tc>
        <w:tc>
          <w:tcPr>
            <w:tcW w:w="1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1,441</w:t>
            </w:r>
          </w:p>
        </w:tc>
        <w:tc>
          <w:tcPr>
            <w:tcW w:w="12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12,892</w:t>
            </w:r>
          </w:p>
        </w:tc>
        <w:tc>
          <w:tcPr>
            <w:tcW w:w="128" w:type="dxa"/>
            <w:tcBorders/>
            <w:shd w:fill="auto" w:val="clear"/>
            <w:vAlign w:val="bottom"/>
          </w:tcPr>
          <w:p>
            <w:pPr>
              <w:pStyle w:val="TableContents"/>
              <w:spacing w:before="0" w:after="283"/>
              <w:rPr/>
            </w:pPr>
            <w:r>
              <w:rPr/>
              <w:t>  </w:t>
            </w:r>
          </w:p>
        </w:tc>
      </w:tr>
      <w:tr>
        <w:trPr/>
        <w:tc>
          <w:tcPr>
            <w:tcW w:w="4203" w:type="dxa"/>
            <w:tcBorders/>
            <w:shd w:fill="CCEEFF" w:val="clear"/>
          </w:tcPr>
          <w:p>
            <w:pPr>
              <w:pStyle w:val="TableContents"/>
              <w:spacing w:before="0" w:after="283"/>
              <w:rPr>
                <w:rFonts w:ascii="Times New Roman" w:hAnsi="Times New Roman"/>
                <w:sz w:val="20"/>
              </w:rPr>
            </w:pPr>
            <w:r>
              <w:rPr>
                <w:rFonts w:ascii="Times New Roman" w:hAnsi="Times New Roman"/>
                <w:sz w:val="20"/>
              </w:rPr>
              <w:t>Six Months Ended March 31, 2011</w:t>
            </w:r>
          </w:p>
        </w:tc>
        <w:tc>
          <w:tcPr>
            <w:tcW w:w="20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7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(8,245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3,070</w:t>
            </w:r>
          </w:p>
        </w:tc>
        <w:tc>
          <w:tcPr>
            <w:tcW w:w="11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5,535</w:t>
            </w:r>
          </w:p>
        </w:tc>
        <w:tc>
          <w:tcPr>
            <w:tcW w:w="1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1,110</w:t>
            </w:r>
          </w:p>
        </w:tc>
        <w:tc>
          <w:tcPr>
            <w:tcW w:w="12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11,036</w:t>
            </w:r>
          </w:p>
        </w:tc>
        <w:tc>
          <w:tcPr>
            <w:tcW w:w="128" w:type="dxa"/>
            <w:tcBorders/>
            <w:shd w:fill="CCEEFF" w:val="clear"/>
            <w:vAlign w:val="bottom"/>
          </w:tcPr>
          <w:p>
            <w:pPr>
              <w:pStyle w:val="TableContents"/>
              <w:spacing w:before="0" w:after="283"/>
              <w:rPr/>
            </w:pPr>
            <w:r>
              <w:rPr/>
              <w:t>  </w:t>
            </w:r>
          </w:p>
        </w:tc>
      </w:tr>
      <w:tr>
        <w:trPr>
          <w:trHeight w:val="120" w:hRule="atLeast"/>
        </w:trPr>
        <w:tc>
          <w:tcPr>
            <w:tcW w:w="4203" w:type="dxa"/>
            <w:tcBorders/>
            <w:shd w:fill="auto" w:val="clear"/>
            <w:vAlign w:val="center"/>
          </w:tcPr>
          <w:p>
            <w:pPr>
              <w:pStyle w:val="TableContents"/>
              <w:spacing w:before="0" w:after="283"/>
              <w:rPr>
                <w:sz w:val="4"/>
                <w:szCs w:val="4"/>
              </w:rPr>
            </w:pPr>
            <w:r>
              <w:rPr>
                <w:sz w:val="4"/>
                <w:szCs w:val="4"/>
              </w:rPr>
            </w:r>
          </w:p>
        </w:tc>
        <w:tc>
          <w:tcPr>
            <w:tcW w:w="1049" w:type="dxa"/>
            <w:gridSpan w:val="4"/>
            <w:tcBorders/>
            <w:shd w:fill="auto" w:val="clear"/>
            <w:vAlign w:val="center"/>
          </w:tcPr>
          <w:p>
            <w:pPr>
              <w:pStyle w:val="TableContents"/>
              <w:spacing w:before="0" w:after="283"/>
              <w:rPr>
                <w:sz w:val="4"/>
                <w:szCs w:val="4"/>
              </w:rPr>
            </w:pPr>
            <w:r>
              <w:rPr>
                <w:sz w:val="4"/>
                <w:szCs w:val="4"/>
              </w:rPr>
            </w:r>
          </w:p>
        </w:tc>
        <w:tc>
          <w:tcPr>
            <w:tcW w:w="994" w:type="dxa"/>
            <w:gridSpan w:val="4"/>
            <w:tcBorders/>
            <w:shd w:fill="auto" w:val="clear"/>
            <w:vAlign w:val="center"/>
          </w:tcPr>
          <w:p>
            <w:pPr>
              <w:pStyle w:val="TableContents"/>
              <w:spacing w:before="0" w:after="283"/>
              <w:rPr>
                <w:sz w:val="4"/>
                <w:szCs w:val="4"/>
              </w:rPr>
            </w:pPr>
            <w:r>
              <w:rPr>
                <w:sz w:val="4"/>
                <w:szCs w:val="4"/>
              </w:rPr>
            </w:r>
          </w:p>
        </w:tc>
        <w:tc>
          <w:tcPr>
            <w:tcW w:w="958" w:type="dxa"/>
            <w:gridSpan w:val="4"/>
            <w:tcBorders/>
            <w:shd w:fill="auto" w:val="clear"/>
            <w:vAlign w:val="center"/>
          </w:tcPr>
          <w:p>
            <w:pPr>
              <w:pStyle w:val="TableContents"/>
              <w:spacing w:before="0" w:after="283"/>
              <w:rPr>
                <w:sz w:val="4"/>
                <w:szCs w:val="4"/>
              </w:rPr>
            </w:pPr>
            <w:r>
              <w:rPr>
                <w:sz w:val="4"/>
                <w:szCs w:val="4"/>
              </w:rPr>
            </w:r>
          </w:p>
        </w:tc>
        <w:tc>
          <w:tcPr>
            <w:tcW w:w="971"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051" w:type="dxa"/>
            <w:gridSpan w:val="4"/>
            <w:tcBorders/>
            <w:shd w:fill="auto" w:val="clear"/>
            <w:vAlign w:val="center"/>
          </w:tcPr>
          <w:p>
            <w:pPr>
              <w:pStyle w:val="TableContents"/>
              <w:spacing w:before="0" w:after="283"/>
              <w:rPr>
                <w:sz w:val="4"/>
                <w:szCs w:val="4"/>
              </w:rPr>
            </w:pPr>
            <w:r>
              <w:rPr>
                <w:sz w:val="4"/>
                <w:szCs w:val="4"/>
              </w:rPr>
            </w:r>
          </w:p>
        </w:tc>
      </w:tr>
      <w:tr>
        <w:trPr/>
        <w:tc>
          <w:tcPr>
            <w:tcW w:w="4203" w:type="dxa"/>
            <w:tcBorders/>
            <w:shd w:fill="auto" w:val="clear"/>
          </w:tcPr>
          <w:p>
            <w:pPr>
              <w:pStyle w:val="TableContents"/>
              <w:spacing w:before="0" w:after="283"/>
              <w:rPr>
                <w:rFonts w:ascii="Times New Roman" w:hAnsi="Times New Roman"/>
                <w:b/>
                <w:sz w:val="20"/>
              </w:rPr>
            </w:pPr>
            <w:r>
              <w:rPr>
                <w:rFonts w:ascii="Times New Roman" w:hAnsi="Times New Roman"/>
                <w:b/>
                <w:sz w:val="20"/>
              </w:rPr>
              <w:t>Allowance for losses on secured short-term consumer loans:</w:t>
            </w:r>
          </w:p>
        </w:tc>
        <w:tc>
          <w:tcPr>
            <w:tcW w:w="20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5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42"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4203" w:type="dxa"/>
            <w:tcBorders/>
            <w:shd w:fill="CCEEFF" w:val="clear"/>
          </w:tcPr>
          <w:p>
            <w:pPr>
              <w:pStyle w:val="TableContents"/>
              <w:spacing w:before="0" w:after="283"/>
              <w:rPr>
                <w:rFonts w:ascii="Times New Roman" w:hAnsi="Times New Roman"/>
                <w:sz w:val="20"/>
              </w:rPr>
            </w:pPr>
            <w:r>
              <w:rPr>
                <w:rFonts w:ascii="Times New Roman" w:hAnsi="Times New Roman"/>
                <w:sz w:val="20"/>
              </w:rPr>
              <w:t>Three Months Ended March 31, 2012</w:t>
            </w:r>
          </w:p>
        </w:tc>
        <w:tc>
          <w:tcPr>
            <w:tcW w:w="20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7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(4,427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3,823</w:t>
            </w:r>
          </w:p>
        </w:tc>
        <w:tc>
          <w:tcPr>
            <w:tcW w:w="11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c>
          <w:tcPr>
            <w:tcW w:w="1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708</w:t>
            </w:r>
          </w:p>
        </w:tc>
        <w:tc>
          <w:tcPr>
            <w:tcW w:w="12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3,418</w:t>
            </w:r>
          </w:p>
        </w:tc>
        <w:tc>
          <w:tcPr>
            <w:tcW w:w="128" w:type="dxa"/>
            <w:tcBorders/>
            <w:shd w:fill="CCEEFF" w:val="clear"/>
            <w:vAlign w:val="bottom"/>
          </w:tcPr>
          <w:p>
            <w:pPr>
              <w:pStyle w:val="TableContents"/>
              <w:spacing w:before="0" w:after="283"/>
              <w:rPr/>
            </w:pPr>
            <w:r>
              <w:rPr/>
              <w:t>  </w:t>
            </w:r>
          </w:p>
        </w:tc>
      </w:tr>
      <w:tr>
        <w:trPr/>
        <w:tc>
          <w:tcPr>
            <w:tcW w:w="4203" w:type="dxa"/>
            <w:tcBorders/>
            <w:shd w:fill="auto" w:val="clear"/>
          </w:tcPr>
          <w:p>
            <w:pPr>
              <w:pStyle w:val="TableContents"/>
              <w:spacing w:before="0" w:after="283"/>
              <w:rPr>
                <w:rFonts w:ascii="Times New Roman" w:hAnsi="Times New Roman"/>
                <w:sz w:val="20"/>
              </w:rPr>
            </w:pPr>
            <w:r>
              <w:rPr>
                <w:rFonts w:ascii="Times New Roman" w:hAnsi="Times New Roman"/>
                <w:sz w:val="20"/>
              </w:rPr>
              <w:t>Three Months Ended March 31, 2011</w:t>
            </w:r>
          </w:p>
        </w:tc>
        <w:tc>
          <w:tcPr>
            <w:tcW w:w="20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1,316</w:t>
            </w:r>
          </w:p>
        </w:tc>
        <w:tc>
          <w:tcPr>
            <w:tcW w:w="17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2,857</w:t>
            </w:r>
          </w:p>
        </w:tc>
        <w:tc>
          <w:tcPr>
            <w:tcW w:w="11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12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2,832</w:t>
            </w:r>
          </w:p>
        </w:tc>
        <w:tc>
          <w:tcPr>
            <w:tcW w:w="128" w:type="dxa"/>
            <w:tcBorders/>
            <w:shd w:fill="auto" w:val="clear"/>
            <w:vAlign w:val="bottom"/>
          </w:tcPr>
          <w:p>
            <w:pPr>
              <w:pStyle w:val="TableContents"/>
              <w:spacing w:before="0" w:after="283"/>
              <w:rPr/>
            </w:pPr>
            <w:r>
              <w:rPr/>
              <w:t>  </w:t>
            </w:r>
          </w:p>
        </w:tc>
      </w:tr>
      <w:tr>
        <w:trPr/>
        <w:tc>
          <w:tcPr>
            <w:tcW w:w="4203" w:type="dxa"/>
            <w:tcBorders/>
            <w:shd w:fill="CCEEFF" w:val="clear"/>
          </w:tcPr>
          <w:p>
            <w:pPr>
              <w:pStyle w:val="TableContents"/>
              <w:spacing w:before="0" w:after="283"/>
              <w:rPr>
                <w:rFonts w:ascii="Times New Roman" w:hAnsi="Times New Roman"/>
                <w:sz w:val="20"/>
              </w:rPr>
            </w:pPr>
            <w:r>
              <w:rPr>
                <w:rFonts w:ascii="Times New Roman" w:hAnsi="Times New Roman"/>
                <w:sz w:val="20"/>
              </w:rPr>
              <w:t>Six Months Ended March 31, 2012</w:t>
            </w:r>
          </w:p>
        </w:tc>
        <w:tc>
          <w:tcPr>
            <w:tcW w:w="20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w:t>
            </w:r>
          </w:p>
        </w:tc>
        <w:tc>
          <w:tcPr>
            <w:tcW w:w="17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(7,767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6,642</w:t>
            </w:r>
          </w:p>
        </w:tc>
        <w:tc>
          <w:tcPr>
            <w:tcW w:w="11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1,295</w:t>
            </w:r>
          </w:p>
        </w:tc>
        <w:tc>
          <w:tcPr>
            <w:tcW w:w="1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708</w:t>
            </w:r>
          </w:p>
        </w:tc>
        <w:tc>
          <w:tcPr>
            <w:tcW w:w="12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3,418</w:t>
            </w:r>
          </w:p>
        </w:tc>
        <w:tc>
          <w:tcPr>
            <w:tcW w:w="128" w:type="dxa"/>
            <w:tcBorders/>
            <w:shd w:fill="CCEEFF" w:val="clear"/>
            <w:vAlign w:val="bottom"/>
          </w:tcPr>
          <w:p>
            <w:pPr>
              <w:pStyle w:val="TableContents"/>
              <w:spacing w:before="0" w:after="283"/>
              <w:rPr/>
            </w:pPr>
            <w:r>
              <w:rPr/>
              <w:t>  </w:t>
            </w:r>
          </w:p>
        </w:tc>
      </w:tr>
      <w:tr>
        <w:trPr/>
        <w:tc>
          <w:tcPr>
            <w:tcW w:w="4203" w:type="dxa"/>
            <w:tcBorders/>
            <w:shd w:fill="auto" w:val="clear"/>
          </w:tcPr>
          <w:p>
            <w:pPr>
              <w:pStyle w:val="TableContents"/>
              <w:spacing w:before="0" w:after="283"/>
              <w:rPr>
                <w:rFonts w:ascii="Times New Roman" w:hAnsi="Times New Roman"/>
                <w:sz w:val="20"/>
              </w:rPr>
            </w:pPr>
            <w:r>
              <w:rPr>
                <w:rFonts w:ascii="Times New Roman" w:hAnsi="Times New Roman"/>
                <w:sz w:val="20"/>
              </w:rPr>
              <w:t>Six Months Ended March 31, 2011</w:t>
            </w:r>
          </w:p>
        </w:tc>
        <w:tc>
          <w:tcPr>
            <w:tcW w:w="20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1,137</w:t>
            </w:r>
          </w:p>
        </w:tc>
        <w:tc>
          <w:tcPr>
            <w:tcW w:w="17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(6,882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5,572</w:t>
            </w:r>
          </w:p>
        </w:tc>
        <w:tc>
          <w:tcPr>
            <w:tcW w:w="11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983</w:t>
            </w:r>
          </w:p>
        </w:tc>
        <w:tc>
          <w:tcPr>
            <w:tcW w:w="1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12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2,832</w:t>
            </w:r>
          </w:p>
        </w:tc>
        <w:tc>
          <w:tcPr>
            <w:tcW w:w="128" w:type="dxa"/>
            <w:tcBorders/>
            <w:shd w:fill="auto" w:val="clear"/>
            <w:vAlign w:val="bottom"/>
          </w:tcPr>
          <w:p>
            <w:pPr>
              <w:pStyle w:val="TableContents"/>
              <w:spacing w:before="0" w:after="283"/>
              <w:rPr/>
            </w:pPr>
            <w:r>
              <w:rPr/>
              <w:t>  </w:t>
            </w:r>
          </w:p>
        </w:tc>
      </w:tr>
      <w:tr>
        <w:trPr>
          <w:trHeight w:val="120" w:hRule="atLeast"/>
        </w:trPr>
        <w:tc>
          <w:tcPr>
            <w:tcW w:w="4203" w:type="dxa"/>
            <w:tcBorders/>
            <w:shd w:fill="auto" w:val="clear"/>
            <w:vAlign w:val="center"/>
          </w:tcPr>
          <w:p>
            <w:pPr>
              <w:pStyle w:val="TableContents"/>
              <w:spacing w:before="0" w:after="283"/>
              <w:rPr>
                <w:sz w:val="4"/>
                <w:szCs w:val="4"/>
              </w:rPr>
            </w:pPr>
            <w:r>
              <w:rPr>
                <w:sz w:val="4"/>
                <w:szCs w:val="4"/>
              </w:rPr>
            </w:r>
          </w:p>
        </w:tc>
        <w:tc>
          <w:tcPr>
            <w:tcW w:w="1049" w:type="dxa"/>
            <w:gridSpan w:val="4"/>
            <w:tcBorders/>
            <w:shd w:fill="auto" w:val="clear"/>
            <w:vAlign w:val="center"/>
          </w:tcPr>
          <w:p>
            <w:pPr>
              <w:pStyle w:val="TableContents"/>
              <w:spacing w:before="0" w:after="283"/>
              <w:rPr>
                <w:sz w:val="4"/>
                <w:szCs w:val="4"/>
              </w:rPr>
            </w:pPr>
            <w:r>
              <w:rPr>
                <w:sz w:val="4"/>
                <w:szCs w:val="4"/>
              </w:rPr>
            </w:r>
          </w:p>
        </w:tc>
        <w:tc>
          <w:tcPr>
            <w:tcW w:w="994" w:type="dxa"/>
            <w:gridSpan w:val="4"/>
            <w:tcBorders/>
            <w:shd w:fill="auto" w:val="clear"/>
            <w:vAlign w:val="center"/>
          </w:tcPr>
          <w:p>
            <w:pPr>
              <w:pStyle w:val="TableContents"/>
              <w:spacing w:before="0" w:after="283"/>
              <w:rPr>
                <w:sz w:val="4"/>
                <w:szCs w:val="4"/>
              </w:rPr>
            </w:pPr>
            <w:r>
              <w:rPr>
                <w:sz w:val="4"/>
                <w:szCs w:val="4"/>
              </w:rPr>
            </w:r>
          </w:p>
        </w:tc>
        <w:tc>
          <w:tcPr>
            <w:tcW w:w="958" w:type="dxa"/>
            <w:gridSpan w:val="4"/>
            <w:tcBorders/>
            <w:shd w:fill="auto" w:val="clear"/>
            <w:vAlign w:val="center"/>
          </w:tcPr>
          <w:p>
            <w:pPr>
              <w:pStyle w:val="TableContents"/>
              <w:spacing w:before="0" w:after="283"/>
              <w:rPr>
                <w:sz w:val="4"/>
                <w:szCs w:val="4"/>
              </w:rPr>
            </w:pPr>
            <w:r>
              <w:rPr>
                <w:sz w:val="4"/>
                <w:szCs w:val="4"/>
              </w:rPr>
            </w:r>
          </w:p>
        </w:tc>
        <w:tc>
          <w:tcPr>
            <w:tcW w:w="971" w:type="dxa"/>
            <w:gridSpan w:val="4"/>
            <w:tcBorders/>
            <w:shd w:fill="auto" w:val="clear"/>
            <w:vAlign w:val="center"/>
          </w:tcPr>
          <w:p>
            <w:pPr>
              <w:pStyle w:val="TableContents"/>
              <w:spacing w:before="0" w:after="283"/>
              <w:rPr>
                <w:sz w:val="4"/>
                <w:szCs w:val="4"/>
              </w:rPr>
            </w:pPr>
            <w:r>
              <w:rPr>
                <w:sz w:val="4"/>
                <w:szCs w:val="4"/>
              </w:rPr>
            </w:r>
          </w:p>
        </w:tc>
        <w:tc>
          <w:tcPr>
            <w:tcW w:w="979" w:type="dxa"/>
            <w:gridSpan w:val="4"/>
            <w:tcBorders/>
            <w:shd w:fill="auto" w:val="clear"/>
            <w:vAlign w:val="center"/>
          </w:tcPr>
          <w:p>
            <w:pPr>
              <w:pStyle w:val="TableContents"/>
              <w:spacing w:before="0" w:after="283"/>
              <w:rPr>
                <w:sz w:val="4"/>
                <w:szCs w:val="4"/>
              </w:rPr>
            </w:pPr>
            <w:r>
              <w:rPr>
                <w:sz w:val="4"/>
                <w:szCs w:val="4"/>
              </w:rPr>
            </w:r>
          </w:p>
        </w:tc>
        <w:tc>
          <w:tcPr>
            <w:tcW w:w="1051" w:type="dxa"/>
            <w:gridSpan w:val="4"/>
            <w:tcBorders/>
            <w:shd w:fill="auto" w:val="clear"/>
            <w:vAlign w:val="center"/>
          </w:tcPr>
          <w:p>
            <w:pPr>
              <w:pStyle w:val="TableContents"/>
              <w:spacing w:before="0" w:after="283"/>
              <w:rPr>
                <w:sz w:val="4"/>
                <w:szCs w:val="4"/>
              </w:rPr>
            </w:pPr>
            <w:r>
              <w:rPr>
                <w:sz w:val="4"/>
                <w:szCs w:val="4"/>
              </w:rPr>
            </w:r>
          </w:p>
        </w:tc>
      </w:tr>
      <w:tr>
        <w:trPr/>
        <w:tc>
          <w:tcPr>
            <w:tcW w:w="4203" w:type="dxa"/>
            <w:tcBorders/>
            <w:shd w:fill="CCEEFF" w:val="clear"/>
          </w:tcPr>
          <w:p>
            <w:pPr>
              <w:pStyle w:val="TableContents"/>
              <w:spacing w:before="0" w:after="283"/>
              <w:rPr>
                <w:rFonts w:ascii="Times New Roman" w:hAnsi="Times New Roman"/>
                <w:b/>
                <w:sz w:val="20"/>
              </w:rPr>
            </w:pPr>
            <w:r>
              <w:rPr>
                <w:rFonts w:ascii="Times New Roman" w:hAnsi="Times New Roman"/>
                <w:b/>
                <w:sz w:val="20"/>
              </w:rPr>
              <w:t>Allowance for losses on unsecured long-term consumer loans:</w:t>
            </w:r>
          </w:p>
        </w:tc>
        <w:tc>
          <w:tcPr>
            <w:tcW w:w="20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34" w:type="dxa"/>
            <w:tcBorders/>
            <w:shd w:fill="CCEEFF" w:val="clear"/>
            <w:vAlign w:val="bottom"/>
          </w:tcPr>
          <w:p>
            <w:pPr>
              <w:pStyle w:val="TableContents"/>
              <w:spacing w:before="0" w:after="283"/>
              <w:rPr>
                <w:sz w:val="4"/>
                <w:szCs w:val="4"/>
              </w:rPr>
            </w:pPr>
            <w:r>
              <w:rPr>
                <w:sz w:val="4"/>
                <w:szCs w:val="4"/>
              </w:rPr>
            </w:r>
          </w:p>
        </w:tc>
        <w:tc>
          <w:tcPr>
            <w:tcW w:w="179"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57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42"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52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4203" w:type="dxa"/>
            <w:tcBorders/>
            <w:shd w:fill="auto" w:val="clear"/>
          </w:tcPr>
          <w:p>
            <w:pPr>
              <w:pStyle w:val="TableContents"/>
              <w:spacing w:before="0" w:after="283"/>
              <w:rPr>
                <w:rFonts w:ascii="Times New Roman" w:hAnsi="Times New Roman"/>
                <w:sz w:val="20"/>
              </w:rPr>
            </w:pPr>
            <w:r>
              <w:rPr>
                <w:rFonts w:ascii="Times New Roman" w:hAnsi="Times New Roman"/>
                <w:sz w:val="20"/>
              </w:rPr>
              <w:t>Three Months Ended March 31, 2012</w:t>
            </w:r>
          </w:p>
        </w:tc>
        <w:tc>
          <w:tcPr>
            <w:tcW w:w="20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2,752</w:t>
            </w:r>
          </w:p>
        </w:tc>
        <w:tc>
          <w:tcPr>
            <w:tcW w:w="1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11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w:t>
            </w:r>
          </w:p>
        </w:tc>
        <w:tc>
          <w:tcPr>
            <w:tcW w:w="1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2,829</w:t>
            </w:r>
          </w:p>
        </w:tc>
        <w:tc>
          <w:tcPr>
            <w:tcW w:w="120"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65,405</w:t>
            </w:r>
          </w:p>
        </w:tc>
        <w:tc>
          <w:tcPr>
            <w:tcW w:w="128"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presentation purposes, the beginning balance includes the Crediamigo allowance amount as of the acquisition date. </w:t>
            </w:r>
          </w:p>
        </w:tc>
      </w:tr>
    </w:tbl>
    <w:p>
      <w:pPr>
        <w:pStyle w:val="TextBody"/>
        <w:spacing w:before="180" w:after="0"/>
        <w:rPr>
          <w:rFonts w:ascii="Times New Roman" w:hAnsi="Times New Roman"/>
          <w:sz w:val="20"/>
        </w:rPr>
      </w:pPr>
      <w:r>
        <w:rPr>
          <w:rFonts w:ascii="Times New Roman" w:hAnsi="Times New Roman"/>
          <w:sz w:val="20"/>
        </w:rPr>
        <w:t xml:space="preserve">The provisions presented in the table above include only principal and excludes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 </w:t>
      </w:r>
    </w:p>
    <w:p>
      <w:pPr>
        <w:pStyle w:val="TextBody"/>
        <w:spacing w:before="180" w:after="0"/>
        <w:rPr>
          <w:rFonts w:ascii="Times New Roman" w:hAnsi="Times New Roman"/>
          <w:sz w:val="20"/>
        </w:rPr>
      </w:pPr>
      <w:r>
        <w:rPr>
          <w:rFonts w:ascii="Times New Roman" w:hAnsi="Times New Roman"/>
          <w:sz w:val="20"/>
        </w:rPr>
        <w:t xml:space="preserve">Auto title loans are our only consumer loans made by our wholly owned subsidiaries that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 </w:t>
      </w:r>
    </w:p>
    <w:p>
      <w:pPr>
        <w:pStyle w:val="TextBody"/>
        <w:spacing w:before="180" w:after="0"/>
        <w:rPr>
          <w:rFonts w:ascii="Times New Roman" w:hAnsi="Times New Roman"/>
          <w:sz w:val="20"/>
        </w:rPr>
      </w:pPr>
      <w:r>
        <w:rPr>
          <w:rFonts w:ascii="Times New Roman" w:hAnsi="Times New Roman"/>
          <w:sz w:val="20"/>
        </w:rPr>
        <w:t xml:space="preserve">Consumer loans made by Crediamigo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Crediamigo establishes a reserve on all consumer loans, based on historical experience. No fees are accrued on any consumer loans made to customers that are no longer employed.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presents an aging analysis of past due financing receivables by portfolio segment: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86"/>
        <w:gridCol w:w="156"/>
        <w:gridCol w:w="125"/>
        <w:gridCol w:w="497"/>
        <w:gridCol w:w="237"/>
        <w:gridCol w:w="100"/>
        <w:gridCol w:w="125"/>
        <w:gridCol w:w="595"/>
        <w:gridCol w:w="237"/>
        <w:gridCol w:w="100"/>
        <w:gridCol w:w="124"/>
        <w:gridCol w:w="335"/>
        <w:gridCol w:w="237"/>
        <w:gridCol w:w="100"/>
        <w:gridCol w:w="125"/>
        <w:gridCol w:w="497"/>
        <w:gridCol w:w="237"/>
        <w:gridCol w:w="100"/>
        <w:gridCol w:w="125"/>
        <w:gridCol w:w="595"/>
        <w:gridCol w:w="237"/>
        <w:gridCol w:w="100"/>
        <w:gridCol w:w="124"/>
        <w:gridCol w:w="595"/>
        <w:gridCol w:w="237"/>
        <w:gridCol w:w="100"/>
        <w:gridCol w:w="125"/>
        <w:gridCol w:w="595"/>
        <w:gridCol w:w="237"/>
        <w:gridCol w:w="100"/>
        <w:gridCol w:w="136"/>
        <w:gridCol w:w="538"/>
        <w:gridCol w:w="248"/>
      </w:tblGrid>
      <w:tr>
        <w:trPr/>
        <w:tc>
          <w:tcPr>
            <w:tcW w:w="218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218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343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Days Past Due</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20"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Total</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9"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Current</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20"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Total</w:t>
              <w:br/>
              <w:t>Financing</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74"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Recorded</w:t>
              <w:br/>
              <w:t>Investment</w:t>
              <w:br/>
              <w:t>&gt; 90 Days</w:t>
              <w:br/>
              <w:t>&amp;</w:t>
            </w:r>
          </w:p>
        </w:tc>
        <w:tc>
          <w:tcPr>
            <w:tcW w:w="248" w:type="dxa"/>
            <w:tcBorders/>
            <w:shd w:fill="auto" w:val="clear"/>
            <w:vAlign w:val="bottom"/>
          </w:tcPr>
          <w:p>
            <w:pPr>
              <w:pStyle w:val="TableContents"/>
              <w:spacing w:before="0" w:after="283"/>
              <w:rPr/>
            </w:pPr>
            <w:r>
              <w:rPr/>
              <w:t> </w:t>
            </w:r>
          </w:p>
        </w:tc>
      </w:tr>
      <w:tr>
        <w:trPr/>
        <w:tc>
          <w:tcPr>
            <w:tcW w:w="218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1-30</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31-60</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4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61-90</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&gt;90</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Past Due</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Receivable</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Receivable</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6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Accruing</w:t>
            </w:r>
          </w:p>
        </w:tc>
        <w:tc>
          <w:tcPr>
            <w:tcW w:w="248" w:type="dxa"/>
            <w:tcBorders/>
            <w:shd w:fill="auto" w:val="clear"/>
            <w:vAlign w:val="bottom"/>
          </w:tcPr>
          <w:p>
            <w:pPr>
              <w:pStyle w:val="TableContents"/>
              <w:spacing w:before="0" w:after="283"/>
              <w:rPr/>
            </w:pPr>
            <w:r>
              <w:rPr/>
              <w:t> </w:t>
            </w:r>
          </w:p>
        </w:tc>
      </w:tr>
      <w:tr>
        <w:trPr/>
        <w:tc>
          <w:tcPr>
            <w:tcW w:w="218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15" w:type="dxa"/>
            <w:gridSpan w:val="3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248" w:type="dxa"/>
            <w:tcBorders/>
            <w:shd w:fill="auto" w:val="clear"/>
            <w:vAlign w:val="bottom"/>
          </w:tcPr>
          <w:p>
            <w:pPr>
              <w:pStyle w:val="TableContents"/>
              <w:spacing w:before="0" w:after="283"/>
              <w:rPr/>
            </w:pPr>
            <w:r>
              <w:rPr/>
              <w:t> </w:t>
            </w:r>
          </w:p>
        </w:tc>
      </w:tr>
      <w:tr>
        <w:trPr/>
        <w:tc>
          <w:tcPr>
            <w:tcW w:w="2186" w:type="dxa"/>
            <w:tcBorders/>
            <w:shd w:fill="CCEEFF" w:val="clear"/>
          </w:tcPr>
          <w:p>
            <w:pPr>
              <w:pStyle w:val="TableContents"/>
              <w:spacing w:before="0" w:after="283"/>
              <w:rPr>
                <w:rFonts w:ascii="Times New Roman" w:hAnsi="Times New Roman"/>
                <w:b/>
                <w:sz w:val="20"/>
              </w:rPr>
            </w:pPr>
            <w:r>
              <w:rPr>
                <w:rFonts w:ascii="Times New Roman" w:hAnsi="Times New Roman"/>
                <w:b/>
                <w:sz w:val="20"/>
              </w:rPr>
              <w:t>Secured short-term consumer loans</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7"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7"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sz w:val="4"/>
                <w:szCs w:val="4"/>
              </w:rPr>
            </w:pPr>
            <w:r>
              <w:rPr>
                <w:sz w:val="4"/>
                <w:szCs w:val="4"/>
              </w:rPr>
            </w:r>
          </w:p>
        </w:tc>
        <w:tc>
          <w:tcPr>
            <w:tcW w:w="538" w:type="dxa"/>
            <w:tcBorders/>
            <w:shd w:fill="CCEEFF" w:val="clear"/>
            <w:vAlign w:val="bottom"/>
          </w:tcPr>
          <w:p>
            <w:pPr>
              <w:pStyle w:val="TableContents"/>
              <w:spacing w:before="0" w:after="283"/>
              <w:rPr>
                <w:sz w:val="4"/>
                <w:szCs w:val="4"/>
              </w:rPr>
            </w:pPr>
            <w:r>
              <w:rPr>
                <w:sz w:val="4"/>
                <w:szCs w:val="4"/>
              </w:rPr>
            </w:r>
          </w:p>
        </w:tc>
        <w:tc>
          <w:tcPr>
            <w:tcW w:w="248" w:type="dxa"/>
            <w:tcBorders/>
            <w:shd w:fill="CCEEFF" w:val="clear"/>
            <w:vAlign w:val="bottom"/>
          </w:tcPr>
          <w:p>
            <w:pPr>
              <w:pStyle w:val="TableContents"/>
              <w:spacing w:before="0" w:after="283"/>
              <w:rPr>
                <w:sz w:val="4"/>
                <w:szCs w:val="4"/>
              </w:rPr>
            </w:pPr>
            <w:r>
              <w:rPr>
                <w:sz w:val="4"/>
                <w:szCs w:val="4"/>
              </w:rPr>
            </w:r>
          </w:p>
        </w:tc>
      </w:tr>
      <w:tr>
        <w:trPr/>
        <w:tc>
          <w:tcPr>
            <w:tcW w:w="2186" w:type="dxa"/>
            <w:tcBorders/>
            <w:shd w:fill="auto" w:val="clear"/>
          </w:tcPr>
          <w:p>
            <w:pPr>
              <w:pStyle w:val="TableContents"/>
              <w:spacing w:before="0" w:after="283"/>
              <w:rPr>
                <w:rFonts w:ascii="Times New Roman" w:hAnsi="Times New Roman"/>
                <w:sz w:val="20"/>
              </w:rPr>
            </w:pPr>
            <w:r>
              <w:rPr>
                <w:rFonts w:ascii="Times New Roman" w:hAnsi="Times New Roman"/>
                <w:sz w:val="20"/>
              </w:rPr>
              <w:t>March 31, 2012</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r>
      <w:tr>
        <w:trPr/>
        <w:tc>
          <w:tcPr>
            <w:tcW w:w="218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1,918</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3,418</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CCEEFF" w:val="clear"/>
            <w:vAlign w:val="bottom"/>
          </w:tcPr>
          <w:p>
            <w:pPr>
              <w:pStyle w:val="TableContents"/>
              <w:spacing w:before="0" w:after="283"/>
              <w:rPr/>
            </w:pPr>
            <w:r>
              <w:rPr/>
              <w:t>  </w:t>
            </w:r>
          </w:p>
        </w:tc>
      </w:tr>
      <w:tr>
        <w:trPr/>
        <w:tc>
          <w:tcPr>
            <w:tcW w:w="2186" w:type="dxa"/>
            <w:tcBorders/>
            <w:shd w:fill="auto" w:val="clear"/>
          </w:tcPr>
          <w:p>
            <w:pPr>
              <w:pStyle w:val="TableContents"/>
              <w:spacing w:before="0" w:after="283"/>
              <w:rPr>
                <w:rFonts w:ascii="Times New Roman" w:hAnsi="Times New Roman"/>
                <w:sz w:val="20"/>
              </w:rPr>
            </w:pPr>
            <w:r>
              <w:rPr>
                <w:rFonts w:ascii="Times New Roman" w:hAnsi="Times New Roman"/>
                <w:sz w:val="20"/>
              </w:rPr>
              <w:t>Reserve</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708</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auto" w:val="clear"/>
            <w:vAlign w:val="bottom"/>
          </w:tcPr>
          <w:p>
            <w:pPr>
              <w:pStyle w:val="TableContents"/>
              <w:spacing w:before="0" w:after="283"/>
              <w:rPr/>
            </w:pPr>
            <w:r>
              <w:rPr/>
              <w:t>  </w:t>
            </w:r>
          </w:p>
        </w:tc>
      </w:tr>
      <w:tr>
        <w:trPr/>
        <w:tc>
          <w:tcPr>
            <w:tcW w:w="2186" w:type="dxa"/>
            <w:tcBorders/>
            <w:shd w:fill="CCEEFF" w:val="clear"/>
          </w:tcPr>
          <w:p>
            <w:pPr>
              <w:pStyle w:val="TableContents"/>
              <w:spacing w:before="0" w:after="283"/>
              <w:rPr>
                <w:rFonts w:ascii="Times New Roman" w:hAnsi="Times New Roman"/>
                <w:sz w:val="20"/>
              </w:rPr>
            </w:pPr>
            <w:r>
              <w:rPr>
                <w:rFonts w:ascii="Times New Roman" w:hAnsi="Times New Roman"/>
                <w:sz w:val="20"/>
              </w:rPr>
              <w:t>Reserve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CCEEFF" w:val="clear"/>
            <w:vAlign w:val="bottom"/>
          </w:tcPr>
          <w:p>
            <w:pPr>
              <w:pStyle w:val="TableContents"/>
              <w:spacing w:before="0" w:after="283"/>
              <w:rPr/>
            </w:pPr>
            <w:r>
              <w:rPr/>
              <w:t>  </w:t>
            </w:r>
          </w:p>
        </w:tc>
      </w:tr>
      <w:tr>
        <w:trPr>
          <w:trHeight w:val="120" w:hRule="atLeast"/>
        </w:trPr>
        <w:tc>
          <w:tcPr>
            <w:tcW w:w="2186" w:type="dxa"/>
            <w:tcBorders/>
            <w:shd w:fill="auto" w:val="clear"/>
            <w:vAlign w:val="center"/>
          </w:tcPr>
          <w:p>
            <w:pPr>
              <w:pStyle w:val="TableContents"/>
              <w:spacing w:before="0" w:after="283"/>
              <w:rPr>
                <w:sz w:val="4"/>
                <w:szCs w:val="4"/>
              </w:rPr>
            </w:pPr>
            <w:r>
              <w:rPr>
                <w:sz w:val="4"/>
                <w:szCs w:val="4"/>
              </w:rPr>
            </w:r>
          </w:p>
        </w:tc>
        <w:tc>
          <w:tcPr>
            <w:tcW w:w="1015"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796" w:type="dxa"/>
            <w:gridSpan w:val="4"/>
            <w:tcBorders/>
            <w:shd w:fill="auto" w:val="clear"/>
            <w:vAlign w:val="center"/>
          </w:tcPr>
          <w:p>
            <w:pPr>
              <w:pStyle w:val="TableContents"/>
              <w:spacing w:before="0" w:after="283"/>
              <w:rPr>
                <w:sz w:val="4"/>
                <w:szCs w:val="4"/>
              </w:rPr>
            </w:pPr>
            <w:r>
              <w:rPr>
                <w:sz w:val="4"/>
                <w:szCs w:val="4"/>
              </w:rPr>
            </w:r>
          </w:p>
        </w:tc>
        <w:tc>
          <w:tcPr>
            <w:tcW w:w="959"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1056"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1022" w:type="dxa"/>
            <w:gridSpan w:val="4"/>
            <w:tcBorders/>
            <w:shd w:fill="auto" w:val="clear"/>
            <w:vAlign w:val="center"/>
          </w:tcPr>
          <w:p>
            <w:pPr>
              <w:pStyle w:val="TableContents"/>
              <w:spacing w:before="0" w:after="283"/>
              <w:rPr>
                <w:sz w:val="4"/>
                <w:szCs w:val="4"/>
              </w:rPr>
            </w:pPr>
            <w:r>
              <w:rPr>
                <w:sz w:val="4"/>
                <w:szCs w:val="4"/>
              </w:rPr>
            </w:r>
          </w:p>
        </w:tc>
      </w:tr>
      <w:tr>
        <w:trPr/>
        <w:tc>
          <w:tcPr>
            <w:tcW w:w="2186" w:type="dxa"/>
            <w:tcBorders/>
            <w:shd w:fill="auto" w:val="clear"/>
          </w:tcPr>
          <w:p>
            <w:pPr>
              <w:pStyle w:val="TableContents"/>
              <w:spacing w:before="0" w:after="283"/>
              <w:rPr>
                <w:rFonts w:ascii="Times New Roman" w:hAnsi="Times New Roman"/>
                <w:sz w:val="20"/>
              </w:rPr>
            </w:pPr>
            <w:r>
              <w:rPr>
                <w:rFonts w:ascii="Times New Roman" w:hAnsi="Times New Roman"/>
                <w:sz w:val="20"/>
              </w:rPr>
              <w:t>March 31, 2011</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r>
      <w:tr>
        <w:trPr/>
        <w:tc>
          <w:tcPr>
            <w:tcW w:w="218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493</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1,457</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1,375</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2,832</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CCEEFF" w:val="clear"/>
            <w:vAlign w:val="bottom"/>
          </w:tcPr>
          <w:p>
            <w:pPr>
              <w:pStyle w:val="TableContents"/>
              <w:spacing w:before="0" w:after="283"/>
              <w:rPr/>
            </w:pPr>
            <w:r>
              <w:rPr/>
              <w:t>  </w:t>
            </w:r>
          </w:p>
        </w:tc>
      </w:tr>
      <w:tr>
        <w:trPr/>
        <w:tc>
          <w:tcPr>
            <w:tcW w:w="2186" w:type="dxa"/>
            <w:tcBorders/>
            <w:shd w:fill="auto" w:val="clear"/>
          </w:tcPr>
          <w:p>
            <w:pPr>
              <w:pStyle w:val="TableContents"/>
              <w:spacing w:before="0" w:after="283"/>
              <w:rPr>
                <w:rFonts w:ascii="Times New Roman" w:hAnsi="Times New Roman"/>
                <w:sz w:val="20"/>
              </w:rPr>
            </w:pPr>
            <w:r>
              <w:rPr>
                <w:rFonts w:ascii="Times New Roman" w:hAnsi="Times New Roman"/>
                <w:sz w:val="20"/>
              </w:rPr>
              <w:t>Reserve</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427</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auto" w:val="clear"/>
            <w:vAlign w:val="bottom"/>
          </w:tcPr>
          <w:p>
            <w:pPr>
              <w:pStyle w:val="TableContents"/>
              <w:spacing w:before="0" w:after="283"/>
              <w:rPr/>
            </w:pPr>
            <w:r>
              <w:rPr/>
              <w:t>  </w:t>
            </w:r>
          </w:p>
        </w:tc>
      </w:tr>
      <w:tr>
        <w:trPr/>
        <w:tc>
          <w:tcPr>
            <w:tcW w:w="2186" w:type="dxa"/>
            <w:tcBorders/>
            <w:shd w:fill="CCEEFF" w:val="clear"/>
          </w:tcPr>
          <w:p>
            <w:pPr>
              <w:pStyle w:val="TableContents"/>
              <w:spacing w:before="0" w:after="283"/>
              <w:rPr>
                <w:rFonts w:ascii="Times New Roman" w:hAnsi="Times New Roman"/>
                <w:sz w:val="20"/>
              </w:rPr>
            </w:pPr>
            <w:r>
              <w:rPr>
                <w:rFonts w:ascii="Times New Roman" w:hAnsi="Times New Roman"/>
                <w:sz w:val="20"/>
              </w:rPr>
              <w:t>Reserve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CCEEFF" w:val="clear"/>
            <w:vAlign w:val="bottom"/>
          </w:tcPr>
          <w:p>
            <w:pPr>
              <w:pStyle w:val="TableContents"/>
              <w:spacing w:before="0" w:after="283"/>
              <w:rPr/>
            </w:pPr>
            <w:r>
              <w:rPr/>
              <w:t>  </w:t>
            </w:r>
          </w:p>
        </w:tc>
      </w:tr>
      <w:tr>
        <w:trPr>
          <w:trHeight w:val="120" w:hRule="atLeast"/>
        </w:trPr>
        <w:tc>
          <w:tcPr>
            <w:tcW w:w="2186" w:type="dxa"/>
            <w:tcBorders/>
            <w:shd w:fill="auto" w:val="clear"/>
            <w:vAlign w:val="center"/>
          </w:tcPr>
          <w:p>
            <w:pPr>
              <w:pStyle w:val="TableContents"/>
              <w:spacing w:before="0" w:after="283"/>
              <w:rPr>
                <w:sz w:val="4"/>
                <w:szCs w:val="4"/>
              </w:rPr>
            </w:pPr>
            <w:r>
              <w:rPr>
                <w:sz w:val="4"/>
                <w:szCs w:val="4"/>
              </w:rPr>
            </w:r>
          </w:p>
        </w:tc>
        <w:tc>
          <w:tcPr>
            <w:tcW w:w="1015"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796" w:type="dxa"/>
            <w:gridSpan w:val="4"/>
            <w:tcBorders/>
            <w:shd w:fill="auto" w:val="clear"/>
            <w:vAlign w:val="center"/>
          </w:tcPr>
          <w:p>
            <w:pPr>
              <w:pStyle w:val="TableContents"/>
              <w:spacing w:before="0" w:after="283"/>
              <w:rPr>
                <w:sz w:val="4"/>
                <w:szCs w:val="4"/>
              </w:rPr>
            </w:pPr>
            <w:r>
              <w:rPr>
                <w:sz w:val="4"/>
                <w:szCs w:val="4"/>
              </w:rPr>
            </w:r>
          </w:p>
        </w:tc>
        <w:tc>
          <w:tcPr>
            <w:tcW w:w="959"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1056"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1022" w:type="dxa"/>
            <w:gridSpan w:val="4"/>
            <w:tcBorders/>
            <w:shd w:fill="auto" w:val="clear"/>
            <w:vAlign w:val="center"/>
          </w:tcPr>
          <w:p>
            <w:pPr>
              <w:pStyle w:val="TableContents"/>
              <w:spacing w:before="0" w:after="283"/>
              <w:rPr>
                <w:sz w:val="4"/>
                <w:szCs w:val="4"/>
              </w:rPr>
            </w:pPr>
            <w:r>
              <w:rPr>
                <w:sz w:val="4"/>
                <w:szCs w:val="4"/>
              </w:rPr>
            </w:r>
          </w:p>
        </w:tc>
      </w:tr>
      <w:tr>
        <w:trPr/>
        <w:tc>
          <w:tcPr>
            <w:tcW w:w="2186" w:type="dxa"/>
            <w:tcBorders/>
            <w:shd w:fill="auto" w:val="clear"/>
          </w:tcPr>
          <w:p>
            <w:pPr>
              <w:pStyle w:val="TableContents"/>
              <w:spacing w:before="0" w:after="283"/>
              <w:rPr>
                <w:rFonts w:ascii="Times New Roman" w:hAnsi="Times New Roman"/>
                <w:sz w:val="20"/>
              </w:rPr>
            </w:pPr>
            <w:r>
              <w:rPr>
                <w:rFonts w:ascii="Times New Roman" w:hAnsi="Times New Roman"/>
                <w:sz w:val="20"/>
              </w:rPr>
              <w:t>September 30, 2011</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r>
      <w:tr>
        <w:trPr/>
        <w:tc>
          <w:tcPr>
            <w:tcW w:w="218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840</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1,821</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1,939</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3,760</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CCEEFF" w:val="clear"/>
            <w:vAlign w:val="bottom"/>
          </w:tcPr>
          <w:p>
            <w:pPr>
              <w:pStyle w:val="TableContents"/>
              <w:spacing w:before="0" w:after="283"/>
              <w:rPr/>
            </w:pPr>
            <w:r>
              <w:rPr/>
              <w:t>  </w:t>
            </w:r>
          </w:p>
        </w:tc>
      </w:tr>
      <w:tr>
        <w:trPr/>
        <w:tc>
          <w:tcPr>
            <w:tcW w:w="2186" w:type="dxa"/>
            <w:tcBorders/>
            <w:shd w:fill="auto" w:val="clear"/>
          </w:tcPr>
          <w:p>
            <w:pPr>
              <w:pStyle w:val="TableContents"/>
              <w:spacing w:before="0" w:after="283"/>
              <w:rPr>
                <w:rFonts w:ascii="Times New Roman" w:hAnsi="Times New Roman"/>
                <w:sz w:val="20"/>
              </w:rPr>
            </w:pPr>
            <w:r>
              <w:rPr>
                <w:rFonts w:ascii="Times New Roman" w:hAnsi="Times New Roman"/>
                <w:sz w:val="20"/>
              </w:rPr>
              <w:t>Reserve</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470</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538</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auto" w:val="clear"/>
            <w:vAlign w:val="bottom"/>
          </w:tcPr>
          <w:p>
            <w:pPr>
              <w:pStyle w:val="TableContents"/>
              <w:spacing w:before="0" w:after="283"/>
              <w:rPr/>
            </w:pPr>
            <w:r>
              <w:rPr/>
              <w:t>  </w:t>
            </w:r>
          </w:p>
        </w:tc>
      </w:tr>
      <w:tr>
        <w:trPr/>
        <w:tc>
          <w:tcPr>
            <w:tcW w:w="2186" w:type="dxa"/>
            <w:tcBorders/>
            <w:shd w:fill="CCEEFF" w:val="clear"/>
          </w:tcPr>
          <w:p>
            <w:pPr>
              <w:pStyle w:val="TableContents"/>
              <w:spacing w:before="0" w:after="283"/>
              <w:rPr>
                <w:rFonts w:ascii="Times New Roman" w:hAnsi="Times New Roman"/>
                <w:sz w:val="20"/>
              </w:rPr>
            </w:pPr>
            <w:r>
              <w:rPr>
                <w:rFonts w:ascii="Times New Roman" w:hAnsi="Times New Roman"/>
                <w:sz w:val="20"/>
              </w:rPr>
              <w:t>Reserve %</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8" w:type="dxa"/>
            <w:tcBorders/>
            <w:shd w:fill="CCEEFF" w:val="clear"/>
            <w:vAlign w:val="bottom"/>
          </w:tcPr>
          <w:p>
            <w:pPr>
              <w:pStyle w:val="TableContents"/>
              <w:spacing w:before="0" w:after="283"/>
              <w:rPr/>
            </w:pPr>
            <w:r>
              <w:rPr/>
              <w:t>  </w:t>
            </w:r>
          </w:p>
        </w:tc>
      </w:tr>
      <w:tr>
        <w:trPr>
          <w:trHeight w:val="120" w:hRule="atLeast"/>
        </w:trPr>
        <w:tc>
          <w:tcPr>
            <w:tcW w:w="2186" w:type="dxa"/>
            <w:tcBorders/>
            <w:shd w:fill="auto" w:val="clear"/>
            <w:vAlign w:val="center"/>
          </w:tcPr>
          <w:p>
            <w:pPr>
              <w:pStyle w:val="TableContents"/>
              <w:spacing w:before="0" w:after="283"/>
              <w:rPr>
                <w:sz w:val="4"/>
                <w:szCs w:val="4"/>
              </w:rPr>
            </w:pPr>
            <w:r>
              <w:rPr>
                <w:sz w:val="4"/>
                <w:szCs w:val="4"/>
              </w:rPr>
            </w:r>
          </w:p>
        </w:tc>
        <w:tc>
          <w:tcPr>
            <w:tcW w:w="1015"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796" w:type="dxa"/>
            <w:gridSpan w:val="4"/>
            <w:tcBorders/>
            <w:shd w:fill="auto" w:val="clear"/>
            <w:vAlign w:val="center"/>
          </w:tcPr>
          <w:p>
            <w:pPr>
              <w:pStyle w:val="TableContents"/>
              <w:spacing w:before="0" w:after="283"/>
              <w:rPr>
                <w:sz w:val="4"/>
                <w:szCs w:val="4"/>
              </w:rPr>
            </w:pPr>
            <w:r>
              <w:rPr>
                <w:sz w:val="4"/>
                <w:szCs w:val="4"/>
              </w:rPr>
            </w:r>
          </w:p>
        </w:tc>
        <w:tc>
          <w:tcPr>
            <w:tcW w:w="959"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1056" w:type="dxa"/>
            <w:gridSpan w:val="4"/>
            <w:tcBorders/>
            <w:shd w:fill="auto" w:val="clear"/>
            <w:vAlign w:val="center"/>
          </w:tcPr>
          <w:p>
            <w:pPr>
              <w:pStyle w:val="TableContents"/>
              <w:spacing w:before="0" w:after="283"/>
              <w:rPr>
                <w:sz w:val="4"/>
                <w:szCs w:val="4"/>
              </w:rPr>
            </w:pPr>
            <w:r>
              <w:rPr>
                <w:sz w:val="4"/>
                <w:szCs w:val="4"/>
              </w:rPr>
            </w:r>
          </w:p>
        </w:tc>
        <w:tc>
          <w:tcPr>
            <w:tcW w:w="1057" w:type="dxa"/>
            <w:gridSpan w:val="4"/>
            <w:tcBorders/>
            <w:shd w:fill="auto" w:val="clear"/>
            <w:vAlign w:val="center"/>
          </w:tcPr>
          <w:p>
            <w:pPr>
              <w:pStyle w:val="TableContents"/>
              <w:spacing w:before="0" w:after="283"/>
              <w:rPr>
                <w:sz w:val="4"/>
                <w:szCs w:val="4"/>
              </w:rPr>
            </w:pPr>
            <w:r>
              <w:rPr>
                <w:sz w:val="4"/>
                <w:szCs w:val="4"/>
              </w:rPr>
            </w:r>
          </w:p>
        </w:tc>
        <w:tc>
          <w:tcPr>
            <w:tcW w:w="1022" w:type="dxa"/>
            <w:gridSpan w:val="4"/>
            <w:tcBorders/>
            <w:shd w:fill="auto" w:val="clear"/>
            <w:vAlign w:val="center"/>
          </w:tcPr>
          <w:p>
            <w:pPr>
              <w:pStyle w:val="TableContents"/>
              <w:spacing w:before="0" w:after="283"/>
              <w:rPr>
                <w:sz w:val="4"/>
                <w:szCs w:val="4"/>
              </w:rPr>
            </w:pPr>
            <w:r>
              <w:rPr>
                <w:sz w:val="4"/>
                <w:szCs w:val="4"/>
              </w:rPr>
            </w:r>
          </w:p>
        </w:tc>
      </w:tr>
      <w:tr>
        <w:trPr/>
        <w:tc>
          <w:tcPr>
            <w:tcW w:w="2186" w:type="dxa"/>
            <w:tcBorders/>
            <w:shd w:fill="auto" w:val="clear"/>
          </w:tcPr>
          <w:p>
            <w:pPr>
              <w:pStyle w:val="TableContents"/>
              <w:spacing w:before="0" w:after="283"/>
              <w:rPr>
                <w:rFonts w:ascii="Times New Roman" w:hAnsi="Times New Roman"/>
                <w:b/>
                <w:sz w:val="20"/>
              </w:rPr>
            </w:pPr>
            <w:r>
              <w:rPr>
                <w:rFonts w:ascii="Times New Roman" w:hAnsi="Times New Roman"/>
                <w:b/>
                <w:sz w:val="20"/>
              </w:rPr>
              <w:t>Unsecured long-term consumer loans: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sz w:val="4"/>
                <w:szCs w:val="4"/>
              </w:rPr>
            </w:pPr>
            <w:r>
              <w:rPr>
                <w:sz w:val="4"/>
                <w:szCs w:val="4"/>
              </w:rPr>
            </w:r>
          </w:p>
        </w:tc>
        <w:tc>
          <w:tcPr>
            <w:tcW w:w="538"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r>
      <w:tr>
        <w:trPr/>
        <w:tc>
          <w:tcPr>
            <w:tcW w:w="2186" w:type="dxa"/>
            <w:tcBorders/>
            <w:shd w:fill="CCEEFF" w:val="clear"/>
          </w:tcPr>
          <w:p>
            <w:pPr>
              <w:pStyle w:val="TableContents"/>
              <w:spacing w:before="0" w:after="283"/>
              <w:rPr>
                <w:rFonts w:ascii="Times New Roman" w:hAnsi="Times New Roman"/>
                <w:sz w:val="20"/>
              </w:rPr>
            </w:pPr>
            <w:r>
              <w:rPr>
                <w:rFonts w:ascii="Times New Roman" w:hAnsi="Times New Roman"/>
                <w:sz w:val="20"/>
              </w:rPr>
              <w:t>March 31, 2012</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7"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7"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sz w:val="4"/>
                <w:szCs w:val="4"/>
              </w:rPr>
            </w:pPr>
            <w:r>
              <w:rPr>
                <w:sz w:val="4"/>
                <w:szCs w:val="4"/>
              </w:rPr>
            </w:r>
          </w:p>
        </w:tc>
        <w:tc>
          <w:tcPr>
            <w:tcW w:w="538" w:type="dxa"/>
            <w:tcBorders/>
            <w:shd w:fill="CCEEFF" w:val="clear"/>
            <w:vAlign w:val="bottom"/>
          </w:tcPr>
          <w:p>
            <w:pPr>
              <w:pStyle w:val="TableContents"/>
              <w:spacing w:before="0" w:after="283"/>
              <w:rPr>
                <w:sz w:val="4"/>
                <w:szCs w:val="4"/>
              </w:rPr>
            </w:pPr>
            <w:r>
              <w:rPr>
                <w:sz w:val="4"/>
                <w:szCs w:val="4"/>
              </w:rPr>
            </w:r>
          </w:p>
        </w:tc>
        <w:tc>
          <w:tcPr>
            <w:tcW w:w="248" w:type="dxa"/>
            <w:tcBorders/>
            <w:shd w:fill="CCEEFF" w:val="clear"/>
            <w:vAlign w:val="bottom"/>
          </w:tcPr>
          <w:p>
            <w:pPr>
              <w:pStyle w:val="TableContents"/>
              <w:spacing w:before="0" w:after="283"/>
              <w:rPr>
                <w:sz w:val="4"/>
                <w:szCs w:val="4"/>
              </w:rPr>
            </w:pPr>
            <w:r>
              <w:rPr>
                <w:sz w:val="4"/>
                <w:szCs w:val="4"/>
              </w:rPr>
            </w:r>
          </w:p>
        </w:tc>
      </w:tr>
      <w:tr>
        <w:trPr/>
        <w:tc>
          <w:tcPr>
            <w:tcW w:w="2186"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loans</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8,122</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14,354</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527</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5,516</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28,519</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36,886</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65,405</w:t>
            </w:r>
          </w:p>
        </w:tc>
        <w:tc>
          <w:tcPr>
            <w:tcW w:w="23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5,516</w:t>
            </w:r>
          </w:p>
        </w:tc>
        <w:tc>
          <w:tcPr>
            <w:tcW w:w="248" w:type="dxa"/>
            <w:tcBorders/>
            <w:shd w:fill="auto" w:val="clear"/>
            <w:vAlign w:val="bottom"/>
          </w:tcPr>
          <w:p>
            <w:pPr>
              <w:pStyle w:val="TableContents"/>
              <w:spacing w:before="0" w:after="283"/>
              <w:rPr/>
            </w:pPr>
            <w:r>
              <w:rPr/>
              <w:t>  </w:t>
            </w:r>
          </w:p>
        </w:tc>
      </w:tr>
      <w:tr>
        <w:trPr/>
        <w:tc>
          <w:tcPr>
            <w:tcW w:w="2186" w:type="dxa"/>
            <w:tcBorders/>
            <w:shd w:fill="CCEEFF" w:val="clear"/>
          </w:tcPr>
          <w:p>
            <w:pPr>
              <w:pStyle w:val="TableContents"/>
              <w:spacing w:before="0" w:after="283"/>
              <w:rPr>
                <w:rFonts w:ascii="Times New Roman" w:hAnsi="Times New Roman"/>
                <w:sz w:val="20"/>
              </w:rPr>
            </w:pPr>
            <w:r>
              <w:rPr>
                <w:rFonts w:ascii="Times New Roman" w:hAnsi="Times New Roman"/>
                <w:sz w:val="20"/>
              </w:rPr>
              <w:t>Reserve</w:t>
            </w:r>
          </w:p>
        </w:tc>
        <w:tc>
          <w:tcPr>
            <w:tcW w:w="15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1,232</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1,594</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2,826</w:t>
            </w:r>
          </w:p>
        </w:tc>
        <w:tc>
          <w:tcPr>
            <w:tcW w:w="23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248" w:type="dxa"/>
            <w:tcBorders/>
            <w:shd w:fill="CCEEFF" w:val="clear"/>
            <w:vAlign w:val="bottom"/>
          </w:tcPr>
          <w:p>
            <w:pPr>
              <w:pStyle w:val="TableContents"/>
              <w:spacing w:before="0" w:after="283"/>
              <w:rPr/>
            </w:pPr>
            <w:r>
              <w:rPr/>
              <w:t>  </w:t>
            </w:r>
          </w:p>
        </w:tc>
      </w:tr>
      <w:tr>
        <w:trPr/>
        <w:tc>
          <w:tcPr>
            <w:tcW w:w="2186" w:type="dxa"/>
            <w:tcBorders/>
            <w:shd w:fill="auto" w:val="clear"/>
          </w:tcPr>
          <w:p>
            <w:pPr>
              <w:pStyle w:val="TableContents"/>
              <w:spacing w:before="0" w:after="283"/>
              <w:rPr>
                <w:rFonts w:ascii="Times New Roman" w:hAnsi="Times New Roman"/>
                <w:sz w:val="20"/>
              </w:rPr>
            </w:pPr>
            <w:r>
              <w:rPr>
                <w:rFonts w:ascii="Times New Roman" w:hAnsi="Times New Roman"/>
                <w:sz w:val="20"/>
              </w:rPr>
              <w:t>Reserve %</w:t>
            </w:r>
          </w:p>
        </w:tc>
        <w:tc>
          <w:tcPr>
            <w:tcW w:w="1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Unsecured long-term consumer loans amounts are included for periods after the acquisition of Crediamigo. </w:t>
            </w:r>
          </w:p>
        </w:tc>
      </w:tr>
    </w:tbl>
    <w:p>
      <w:pPr>
        <w:pStyle w:val="TextBody"/>
        <w:spacing w:before="270" w:after="0"/>
        <w:rPr>
          <w:rFonts w:ascii="Times New Roman" w:hAnsi="Times New Roman"/>
          <w:b/>
          <w:sz w:val="20"/>
        </w:rPr>
      </w:pPr>
      <w:r>
        <w:rPr>
          <w:rFonts w:ascii="Times New Roman" w:hAnsi="Times New Roman"/>
          <w:b/>
          <w:sz w:val="20"/>
        </w:rPr>
        <w:t xml:space="preserve">Note L: Fair Value Measurements </w:t>
      </w:r>
    </w:p>
    <w:p>
      <w:pPr>
        <w:pStyle w:val="TextBody"/>
        <w:spacing w:before="90" w:after="0"/>
        <w:rPr>
          <w:rFonts w:ascii="Times New Roman" w:hAnsi="Times New Roman"/>
          <w:sz w:val="20"/>
        </w:rPr>
      </w:pPr>
      <w:r>
        <w:rPr>
          <w:rFonts w:ascii="Times New Roman" w:hAnsi="Times New Roman"/>
          <w:sz w:val="20"/>
        </w:rPr>
        <w:t xml:space="preserve">In accordance with FASB ASC 820-10, </w:t>
      </w:r>
      <w:r>
        <w:rPr>
          <w:rFonts w:ascii="Times New Roman" w:hAnsi="Times New Roman"/>
          <w:i/>
          <w:sz w:val="20"/>
        </w:rPr>
        <w:t>Fair Value Measurements and Disclosures</w:t>
      </w:r>
      <w:r>
        <w:rPr>
          <w:rFonts w:ascii="Times New Roman" w:hAnsi="Times New Roman"/>
          <w:sz w:val="20"/>
        </w:rPr>
        <w:t xml:space="preserve">, our assets and liabilities, which are carried at fair value, are classified in one of the following three categories: </w:t>
      </w:r>
    </w:p>
    <w:p>
      <w:pPr>
        <w:pStyle w:val="TextBody"/>
        <w:spacing w:before="270" w:after="0"/>
        <w:rPr>
          <w:rFonts w:ascii="Times New Roman" w:hAnsi="Times New Roman"/>
          <w:sz w:val="20"/>
        </w:rPr>
      </w:pPr>
      <w:r>
        <w:rPr>
          <w:rFonts w:ascii="Times New Roman" w:hAnsi="Times New Roman"/>
          <w:sz w:val="20"/>
        </w:rPr>
        <w:t xml:space="preserve">Level 1: Quoted market prices in active markets for identical assets or liabilities. </w:t>
      </w:r>
    </w:p>
    <w:p>
      <w:pPr>
        <w:pStyle w:val="TextBody"/>
        <w:spacing w:before="90" w:after="0"/>
        <w:rPr>
          <w:rFonts w:ascii="Times New Roman" w:hAnsi="Times New Roman"/>
          <w:sz w:val="20"/>
        </w:rPr>
      </w:pPr>
      <w:r>
        <w:rPr>
          <w:rFonts w:ascii="Times New Roman" w:hAnsi="Times New Roman"/>
          <w:sz w:val="20"/>
        </w:rPr>
        <w:t xml:space="preserve">Level 2: Other observable inputs other than quoted market prices. </w:t>
      </w:r>
    </w:p>
    <w:p>
      <w:pPr>
        <w:pStyle w:val="TextBody"/>
        <w:spacing w:before="90" w:after="0"/>
        <w:rPr>
          <w:rFonts w:ascii="Times New Roman" w:hAnsi="Times New Roman"/>
          <w:sz w:val="20"/>
        </w:rPr>
      </w:pPr>
      <w:r>
        <w:rPr>
          <w:rFonts w:ascii="Times New Roman" w:hAnsi="Times New Roman"/>
          <w:sz w:val="20"/>
        </w:rPr>
        <w:t xml:space="preserve">Level 3: Unobservable inputs that are not corroborated by market data. </w:t>
      </w:r>
    </w:p>
    <w:p>
      <w:pPr>
        <w:pStyle w:val="TextBody"/>
        <w:spacing w:before="180" w:after="0"/>
        <w:rPr>
          <w:rFonts w:ascii="Times New Roman" w:hAnsi="Times New Roman"/>
          <w:sz w:val="20"/>
        </w:rPr>
      </w:pPr>
      <w:r>
        <w:rPr>
          <w:rFonts w:ascii="Times New Roman" w:hAnsi="Times New Roman"/>
          <w:sz w:val="20"/>
        </w:rPr>
        <w:t xml:space="preserve">The tables below present our financial assets that are measured at fair value on a recurring basis as of March 31, 2012 and 2011 and September 30, 2011: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33"/>
        <w:gridCol w:w="426"/>
        <w:gridCol w:w="237"/>
        <w:gridCol w:w="999"/>
        <w:gridCol w:w="120"/>
        <w:gridCol w:w="426"/>
        <w:gridCol w:w="125"/>
        <w:gridCol w:w="488"/>
        <w:gridCol w:w="119"/>
        <w:gridCol w:w="426"/>
        <w:gridCol w:w="142"/>
        <w:gridCol w:w="324"/>
        <w:gridCol w:w="120"/>
        <w:gridCol w:w="426"/>
        <w:gridCol w:w="142"/>
        <w:gridCol w:w="324"/>
        <w:gridCol w:w="128"/>
      </w:tblGrid>
      <w:tr>
        <w:trPr/>
        <w:tc>
          <w:tcPr>
            <w:tcW w:w="5233"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23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236"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2012</w:t>
            </w:r>
          </w:p>
        </w:tc>
        <w:tc>
          <w:tcPr>
            <w:tcW w:w="120" w:type="dxa"/>
            <w:vMerge w:val="restart"/>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636"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Fair Value Measurements Using</w:t>
            </w:r>
          </w:p>
        </w:tc>
        <w:tc>
          <w:tcPr>
            <w:tcW w:w="128" w:type="dxa"/>
            <w:tcBorders/>
            <w:shd w:fill="auto" w:val="clear"/>
            <w:vAlign w:val="bottom"/>
          </w:tcPr>
          <w:p>
            <w:pPr>
              <w:pStyle w:val="TableContents"/>
              <w:spacing w:before="0" w:after="283"/>
              <w:rPr/>
            </w:pPr>
            <w:r>
              <w:rPr/>
              <w:t> </w:t>
            </w:r>
          </w:p>
        </w:tc>
      </w:tr>
      <w:tr>
        <w:trPr/>
        <w:tc>
          <w:tcPr>
            <w:tcW w:w="523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Financial assets:</w:t>
            </w:r>
          </w:p>
        </w:tc>
        <w:tc>
          <w:tcPr>
            <w:tcW w:w="426" w:type="dxa"/>
            <w:tcBorders/>
            <w:shd w:fill="auto" w:val="clear"/>
            <w:vAlign w:val="bottom"/>
          </w:tcPr>
          <w:p>
            <w:pPr>
              <w:pStyle w:val="TableContents"/>
              <w:spacing w:before="0" w:after="283"/>
              <w:rPr/>
            </w:pPr>
            <w:r>
              <w:rPr/>
              <w:t>  </w:t>
            </w:r>
          </w:p>
        </w:tc>
        <w:tc>
          <w:tcPr>
            <w:tcW w:w="1236"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426"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1</w:t>
            </w:r>
          </w:p>
        </w:tc>
        <w:tc>
          <w:tcPr>
            <w:tcW w:w="119"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2</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3</w:t>
            </w:r>
          </w:p>
        </w:tc>
        <w:tc>
          <w:tcPr>
            <w:tcW w:w="128" w:type="dxa"/>
            <w:tcBorders/>
            <w:shd w:fill="auto" w:val="clear"/>
            <w:vAlign w:val="bottom"/>
          </w:tcPr>
          <w:p>
            <w:pPr>
              <w:pStyle w:val="TableContents"/>
              <w:spacing w:before="0" w:after="283"/>
              <w:rPr/>
            </w:pPr>
            <w:r>
              <w:rPr/>
              <w:t> </w:t>
            </w:r>
          </w:p>
        </w:tc>
      </w:tr>
      <w:tr>
        <w:trPr/>
        <w:tc>
          <w:tcPr>
            <w:tcW w:w="523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418"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8" w:type="dxa"/>
            <w:tcBorders/>
            <w:shd w:fill="auto" w:val="clear"/>
            <w:vAlign w:val="bottom"/>
          </w:tcPr>
          <w:p>
            <w:pPr>
              <w:pStyle w:val="TableContents"/>
              <w:spacing w:before="0" w:after="283"/>
              <w:rPr/>
            </w:pPr>
            <w:r>
              <w:rPr/>
              <w:t> </w:t>
            </w:r>
          </w:p>
        </w:tc>
      </w:tr>
      <w:tr>
        <w:trPr/>
        <w:tc>
          <w:tcPr>
            <w:tcW w:w="5233" w:type="dxa"/>
            <w:tcBorders/>
            <w:shd w:fill="CCEEFF" w:val="clear"/>
          </w:tcPr>
          <w:p>
            <w:pPr>
              <w:pStyle w:val="TableContents"/>
              <w:spacing w:before="0" w:after="283"/>
              <w:rPr>
                <w:rFonts w:ascii="Times New Roman" w:hAnsi="Times New Roman"/>
                <w:sz w:val="20"/>
              </w:rPr>
            </w:pPr>
            <w:r>
              <w:rPr>
                <w:rFonts w:ascii="Times New Roman" w:hAnsi="Times New Roman"/>
                <w:sz w:val="20"/>
              </w:rPr>
              <w:t>Marketable equity securities</w:t>
            </w:r>
          </w:p>
        </w:tc>
        <w:tc>
          <w:tcPr>
            <w:tcW w:w="426"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4,628</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4,628</w:t>
            </w:r>
          </w:p>
        </w:tc>
        <w:tc>
          <w:tcPr>
            <w:tcW w:w="119"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rHeight w:val="240" w:hRule="atLeast"/>
        </w:trPr>
        <w:tc>
          <w:tcPr>
            <w:tcW w:w="5233" w:type="dxa"/>
            <w:tcBorders/>
            <w:shd w:fill="auto" w:val="clear"/>
            <w:vAlign w:val="center"/>
          </w:tcPr>
          <w:p>
            <w:pPr>
              <w:pStyle w:val="TableContents"/>
              <w:spacing w:before="0" w:after="283"/>
              <w:rPr>
                <w:sz w:val="4"/>
                <w:szCs w:val="4"/>
              </w:rPr>
            </w:pPr>
            <w:r>
              <w:rPr>
                <w:sz w:val="4"/>
                <w:szCs w:val="4"/>
              </w:rPr>
            </w:r>
          </w:p>
        </w:tc>
        <w:tc>
          <w:tcPr>
            <w:tcW w:w="1782" w:type="dxa"/>
            <w:gridSpan w:val="4"/>
            <w:tcBorders/>
            <w:shd w:fill="auto" w:val="clear"/>
            <w:vAlign w:val="center"/>
          </w:tcPr>
          <w:p>
            <w:pPr>
              <w:pStyle w:val="TableContents"/>
              <w:spacing w:before="0" w:after="283"/>
              <w:rPr>
                <w:sz w:val="4"/>
                <w:szCs w:val="4"/>
              </w:rPr>
            </w:pPr>
            <w:r>
              <w:rPr>
                <w:sz w:val="4"/>
                <w:szCs w:val="4"/>
              </w:rPr>
            </w:r>
          </w:p>
        </w:tc>
        <w:tc>
          <w:tcPr>
            <w:tcW w:w="3190" w:type="dxa"/>
            <w:gridSpan w:val="12"/>
            <w:tcBorders/>
            <w:shd w:fill="auto" w:val="clear"/>
            <w:vAlign w:val="center"/>
          </w:tcPr>
          <w:p>
            <w:pPr>
              <w:pStyle w:val="TableContents"/>
              <w:spacing w:before="0" w:after="283"/>
              <w:rPr>
                <w:sz w:val="4"/>
                <w:szCs w:val="4"/>
              </w:rPr>
            </w:pPr>
            <w:r>
              <w:rPr>
                <w:sz w:val="4"/>
                <w:szCs w:val="4"/>
              </w:rPr>
            </w:r>
          </w:p>
        </w:tc>
      </w:tr>
      <w:tr>
        <w:trPr/>
        <w:tc>
          <w:tcPr>
            <w:tcW w:w="523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236"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2011</w:t>
            </w:r>
          </w:p>
        </w:tc>
        <w:tc>
          <w:tcPr>
            <w:tcW w:w="120" w:type="dxa"/>
            <w:vMerge w:val="restart"/>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636"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Fair Value Measurements Using</w:t>
            </w:r>
          </w:p>
        </w:tc>
        <w:tc>
          <w:tcPr>
            <w:tcW w:w="128" w:type="dxa"/>
            <w:tcBorders/>
            <w:shd w:fill="auto" w:val="clear"/>
            <w:vAlign w:val="bottom"/>
          </w:tcPr>
          <w:p>
            <w:pPr>
              <w:pStyle w:val="TableContents"/>
              <w:spacing w:before="0" w:after="283"/>
              <w:rPr/>
            </w:pPr>
            <w:r>
              <w:rPr/>
              <w:t> </w:t>
            </w:r>
          </w:p>
        </w:tc>
      </w:tr>
      <w:tr>
        <w:trPr/>
        <w:tc>
          <w:tcPr>
            <w:tcW w:w="523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Financial assets:</w:t>
            </w:r>
          </w:p>
        </w:tc>
        <w:tc>
          <w:tcPr>
            <w:tcW w:w="426" w:type="dxa"/>
            <w:tcBorders/>
            <w:shd w:fill="auto" w:val="clear"/>
            <w:vAlign w:val="bottom"/>
          </w:tcPr>
          <w:p>
            <w:pPr>
              <w:pStyle w:val="TableContents"/>
              <w:spacing w:before="0" w:after="283"/>
              <w:rPr/>
            </w:pPr>
            <w:r>
              <w:rPr/>
              <w:t>  </w:t>
            </w:r>
          </w:p>
        </w:tc>
        <w:tc>
          <w:tcPr>
            <w:tcW w:w="1236"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426"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1</w:t>
            </w:r>
          </w:p>
        </w:tc>
        <w:tc>
          <w:tcPr>
            <w:tcW w:w="119"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2</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3</w:t>
            </w:r>
          </w:p>
        </w:tc>
        <w:tc>
          <w:tcPr>
            <w:tcW w:w="128" w:type="dxa"/>
            <w:tcBorders/>
            <w:shd w:fill="auto" w:val="clear"/>
            <w:vAlign w:val="bottom"/>
          </w:tcPr>
          <w:p>
            <w:pPr>
              <w:pStyle w:val="TableContents"/>
              <w:spacing w:before="0" w:after="283"/>
              <w:rPr/>
            </w:pPr>
            <w:r>
              <w:rPr/>
              <w:t> </w:t>
            </w:r>
          </w:p>
        </w:tc>
      </w:tr>
      <w:tr>
        <w:trPr/>
        <w:tc>
          <w:tcPr>
            <w:tcW w:w="523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418"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8" w:type="dxa"/>
            <w:tcBorders/>
            <w:shd w:fill="auto" w:val="clear"/>
            <w:vAlign w:val="bottom"/>
          </w:tcPr>
          <w:p>
            <w:pPr>
              <w:pStyle w:val="TableContents"/>
              <w:spacing w:before="0" w:after="283"/>
              <w:rPr/>
            </w:pPr>
            <w:r>
              <w:rPr/>
              <w:t> </w:t>
            </w:r>
          </w:p>
        </w:tc>
      </w:tr>
      <w:tr>
        <w:trPr/>
        <w:tc>
          <w:tcPr>
            <w:tcW w:w="5233" w:type="dxa"/>
            <w:tcBorders/>
            <w:shd w:fill="CCEEFF" w:val="clear"/>
          </w:tcPr>
          <w:p>
            <w:pPr>
              <w:pStyle w:val="TableContents"/>
              <w:spacing w:before="0" w:after="283"/>
              <w:rPr>
                <w:rFonts w:ascii="Times New Roman" w:hAnsi="Times New Roman"/>
                <w:sz w:val="20"/>
              </w:rPr>
            </w:pPr>
            <w:r>
              <w:rPr>
                <w:rFonts w:ascii="Times New Roman" w:hAnsi="Times New Roman"/>
                <w:sz w:val="20"/>
              </w:rPr>
              <w:t>Marketable equity securities</w:t>
            </w:r>
          </w:p>
        </w:tc>
        <w:tc>
          <w:tcPr>
            <w:tcW w:w="426"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4,674</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4,674</w:t>
            </w:r>
          </w:p>
        </w:tc>
        <w:tc>
          <w:tcPr>
            <w:tcW w:w="119"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rHeight w:val="240" w:hRule="atLeast"/>
        </w:trPr>
        <w:tc>
          <w:tcPr>
            <w:tcW w:w="5233" w:type="dxa"/>
            <w:tcBorders/>
            <w:shd w:fill="auto" w:val="clear"/>
            <w:vAlign w:val="center"/>
          </w:tcPr>
          <w:p>
            <w:pPr>
              <w:pStyle w:val="TableContents"/>
              <w:spacing w:before="0" w:after="283"/>
              <w:rPr>
                <w:sz w:val="4"/>
                <w:szCs w:val="4"/>
              </w:rPr>
            </w:pPr>
            <w:r>
              <w:rPr>
                <w:sz w:val="4"/>
                <w:szCs w:val="4"/>
              </w:rPr>
            </w:r>
          </w:p>
        </w:tc>
        <w:tc>
          <w:tcPr>
            <w:tcW w:w="1782" w:type="dxa"/>
            <w:gridSpan w:val="4"/>
            <w:tcBorders/>
            <w:shd w:fill="auto" w:val="clear"/>
            <w:vAlign w:val="center"/>
          </w:tcPr>
          <w:p>
            <w:pPr>
              <w:pStyle w:val="TableContents"/>
              <w:spacing w:before="0" w:after="283"/>
              <w:rPr>
                <w:sz w:val="4"/>
                <w:szCs w:val="4"/>
              </w:rPr>
            </w:pPr>
            <w:r>
              <w:rPr>
                <w:sz w:val="4"/>
                <w:szCs w:val="4"/>
              </w:rPr>
            </w:r>
          </w:p>
        </w:tc>
        <w:tc>
          <w:tcPr>
            <w:tcW w:w="3190" w:type="dxa"/>
            <w:gridSpan w:val="12"/>
            <w:tcBorders/>
            <w:shd w:fill="auto" w:val="clear"/>
            <w:vAlign w:val="center"/>
          </w:tcPr>
          <w:p>
            <w:pPr>
              <w:pStyle w:val="TableContents"/>
              <w:spacing w:before="0" w:after="283"/>
              <w:rPr>
                <w:sz w:val="4"/>
                <w:szCs w:val="4"/>
              </w:rPr>
            </w:pPr>
            <w:r>
              <w:rPr>
                <w:sz w:val="4"/>
                <w:szCs w:val="4"/>
              </w:rPr>
            </w:r>
          </w:p>
        </w:tc>
      </w:tr>
      <w:tr>
        <w:trPr/>
        <w:tc>
          <w:tcPr>
            <w:tcW w:w="523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236"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 2011</w:t>
            </w:r>
          </w:p>
        </w:tc>
        <w:tc>
          <w:tcPr>
            <w:tcW w:w="120" w:type="dxa"/>
            <w:vMerge w:val="restart"/>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636"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Fair Value Measurements Using</w:t>
            </w:r>
          </w:p>
        </w:tc>
        <w:tc>
          <w:tcPr>
            <w:tcW w:w="128" w:type="dxa"/>
            <w:tcBorders/>
            <w:shd w:fill="auto" w:val="clear"/>
            <w:vAlign w:val="bottom"/>
          </w:tcPr>
          <w:p>
            <w:pPr>
              <w:pStyle w:val="TableContents"/>
              <w:spacing w:before="0" w:after="283"/>
              <w:rPr/>
            </w:pPr>
            <w:r>
              <w:rPr/>
              <w:t> </w:t>
            </w:r>
          </w:p>
        </w:tc>
      </w:tr>
      <w:tr>
        <w:trPr/>
        <w:tc>
          <w:tcPr>
            <w:tcW w:w="523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Financial assets:</w:t>
            </w:r>
          </w:p>
        </w:tc>
        <w:tc>
          <w:tcPr>
            <w:tcW w:w="426" w:type="dxa"/>
            <w:tcBorders/>
            <w:shd w:fill="auto" w:val="clear"/>
            <w:vAlign w:val="bottom"/>
          </w:tcPr>
          <w:p>
            <w:pPr>
              <w:pStyle w:val="TableContents"/>
              <w:spacing w:before="0" w:after="283"/>
              <w:rPr/>
            </w:pPr>
            <w:r>
              <w:rPr/>
              <w:t>  </w:t>
            </w:r>
          </w:p>
        </w:tc>
        <w:tc>
          <w:tcPr>
            <w:tcW w:w="1236"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426"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1</w:t>
            </w:r>
          </w:p>
        </w:tc>
        <w:tc>
          <w:tcPr>
            <w:tcW w:w="119"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2</w:t>
            </w:r>
          </w:p>
        </w:tc>
        <w:tc>
          <w:tcPr>
            <w:tcW w:w="12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3</w:t>
            </w:r>
          </w:p>
        </w:tc>
        <w:tc>
          <w:tcPr>
            <w:tcW w:w="128" w:type="dxa"/>
            <w:tcBorders/>
            <w:shd w:fill="auto" w:val="clear"/>
            <w:vAlign w:val="bottom"/>
          </w:tcPr>
          <w:p>
            <w:pPr>
              <w:pStyle w:val="TableContents"/>
              <w:spacing w:before="0" w:after="283"/>
              <w:rPr/>
            </w:pPr>
            <w:r>
              <w:rPr/>
              <w:t> </w:t>
            </w:r>
          </w:p>
        </w:tc>
      </w:tr>
      <w:tr>
        <w:trPr/>
        <w:tc>
          <w:tcPr>
            <w:tcW w:w="523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4418"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8" w:type="dxa"/>
            <w:tcBorders/>
            <w:shd w:fill="auto" w:val="clear"/>
            <w:vAlign w:val="bottom"/>
          </w:tcPr>
          <w:p>
            <w:pPr>
              <w:pStyle w:val="TableContents"/>
              <w:spacing w:before="0" w:after="283"/>
              <w:rPr/>
            </w:pPr>
            <w:r>
              <w:rPr/>
              <w:t> </w:t>
            </w:r>
          </w:p>
        </w:tc>
      </w:tr>
      <w:tr>
        <w:trPr/>
        <w:tc>
          <w:tcPr>
            <w:tcW w:w="5233" w:type="dxa"/>
            <w:tcBorders/>
            <w:shd w:fill="CCEEFF" w:val="clear"/>
          </w:tcPr>
          <w:p>
            <w:pPr>
              <w:pStyle w:val="TableContents"/>
              <w:spacing w:before="0" w:after="283"/>
              <w:rPr>
                <w:rFonts w:ascii="Times New Roman" w:hAnsi="Times New Roman"/>
                <w:sz w:val="20"/>
              </w:rPr>
            </w:pPr>
            <w:r>
              <w:rPr>
                <w:rFonts w:ascii="Times New Roman" w:hAnsi="Times New Roman"/>
                <w:sz w:val="20"/>
              </w:rPr>
              <w:t>Marketable equity securities</w:t>
            </w:r>
          </w:p>
        </w:tc>
        <w:tc>
          <w:tcPr>
            <w:tcW w:w="426"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5,366</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5,366</w:t>
            </w:r>
          </w:p>
        </w:tc>
        <w:tc>
          <w:tcPr>
            <w:tcW w:w="119"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measure the value of our marketable equity securities under a Level 1 input. These assets are publicly traded equity securities for which market prices are readily available. There were no transfers of assets in or out of Level 1 fair value measurements in the periods presented. </w:t>
      </w:r>
    </w:p>
    <w:p>
      <w:pPr>
        <w:pStyle w:val="TextBody"/>
        <w:spacing w:before="270" w:after="0"/>
        <w:rPr>
          <w:rFonts w:ascii="Times New Roman" w:hAnsi="Times New Roman"/>
          <w:b/>
          <w:sz w:val="20"/>
        </w:rPr>
      </w:pPr>
      <w:r>
        <w:rPr>
          <w:rFonts w:ascii="Times New Roman" w:hAnsi="Times New Roman"/>
          <w:b/>
          <w:sz w:val="20"/>
        </w:rPr>
        <w:t xml:space="preserve">Note M: Derivative Instruments and Hedging Activities </w:t>
      </w:r>
    </w:p>
    <w:p>
      <w:pPr>
        <w:pStyle w:val="TextBody"/>
        <w:spacing w:before="90" w:after="0"/>
        <w:rPr>
          <w:rFonts w:ascii="Times New Roman" w:hAnsi="Times New Roman"/>
          <w:sz w:val="20"/>
        </w:rPr>
      </w:pPr>
      <w:r>
        <w:rPr>
          <w:rFonts w:ascii="Times New Roman" w:hAnsi="Times New Roman"/>
          <w:sz w:val="20"/>
        </w:rPr>
        <w:t xml:space="preserve">Our earnings and financial position are affected by changes in gold values. In fiscal year 2012, we began using derivative financial instruments in order to manage our commodity price risk associated with the forecasted sales of gold scrap. These derivatives are not designated as hedges, and according to FASB ASC 815-20-25, Derivatives and Hedging  Recognition, changes in their fair value are recorded directly in earnings. As of March 31, 2012, we had no balance outstanding recorded on our balance sheet. </w:t>
      </w:r>
    </w:p>
    <w:p>
      <w:pPr>
        <w:pStyle w:val="TextBody"/>
        <w:spacing w:before="180" w:after="0"/>
        <w:rPr>
          <w:rFonts w:ascii="Times New Roman" w:hAnsi="Times New Roman"/>
          <w:sz w:val="20"/>
        </w:rPr>
      </w:pPr>
      <w:r>
        <w:rPr>
          <w:rFonts w:ascii="Times New Roman" w:hAnsi="Times New Roman"/>
          <w:sz w:val="20"/>
        </w:rPr>
        <w:t xml:space="preserve">The table below presents the effect of our derivative financial instruments on the Condensed Consolidated Statements of Operations for three months and six months ended March 31, 2012 and 2011: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14"/>
        <w:gridCol w:w="284"/>
        <w:gridCol w:w="2413"/>
        <w:gridCol w:w="284"/>
        <w:gridCol w:w="204"/>
        <w:gridCol w:w="551"/>
        <w:gridCol w:w="196"/>
        <w:gridCol w:w="356"/>
        <w:gridCol w:w="204"/>
        <w:gridCol w:w="437"/>
        <w:gridCol w:w="120"/>
        <w:gridCol w:w="283"/>
        <w:gridCol w:w="189"/>
        <w:gridCol w:w="599"/>
        <w:gridCol w:w="189"/>
        <w:gridCol w:w="257"/>
        <w:gridCol w:w="189"/>
        <w:gridCol w:w="409"/>
        <w:gridCol w:w="127"/>
      </w:tblGrid>
      <w:tr>
        <w:trPr/>
        <w:tc>
          <w:tcPr>
            <w:tcW w:w="291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241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2914"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2413"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4183"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(Gains) Losses Recognized in Income</w:t>
            </w:r>
          </w:p>
        </w:tc>
        <w:tc>
          <w:tcPr>
            <w:tcW w:w="127" w:type="dxa"/>
            <w:tcBorders/>
            <w:shd w:fill="auto" w:val="clear"/>
            <w:vAlign w:val="bottom"/>
          </w:tcPr>
          <w:p>
            <w:pPr>
              <w:pStyle w:val="TableContents"/>
              <w:spacing w:before="0" w:after="283"/>
              <w:rPr/>
            </w:pPr>
            <w:r>
              <w:rPr/>
              <w:t> </w:t>
            </w:r>
          </w:p>
        </w:tc>
      </w:tr>
      <w:tr>
        <w:trPr/>
        <w:tc>
          <w:tcPr>
            <w:tcW w:w="2914"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2413"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94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March 31,</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83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w:t>
            </w:r>
          </w:p>
        </w:tc>
        <w:tc>
          <w:tcPr>
            <w:tcW w:w="127" w:type="dxa"/>
            <w:tcBorders/>
            <w:shd w:fill="auto" w:val="clear"/>
            <w:vAlign w:val="bottom"/>
          </w:tcPr>
          <w:p>
            <w:pPr>
              <w:pStyle w:val="TableContents"/>
              <w:spacing w:before="0" w:after="283"/>
              <w:rPr/>
            </w:pPr>
            <w:r>
              <w:rPr/>
              <w:t> </w:t>
            </w:r>
          </w:p>
        </w:tc>
      </w:tr>
      <w:tr>
        <w:trPr/>
        <w:tc>
          <w:tcPr>
            <w:tcW w:w="2914"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Derivative Instrument</w:t>
            </w:r>
          </w:p>
        </w:tc>
        <w:tc>
          <w:tcPr>
            <w:tcW w:w="284" w:type="dxa"/>
            <w:tcBorders/>
            <w:shd w:fill="auto" w:val="clear"/>
            <w:vAlign w:val="bottom"/>
          </w:tcPr>
          <w:p>
            <w:pPr>
              <w:pStyle w:val="TableContents"/>
              <w:spacing w:before="0" w:after="283"/>
              <w:rPr/>
            </w:pPr>
            <w:r>
              <w:rPr/>
              <w:t>  </w:t>
            </w:r>
          </w:p>
        </w:tc>
        <w:tc>
          <w:tcPr>
            <w:tcW w:w="2413"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sz w:val="14"/>
              </w:rPr>
            </w:pPr>
            <w:r>
              <w:rPr>
                <w:rFonts w:ascii="Times New Roman" w:hAnsi="Times New Roman"/>
                <w:sz w:val="14"/>
              </w:rPr>
              <w:t>Location of (Gain) or Loss</w:t>
            </w:r>
          </w:p>
        </w:tc>
        <w:tc>
          <w:tcPr>
            <w:tcW w:w="284" w:type="dxa"/>
            <w:tcBorders/>
            <w:shd w:fill="auto" w:val="clear"/>
            <w:vAlign w:val="bottom"/>
          </w:tcPr>
          <w:p>
            <w:pPr>
              <w:pStyle w:val="TableContents"/>
              <w:spacing w:before="0" w:after="283"/>
              <w:rPr/>
            </w:pPr>
            <w:r>
              <w:rPr/>
              <w:t>  </w:t>
            </w:r>
          </w:p>
        </w:tc>
        <w:tc>
          <w:tcPr>
            <w:tcW w:w="7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96"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7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8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5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7" w:type="dxa"/>
            <w:tcBorders/>
            <w:shd w:fill="auto" w:val="clear"/>
            <w:vAlign w:val="bottom"/>
          </w:tcPr>
          <w:p>
            <w:pPr>
              <w:pStyle w:val="TableContents"/>
              <w:spacing w:before="0" w:after="283"/>
              <w:rPr/>
            </w:pPr>
            <w:r>
              <w:rPr/>
              <w:t> </w:t>
            </w:r>
          </w:p>
        </w:tc>
      </w:tr>
      <w:tr>
        <w:trPr/>
        <w:tc>
          <w:tcPr>
            <w:tcW w:w="2914"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2413"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4183"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7" w:type="dxa"/>
            <w:tcBorders/>
            <w:shd w:fill="auto" w:val="clear"/>
            <w:vAlign w:val="bottom"/>
          </w:tcPr>
          <w:p>
            <w:pPr>
              <w:pStyle w:val="TableContents"/>
              <w:spacing w:before="0" w:after="283"/>
              <w:rPr/>
            </w:pPr>
            <w:r>
              <w:rPr/>
              <w:t> </w:t>
            </w:r>
          </w:p>
        </w:tc>
      </w:tr>
      <w:tr>
        <w:trPr/>
        <w:tc>
          <w:tcPr>
            <w:tcW w:w="2914" w:type="dxa"/>
            <w:tcBorders/>
            <w:shd w:fill="CCEEFF" w:val="clear"/>
          </w:tcPr>
          <w:p>
            <w:pPr>
              <w:pStyle w:val="TableContents"/>
              <w:spacing w:before="0" w:after="283"/>
              <w:rPr>
                <w:rFonts w:ascii="Times New Roman" w:hAnsi="Times New Roman"/>
                <w:sz w:val="20"/>
              </w:rPr>
            </w:pPr>
            <w:r>
              <w:rPr>
                <w:rFonts w:ascii="Times New Roman" w:hAnsi="Times New Roman"/>
                <w:sz w:val="20"/>
              </w:rPr>
              <w:t>Non-designated derivatives:</w:t>
            </w:r>
          </w:p>
        </w:tc>
        <w:tc>
          <w:tcPr>
            <w:tcW w:w="284" w:type="dxa"/>
            <w:tcBorders/>
            <w:shd w:fill="CCEEFF" w:val="clear"/>
            <w:vAlign w:val="bottom"/>
          </w:tcPr>
          <w:p>
            <w:pPr>
              <w:pStyle w:val="TableContents"/>
              <w:spacing w:before="0" w:after="283"/>
              <w:rPr/>
            </w:pPr>
            <w:r>
              <w:rPr/>
              <w:t>  </w:t>
            </w:r>
          </w:p>
        </w:tc>
        <w:tc>
          <w:tcPr>
            <w:tcW w:w="2413"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551" w:type="dxa"/>
            <w:tcBorders/>
            <w:shd w:fill="CCEEFF" w:val="clear"/>
            <w:vAlign w:val="bottom"/>
          </w:tcPr>
          <w:p>
            <w:pPr>
              <w:pStyle w:val="TableContents"/>
              <w:spacing w:before="0" w:after="283"/>
              <w:rPr>
                <w:sz w:val="4"/>
                <w:szCs w:val="4"/>
              </w:rPr>
            </w:pPr>
            <w:r>
              <w:rPr>
                <w:sz w:val="4"/>
                <w:szCs w:val="4"/>
              </w:rPr>
            </w:r>
          </w:p>
        </w:tc>
        <w:tc>
          <w:tcPr>
            <w:tcW w:w="196" w:type="dxa"/>
            <w:tcBorders/>
            <w:shd w:fill="CCEEFF" w:val="clear"/>
            <w:vAlign w:val="bottom"/>
          </w:tcPr>
          <w:p>
            <w:pPr>
              <w:pStyle w:val="TableContents"/>
              <w:spacing w:before="0" w:after="283"/>
              <w:rPr>
                <w:sz w:val="4"/>
                <w:szCs w:val="4"/>
              </w:rPr>
            </w:pPr>
            <w:r>
              <w:rPr>
                <w:sz w:val="4"/>
                <w:szCs w:val="4"/>
              </w:rPr>
            </w:r>
          </w:p>
        </w:tc>
        <w:tc>
          <w:tcPr>
            <w:tcW w:w="356"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43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sz w:val="4"/>
                <w:szCs w:val="4"/>
              </w:rPr>
            </w:pPr>
            <w:r>
              <w:rPr>
                <w:sz w:val="4"/>
                <w:szCs w:val="4"/>
              </w:rPr>
            </w:r>
          </w:p>
        </w:tc>
        <w:tc>
          <w:tcPr>
            <w:tcW w:w="599" w:type="dxa"/>
            <w:tcBorders/>
            <w:shd w:fill="CCEEFF" w:val="clear"/>
            <w:vAlign w:val="bottom"/>
          </w:tcPr>
          <w:p>
            <w:pPr>
              <w:pStyle w:val="TableContents"/>
              <w:spacing w:before="0" w:after="283"/>
              <w:rPr>
                <w:sz w:val="4"/>
                <w:szCs w:val="4"/>
              </w:rPr>
            </w:pPr>
            <w:r>
              <w:rPr>
                <w:sz w:val="4"/>
                <w:szCs w:val="4"/>
              </w:rPr>
            </w:r>
          </w:p>
        </w:tc>
        <w:tc>
          <w:tcPr>
            <w:tcW w:w="189"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sz w:val="4"/>
                <w:szCs w:val="4"/>
              </w:rPr>
            </w:pPr>
            <w:r>
              <w:rPr>
                <w:sz w:val="4"/>
                <w:szCs w:val="4"/>
              </w:rPr>
            </w:r>
          </w:p>
        </w:tc>
        <w:tc>
          <w:tcPr>
            <w:tcW w:w="409"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2914" w:type="dxa"/>
            <w:tcBorders/>
            <w:shd w:fill="auto" w:val="clear"/>
          </w:tcPr>
          <w:p>
            <w:pPr>
              <w:pStyle w:val="TableContents"/>
              <w:spacing w:before="0" w:after="283"/>
              <w:rPr>
                <w:rFonts w:ascii="Times New Roman" w:hAnsi="Times New Roman"/>
                <w:sz w:val="20"/>
              </w:rPr>
            </w:pPr>
            <w:r>
              <w:rPr>
                <w:rFonts w:ascii="Times New Roman" w:hAnsi="Times New Roman"/>
                <w:sz w:val="20"/>
              </w:rPr>
              <w:t>Gold Collar</w:t>
            </w:r>
          </w:p>
        </w:tc>
        <w:tc>
          <w:tcPr>
            <w:tcW w:w="284" w:type="dxa"/>
            <w:tcBorders/>
            <w:shd w:fill="auto" w:val="clear"/>
            <w:vAlign w:val="bottom"/>
          </w:tcPr>
          <w:p>
            <w:pPr>
              <w:pStyle w:val="TableContents"/>
              <w:spacing w:before="0" w:after="283"/>
              <w:rPr/>
            </w:pPr>
            <w:r>
              <w:rPr/>
              <w:t>  </w:t>
            </w:r>
          </w:p>
        </w:tc>
        <w:tc>
          <w:tcPr>
            <w:tcW w:w="24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Other (income) expense</w:t>
            </w:r>
          </w:p>
        </w:tc>
        <w:tc>
          <w:tcPr>
            <w:tcW w:w="28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922</w:t>
            </w:r>
          </w:p>
        </w:tc>
        <w:tc>
          <w:tcPr>
            <w:tcW w:w="196"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57"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Note N: Condensed Consolidating Financial Information </w:t>
      </w:r>
    </w:p>
    <w:p>
      <w:pPr>
        <w:pStyle w:val="TextBody"/>
        <w:spacing w:before="90" w:after="0"/>
        <w:rPr>
          <w:rFonts w:ascii="Times New Roman" w:hAnsi="Times New Roman"/>
          <w:sz w:val="20"/>
        </w:rPr>
      </w:pPr>
      <w:r>
        <w:rPr>
          <w:rFonts w:ascii="Times New Roman" w:hAnsi="Times New Roman"/>
          <w:sz w:val="20"/>
        </w:rPr>
        <w:t xml:space="preserve">On February 3, 2012, we filed with the United States Securities and Exchange Commission a shelf registration statement on Form S-3 registering the offer and sale of an indeterminate amount of a variety of securities, including debt securities. Unless otherwise indicated in connection with a particular offering of debt securities, each of our domestic subsidiaries will fully and unconditionally guarantee on a joint and several basis our payment obligations under such debt securities. </w:t>
      </w:r>
    </w:p>
    <w:p>
      <w:pPr>
        <w:pStyle w:val="TextBody"/>
        <w:spacing w:before="180" w:after="0"/>
        <w:rPr>
          <w:rFonts w:ascii="Times New Roman" w:hAnsi="Times New Roman"/>
          <w:sz w:val="20"/>
        </w:rPr>
      </w:pPr>
      <w:r>
        <w:rPr>
          <w:rFonts w:ascii="Times New Roman" w:hAnsi="Times New Roman"/>
          <w:sz w:val="20"/>
        </w:rPr>
        <w:t xml:space="preserve">In accordance with Rule 3-10(d) of Regulation S-X, the following presents condensed consolidating financial information as of March 31, 2012 and 2011 and for the current and prior three and six-month periods then ended and as of September 30, 2011 for EZCORP, Inc. (the Parent), each of the Parents domestic subsidiaries (the Subsidiary Guarantors) on a combined basis and each of the Parents other subsidiaries (the Other Subsidiaries) on a combined basis. Eliminating entries presented are necessary to combine the groups of entities.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u w:val="single"/>
        </w:rPr>
      </w:pPr>
      <w:r>
        <w:rPr>
          <w:rFonts w:ascii="Times New Roman" w:hAnsi="Times New Roman"/>
          <w:sz w:val="20"/>
          <w:u w:val="single"/>
        </w:rPr>
        <w:t xml:space="preserve">Condensed Consolidating Balance Sheets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14"/>
        <w:gridCol w:w="199"/>
        <w:gridCol w:w="125"/>
        <w:gridCol w:w="714"/>
        <w:gridCol w:w="120"/>
        <w:gridCol w:w="199"/>
        <w:gridCol w:w="125"/>
        <w:gridCol w:w="714"/>
        <w:gridCol w:w="125"/>
        <w:gridCol w:w="157"/>
        <w:gridCol w:w="125"/>
        <w:gridCol w:w="713"/>
        <w:gridCol w:w="125"/>
        <w:gridCol w:w="157"/>
        <w:gridCol w:w="125"/>
        <w:gridCol w:w="755"/>
        <w:gridCol w:w="125"/>
        <w:gridCol w:w="157"/>
        <w:gridCol w:w="125"/>
        <w:gridCol w:w="876"/>
        <w:gridCol w:w="130"/>
      </w:tblGrid>
      <w:tr>
        <w:trPr/>
        <w:tc>
          <w:tcPr>
            <w:tcW w:w="431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31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556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2012</w:t>
            </w:r>
          </w:p>
        </w:tc>
        <w:tc>
          <w:tcPr>
            <w:tcW w:w="130" w:type="dxa"/>
            <w:tcBorders/>
            <w:shd w:fill="auto"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556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0" w:type="dxa"/>
            <w:tcBorders/>
            <w:shd w:fill="auto"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556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0" w:type="dxa"/>
            <w:tcBorders/>
            <w:shd w:fill="auto"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703</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28,899</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17,897</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47,499</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 net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108,804</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13,501</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122,305</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net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11,910</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12,088</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23,998</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20,210</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2,086</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22,296</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 receivable, net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5,523</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19,028</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24,551</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75,872</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12,019</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87,891</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12,298</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5,478</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18,228</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Receivable from affiliates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286,603</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83,648</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(370,251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Federal income tax receivable</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1,172</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804</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2,391</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29,440</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4,999</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34,443</w:t>
            </w:r>
          </w:p>
        </w:tc>
        <w:tc>
          <w:tcPr>
            <w:tcW w:w="130" w:type="dxa"/>
            <w:tcBorders/>
            <w:shd w:fill="auto"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6"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300,780</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370,199</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82,874</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(370,251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383,602</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70,882</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49,174</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120,056</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Investments in subsidiaries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94,795</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89,576</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(184,371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66,331</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28,715</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95,046</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213,894</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106,756</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320,692</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1,848</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16,028</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21,028</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38,904</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consumer loans, net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52,740</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52,740</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6,822</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11,307</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18,129</w:t>
            </w:r>
          </w:p>
        </w:tc>
        <w:tc>
          <w:tcPr>
            <w:tcW w:w="130" w:type="dxa"/>
            <w:tcBorders/>
            <w:shd w:fill="auto"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6"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468,347</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812,024</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303,420</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(554,622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1,029,169</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6"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rHeight w:val="120" w:hRule="atLeast"/>
        </w:trPr>
        <w:tc>
          <w:tcPr>
            <w:tcW w:w="4314" w:type="dxa"/>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c>
          <w:tcPr>
            <w:tcW w:w="1288" w:type="dxa"/>
            <w:gridSpan w:val="4"/>
            <w:tcBorders/>
            <w:shd w:fill="auto" w:val="clear"/>
            <w:vAlign w:val="center"/>
          </w:tcPr>
          <w:p>
            <w:pPr>
              <w:pStyle w:val="TableContents"/>
              <w:spacing w:before="0" w:after="283"/>
              <w:rPr>
                <w:sz w:val="4"/>
                <w:szCs w:val="4"/>
              </w:rPr>
            </w:pPr>
            <w:r>
              <w:rPr>
                <w:sz w:val="4"/>
                <w:szCs w:val="4"/>
              </w:rPr>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Liabilities and stockholders equity:</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Current maturitites of long-term debt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23,258</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23,258</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50,570</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25,250</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75,866</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6,551</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7,193</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Intercompany payables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19,791</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305,685</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44,775</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(370,251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Federal income taxes payable</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9,745</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(4,589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6"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29,582</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357,650</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89,336</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(370,251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106,317</w:t>
            </w:r>
          </w:p>
        </w:tc>
        <w:tc>
          <w:tcPr>
            <w:tcW w:w="130" w:type="dxa"/>
            <w:tcBorders/>
            <w:shd w:fill="CCEEFF" w:val="clear"/>
            <w:vAlign w:val="bottom"/>
          </w:tcPr>
          <w:p>
            <w:pPr>
              <w:pStyle w:val="TableContents"/>
              <w:spacing w:before="0" w:after="283"/>
              <w:rPr/>
            </w:pPr>
            <w:r>
              <w:rPr/>
              <w:t>  </w:t>
            </w:r>
          </w:p>
        </w:tc>
      </w:tr>
      <w:tr>
        <w:trPr>
          <w:trHeight w:val="120" w:hRule="atLeast"/>
        </w:trPr>
        <w:tc>
          <w:tcPr>
            <w:tcW w:w="4314" w:type="dxa"/>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c>
          <w:tcPr>
            <w:tcW w:w="1288" w:type="dxa"/>
            <w:gridSpan w:val="4"/>
            <w:tcBorders/>
            <w:shd w:fill="auto" w:val="clear"/>
            <w:vAlign w:val="center"/>
          </w:tcPr>
          <w:p>
            <w:pPr>
              <w:pStyle w:val="TableContents"/>
              <w:spacing w:before="0" w:after="283"/>
              <w:rPr>
                <w:sz w:val="4"/>
                <w:szCs w:val="4"/>
              </w:rPr>
            </w:pPr>
            <w:r>
              <w:rPr>
                <w:sz w:val="4"/>
                <w:szCs w:val="4"/>
              </w:rPr>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79,096</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109,096</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6,422</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1,304</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1,781</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9,507</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1,989</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12,434</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14,423</w:t>
            </w:r>
          </w:p>
        </w:tc>
        <w:tc>
          <w:tcPr>
            <w:tcW w:w="130" w:type="dxa"/>
            <w:tcBorders/>
            <w:shd w:fill="auto"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6"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66,004</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360,943</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182,647</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(370,251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239,343</w:t>
            </w:r>
          </w:p>
        </w:tc>
        <w:tc>
          <w:tcPr>
            <w:tcW w:w="130" w:type="dxa"/>
            <w:tcBorders/>
            <w:shd w:fill="CCEEFF" w:val="clear"/>
            <w:vAlign w:val="bottom"/>
          </w:tcPr>
          <w:p>
            <w:pPr>
              <w:pStyle w:val="TableContents"/>
              <w:spacing w:before="0" w:after="283"/>
              <w:rPr/>
            </w:pPr>
            <w:r>
              <w:rPr/>
              <w:t>  </w:t>
            </w:r>
          </w:p>
        </w:tc>
      </w:tr>
      <w:tr>
        <w:trPr>
          <w:trHeight w:val="120" w:hRule="atLeast"/>
        </w:trPr>
        <w:tc>
          <w:tcPr>
            <w:tcW w:w="4314" w:type="dxa"/>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c>
          <w:tcPr>
            <w:tcW w:w="1288" w:type="dxa"/>
            <w:gridSpan w:val="4"/>
            <w:tcBorders/>
            <w:shd w:fill="auto" w:val="clear"/>
            <w:vAlign w:val="center"/>
          </w:tcPr>
          <w:p>
            <w:pPr>
              <w:pStyle w:val="TableContents"/>
              <w:spacing w:before="0" w:after="283"/>
              <w:rPr>
                <w:sz w:val="4"/>
                <w:szCs w:val="4"/>
              </w:rPr>
            </w:pPr>
            <w:r>
              <w:rPr>
                <w:sz w:val="4"/>
                <w:szCs w:val="4"/>
              </w:rPr>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76"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314" w:type="dxa"/>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c>
          <w:tcPr>
            <w:tcW w:w="1288" w:type="dxa"/>
            <w:gridSpan w:val="4"/>
            <w:tcBorders/>
            <w:shd w:fill="auto" w:val="clear"/>
            <w:vAlign w:val="center"/>
          </w:tcPr>
          <w:p>
            <w:pPr>
              <w:pStyle w:val="TableContents"/>
              <w:spacing w:before="0" w:after="283"/>
              <w:rPr>
                <w:sz w:val="4"/>
                <w:szCs w:val="4"/>
              </w:rPr>
            </w:pPr>
            <w:r>
              <w:rPr>
                <w:sz w:val="4"/>
                <w:szCs w:val="4"/>
              </w:rPr>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Temporary equity:</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Redeemable noncontrolling interest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34,108</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34,108</w:t>
            </w:r>
          </w:p>
        </w:tc>
        <w:tc>
          <w:tcPr>
            <w:tcW w:w="130" w:type="dxa"/>
            <w:tcBorders/>
            <w:shd w:fill="auto" w:val="clear"/>
            <w:vAlign w:val="bottom"/>
          </w:tcPr>
          <w:p>
            <w:pPr>
              <w:pStyle w:val="TableContents"/>
              <w:spacing w:before="0" w:after="283"/>
              <w:rPr/>
            </w:pPr>
            <w:r>
              <w:rPr/>
              <w:t>  </w:t>
            </w:r>
          </w:p>
        </w:tc>
      </w:tr>
      <w:tr>
        <w:trPr>
          <w:trHeight w:val="120" w:hRule="atLeast"/>
        </w:trPr>
        <w:tc>
          <w:tcPr>
            <w:tcW w:w="4314" w:type="dxa"/>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20"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c>
          <w:tcPr>
            <w:tcW w:w="1288" w:type="dxa"/>
            <w:gridSpan w:val="4"/>
            <w:tcBorders/>
            <w:shd w:fill="auto" w:val="clear"/>
            <w:vAlign w:val="center"/>
          </w:tcPr>
          <w:p>
            <w:pPr>
              <w:pStyle w:val="TableContents"/>
              <w:spacing w:before="0" w:after="283"/>
              <w:rPr>
                <w:sz w:val="4"/>
                <w:szCs w:val="4"/>
              </w:rPr>
            </w:pPr>
            <w:r>
              <w:rPr>
                <w:sz w:val="4"/>
                <w:szCs w:val="4"/>
              </w:rPr>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7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Class A Non-voting Common Stock, par value $.01 per share;</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Class B Voting Common Stock, convertible, par value $.01 per share;</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234,233</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112,661</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95,820</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(184,371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258,343</w:t>
            </w:r>
          </w:p>
        </w:tc>
        <w:tc>
          <w:tcPr>
            <w:tcW w:w="130" w:type="dxa"/>
            <w:tcBorders/>
            <w:shd w:fill="auto" w:val="clear"/>
            <w:vAlign w:val="bottom"/>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164,022</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339,936</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498,708</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income (loss)</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3,590</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(1,843</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1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6"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14" w:type="dxa"/>
            <w:tcBorders/>
            <w:shd w:fill="CCEEFF" w:val="clear"/>
          </w:tcPr>
          <w:p>
            <w:pPr>
              <w:pStyle w:val="TableContents"/>
              <w:spacing w:before="0" w:after="283"/>
              <w:rPr>
                <w:rFonts w:ascii="Times New Roman" w:hAnsi="Times New Roman"/>
                <w:sz w:val="20"/>
              </w:rPr>
            </w:pPr>
            <w:r>
              <w:rPr>
                <w:rFonts w:ascii="Times New Roman" w:hAnsi="Times New Roman"/>
                <w:sz w:val="20"/>
              </w:rPr>
              <w:t>EZCORP, Inc. stockholders equity</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402,343</w:t>
            </w:r>
          </w:p>
        </w:tc>
        <w:tc>
          <w:tcPr>
            <w:tcW w:w="12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451,081</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86,665</w:t>
            </w:r>
          </w:p>
        </w:tc>
        <w:tc>
          <w:tcPr>
            <w:tcW w:w="12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(184,371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755,718</w:t>
            </w:r>
          </w:p>
        </w:tc>
        <w:tc>
          <w:tcPr>
            <w:tcW w:w="130" w:type="dxa"/>
            <w:tcBorders/>
            <w:shd w:fill="CCEEFF"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76"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14"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 and stockholders equity</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468,347</w:t>
            </w:r>
          </w:p>
        </w:tc>
        <w:tc>
          <w:tcPr>
            <w:tcW w:w="12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812,024</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303,420</w:t>
            </w:r>
          </w:p>
        </w:tc>
        <w:tc>
          <w:tcPr>
            <w:tcW w:w="1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(554,622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1,029,169</w:t>
            </w:r>
          </w:p>
        </w:tc>
        <w:tc>
          <w:tcPr>
            <w:tcW w:w="130" w:type="dxa"/>
            <w:tcBorders/>
            <w:shd w:fill="auto" w:val="clear"/>
            <w:vAlign w:val="bottom"/>
          </w:tcPr>
          <w:p>
            <w:pPr>
              <w:pStyle w:val="TableContents"/>
              <w:spacing w:before="0" w:after="283"/>
              <w:rPr/>
            </w:pPr>
            <w:r>
              <w:rPr/>
              <w:t>  </w:t>
            </w:r>
          </w:p>
        </w:tc>
      </w:tr>
      <w:tr>
        <w:trPr/>
        <w:tc>
          <w:tcPr>
            <w:tcW w:w="431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76"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565"/>
        <w:gridCol w:w="204"/>
        <w:gridCol w:w="125"/>
        <w:gridCol w:w="785"/>
        <w:gridCol w:w="125"/>
        <w:gridCol w:w="160"/>
        <w:gridCol w:w="125"/>
        <w:gridCol w:w="741"/>
        <w:gridCol w:w="125"/>
        <w:gridCol w:w="160"/>
        <w:gridCol w:w="129"/>
        <w:gridCol w:w="621"/>
        <w:gridCol w:w="124"/>
        <w:gridCol w:w="160"/>
        <w:gridCol w:w="125"/>
        <w:gridCol w:w="650"/>
        <w:gridCol w:w="125"/>
        <w:gridCol w:w="160"/>
        <w:gridCol w:w="125"/>
        <w:gridCol w:w="741"/>
        <w:gridCol w:w="130"/>
      </w:tblGrid>
      <w:tr>
        <w:trPr/>
        <w:tc>
          <w:tcPr>
            <w:tcW w:w="45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56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306"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2011</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306"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306"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2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57,196</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2,589</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59,785</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 net</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97,375</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9,150</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106,525</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net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10,224</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1,724</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11,948</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18,620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1,356</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19,976</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 receivable, net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5,869</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6,026</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63,169</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7,106</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70,275</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23,319</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Receivable from affiliates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receivable</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4,612</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1,427</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16,435</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3,591</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20,045</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55,426</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238,226</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25,674</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319,326</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67,581</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44,783</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112,364</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Investments in subsidiaries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76,999</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9,145</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(86,144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53,529</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16,576</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70,105</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136,039</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7,365</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143,404</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15,032</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1,068</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16,122</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6,414</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1,158</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7,572</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200,028</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503,168</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51,841</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(86,144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668,893</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8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2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1"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 and stockholders equity:</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2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maturities of long-term debt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40,101</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4,558</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44,754</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6,509</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6,844</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Intercompany payables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(213,239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173,476</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39,763</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payable</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8,494</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(5,142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(194,650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214,944</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41,304</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61,598</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1,192</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2,313</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2,314</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(184,653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218,441</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41,316</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75,104</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2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Class A Non-voting Common Stock, par value $.01 per share;</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Class B Voting Common Stock, convertible, par value $.01 per share;</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213,948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88,119</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15,340</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(86,144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231,263</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165,493</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197,880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(4,170</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359,203</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income (loss)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4,752</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2,824</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384,681</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284,727</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10,525</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(86,144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593,789</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stockholders equity</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200,028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503,168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51,841</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(86,144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668,893</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8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2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1"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480"/>
        <w:gridCol w:w="202"/>
        <w:gridCol w:w="125"/>
        <w:gridCol w:w="775"/>
        <w:gridCol w:w="125"/>
        <w:gridCol w:w="159"/>
        <w:gridCol w:w="125"/>
        <w:gridCol w:w="732"/>
        <w:gridCol w:w="125"/>
        <w:gridCol w:w="159"/>
        <w:gridCol w:w="129"/>
        <w:gridCol w:w="613"/>
        <w:gridCol w:w="124"/>
        <w:gridCol w:w="159"/>
        <w:gridCol w:w="125"/>
        <w:gridCol w:w="775"/>
        <w:gridCol w:w="125"/>
        <w:gridCol w:w="159"/>
        <w:gridCol w:w="125"/>
        <w:gridCol w:w="732"/>
        <w:gridCol w:w="132"/>
      </w:tblGrid>
      <w:tr>
        <w:trPr/>
        <w:tc>
          <w:tcPr>
            <w:tcW w:w="448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3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 2011</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3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3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0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Guarantors</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Subsidiaries</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20,860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3,109</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134,457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10,861</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145,318</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12,526</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2,085</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14,611</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24,792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1,663</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26,455</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 receivable,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6,775</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81,277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9,096</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90,373</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12,728</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5,397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18,125</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Receivable from affiliates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66,450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(66,450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receivable</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25,976</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4,606</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30,611</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79,207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245,477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31,553</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356,237</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71,958</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48,361</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120,319</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Investments in subsidiaries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84,303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44,323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(128,626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59,434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19,064</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78,498</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 non-current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163,897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9,309</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15,183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2,460</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19,790</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7,036</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1,362</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237,615</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583,711</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63,748</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(128,624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50,871</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6,516</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57,400</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5,711</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465</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6,176</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Intercompany payables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(199,190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178,375</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20,761</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 payable</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9,552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(5,150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(3,709</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(189,625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229,807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24,033</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64,269</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828</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8,331</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2,102</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(166,185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233,472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24,861</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92,202</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Class A Non-voting Common Stock, par value $.01 per share;</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461</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471</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Class B Voting Common Stock, convertible, par value $.01 per share;</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221,526</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98,980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50,568</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(128,676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242,398</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174,860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251,418</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(4,183</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422,095</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income (loss)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6,923</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(7,499</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(746</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403,800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350,239</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38,887</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(128,678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664,248</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 and stockholders equity</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237,615</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583,711</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63,748</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(128,624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u w:val="single"/>
        </w:rPr>
      </w:pPr>
      <w:r>
        <w:rPr>
          <w:rFonts w:ascii="Times New Roman" w:hAnsi="Times New Roman"/>
          <w:sz w:val="20"/>
          <w:u w:val="single"/>
        </w:rPr>
        <w:t xml:space="preserve">Condensed Consolidating Statements of Operations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54"/>
        <w:gridCol w:w="262"/>
        <w:gridCol w:w="125"/>
        <w:gridCol w:w="665"/>
        <w:gridCol w:w="125"/>
        <w:gridCol w:w="216"/>
        <w:gridCol w:w="125"/>
        <w:gridCol w:w="699"/>
        <w:gridCol w:w="125"/>
        <w:gridCol w:w="216"/>
        <w:gridCol w:w="129"/>
        <w:gridCol w:w="634"/>
        <w:gridCol w:w="125"/>
        <w:gridCol w:w="216"/>
        <w:gridCol w:w="143"/>
        <w:gridCol w:w="647"/>
        <w:gridCol w:w="125"/>
        <w:gridCol w:w="216"/>
        <w:gridCol w:w="125"/>
        <w:gridCol w:w="699"/>
        <w:gridCol w:w="134"/>
      </w:tblGrid>
      <w:tr>
        <w:trPr/>
        <w:tc>
          <w:tcPr>
            <w:tcW w:w="445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r>
      <w:tr>
        <w:trPr/>
        <w:tc>
          <w:tcPr>
            <w:tcW w:w="445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55"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March 31, 2012</w:t>
            </w:r>
          </w:p>
        </w:tc>
        <w:tc>
          <w:tcPr>
            <w:tcW w:w="134" w:type="dxa"/>
            <w:tcBorders/>
            <w:shd w:fill="auto"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55"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4" w:type="dxa"/>
            <w:tcBorders/>
            <w:shd w:fill="auto"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55"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4" w:type="dxa"/>
            <w:tcBorders/>
            <w:shd w:fill="auto"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4" w:type="dxa"/>
            <w:tcBorders/>
            <w:shd w:fill="auto" w:val="clear"/>
            <w:vAlign w:val="bottom"/>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4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133,772</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14,400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148,172</w:t>
            </w:r>
          </w:p>
        </w:tc>
        <w:tc>
          <w:tcPr>
            <w:tcW w:w="134" w:type="dxa"/>
            <w:tcBorders/>
            <w:shd w:fill="auto" w:val="clear"/>
            <w:vAlign w:val="bottom"/>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50,505</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56,444</w:t>
            </w:r>
          </w:p>
        </w:tc>
        <w:tc>
          <w:tcPr>
            <w:tcW w:w="134" w:type="dxa"/>
            <w:tcBorders/>
            <w:shd w:fill="CCEEFF" w:val="clear"/>
            <w:vAlign w:val="bottom"/>
          </w:tcPr>
          <w:p>
            <w:pPr>
              <w:pStyle w:val="TableContents"/>
              <w:spacing w:before="0" w:after="283"/>
              <w:rPr/>
            </w:pPr>
            <w:r>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40,233</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10,086</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50,319</w:t>
            </w:r>
          </w:p>
        </w:tc>
        <w:tc>
          <w:tcPr>
            <w:tcW w:w="134" w:type="dxa"/>
            <w:tcBorders/>
            <w:shd w:fill="auto" w:val="clear"/>
            <w:vAlign w:val="bottom"/>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Other 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985</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1,343</w:t>
            </w:r>
          </w:p>
        </w:tc>
        <w:tc>
          <w:tcPr>
            <w:tcW w:w="134" w:type="dxa"/>
            <w:tcBorders/>
            <w:shd w:fill="CCEEFF"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225,495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30,783</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256,278</w:t>
            </w:r>
          </w:p>
        </w:tc>
        <w:tc>
          <w:tcPr>
            <w:tcW w:w="134" w:type="dxa"/>
            <w:tcBorders/>
            <w:shd w:fill="auto" w:val="clear"/>
            <w:vAlign w:val="bottom"/>
          </w:tcPr>
          <w:p>
            <w:pPr>
              <w:pStyle w:val="TableContents"/>
              <w:spacing w:before="0" w:after="283"/>
              <w:rPr/>
            </w:pPr>
            <w:r>
              <w:rPr/>
              <w:t>  </w:t>
            </w:r>
          </w:p>
        </w:tc>
      </w:tr>
      <w:tr>
        <w:trPr>
          <w:trHeight w:val="120" w:hRule="atLeast"/>
        </w:trPr>
        <w:tc>
          <w:tcPr>
            <w:tcW w:w="4454" w:type="dxa"/>
            <w:tcBorders/>
            <w:shd w:fill="auto" w:val="clear"/>
            <w:vAlign w:val="center"/>
          </w:tcPr>
          <w:p>
            <w:pPr>
              <w:pStyle w:val="TableContents"/>
              <w:spacing w:before="0" w:after="283"/>
              <w:rPr>
                <w:sz w:val="4"/>
                <w:szCs w:val="4"/>
              </w:rPr>
            </w:pPr>
            <w:r>
              <w:rPr>
                <w:sz w:val="4"/>
                <w:szCs w:val="4"/>
              </w:rPr>
            </w:r>
          </w:p>
        </w:tc>
        <w:tc>
          <w:tcPr>
            <w:tcW w:w="1177" w:type="dxa"/>
            <w:gridSpan w:val="4"/>
            <w:tcBorders/>
            <w:shd w:fill="auto" w:val="clear"/>
            <w:vAlign w:val="center"/>
          </w:tcPr>
          <w:p>
            <w:pPr>
              <w:pStyle w:val="TableContents"/>
              <w:spacing w:before="0" w:after="283"/>
              <w:rPr>
                <w:sz w:val="4"/>
                <w:szCs w:val="4"/>
              </w:rPr>
            </w:pPr>
            <w:r>
              <w:rPr>
                <w:sz w:val="4"/>
                <w:szCs w:val="4"/>
              </w:rPr>
            </w:r>
          </w:p>
        </w:tc>
        <w:tc>
          <w:tcPr>
            <w:tcW w:w="1165" w:type="dxa"/>
            <w:gridSpan w:val="4"/>
            <w:tcBorders/>
            <w:shd w:fill="auto" w:val="clear"/>
            <w:vAlign w:val="center"/>
          </w:tcPr>
          <w:p>
            <w:pPr>
              <w:pStyle w:val="TableContents"/>
              <w:spacing w:before="0" w:after="283"/>
              <w:rPr>
                <w:sz w:val="4"/>
                <w:szCs w:val="4"/>
              </w:rPr>
            </w:pPr>
            <w:r>
              <w:rPr>
                <w:sz w:val="4"/>
                <w:szCs w:val="4"/>
              </w:rPr>
            </w:r>
          </w:p>
        </w:tc>
        <w:tc>
          <w:tcPr>
            <w:tcW w:w="1104"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74" w:type="dxa"/>
            <w:gridSpan w:val="4"/>
            <w:tcBorders/>
            <w:shd w:fill="auto" w:val="clear"/>
            <w:vAlign w:val="center"/>
          </w:tcPr>
          <w:p>
            <w:pPr>
              <w:pStyle w:val="TableContents"/>
              <w:spacing w:before="0" w:after="283"/>
              <w:rPr>
                <w:sz w:val="4"/>
                <w:szCs w:val="4"/>
              </w:rPr>
            </w:pPr>
            <w:r>
              <w:rPr>
                <w:sz w:val="4"/>
                <w:szCs w:val="4"/>
              </w:rPr>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79,390</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8,800</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88,190</w:t>
            </w:r>
          </w:p>
        </w:tc>
        <w:tc>
          <w:tcPr>
            <w:tcW w:w="134" w:type="dxa"/>
            <w:tcBorders/>
            <w:shd w:fill="CCEEFF" w:val="clear"/>
            <w:vAlign w:val="bottom"/>
          </w:tcPr>
          <w:p>
            <w:pPr>
              <w:pStyle w:val="TableContents"/>
              <w:spacing w:before="0" w:after="283"/>
              <w:rPr/>
            </w:pPr>
            <w:r>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1,156</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34" w:type="dxa"/>
            <w:tcBorders/>
            <w:shd w:fill="auto"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140,795</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20,827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161,622</w:t>
            </w:r>
          </w:p>
        </w:tc>
        <w:tc>
          <w:tcPr>
            <w:tcW w:w="134" w:type="dxa"/>
            <w:tcBorders/>
            <w:shd w:fill="CCEEFF" w:val="clear"/>
            <w:vAlign w:val="bottom"/>
          </w:tcPr>
          <w:p>
            <w:pPr>
              <w:pStyle w:val="TableContents"/>
              <w:spacing w:before="0" w:after="283"/>
              <w:rPr/>
            </w:pPr>
            <w:r>
              <w:rPr/>
              <w:t>  </w:t>
            </w:r>
          </w:p>
        </w:tc>
      </w:tr>
      <w:tr>
        <w:trPr>
          <w:trHeight w:val="120" w:hRule="atLeast"/>
        </w:trPr>
        <w:tc>
          <w:tcPr>
            <w:tcW w:w="4454" w:type="dxa"/>
            <w:tcBorders/>
            <w:shd w:fill="auto" w:val="clear"/>
            <w:vAlign w:val="center"/>
          </w:tcPr>
          <w:p>
            <w:pPr>
              <w:pStyle w:val="TableContents"/>
              <w:spacing w:before="0" w:after="283"/>
              <w:rPr>
                <w:sz w:val="4"/>
                <w:szCs w:val="4"/>
              </w:rPr>
            </w:pPr>
            <w:r>
              <w:rPr>
                <w:sz w:val="4"/>
                <w:szCs w:val="4"/>
              </w:rPr>
            </w:r>
          </w:p>
        </w:tc>
        <w:tc>
          <w:tcPr>
            <w:tcW w:w="1177" w:type="dxa"/>
            <w:gridSpan w:val="4"/>
            <w:tcBorders/>
            <w:shd w:fill="auto" w:val="clear"/>
            <w:vAlign w:val="center"/>
          </w:tcPr>
          <w:p>
            <w:pPr>
              <w:pStyle w:val="TableContents"/>
              <w:spacing w:before="0" w:after="283"/>
              <w:rPr>
                <w:sz w:val="4"/>
                <w:szCs w:val="4"/>
              </w:rPr>
            </w:pPr>
            <w:r>
              <w:rPr>
                <w:sz w:val="4"/>
                <w:szCs w:val="4"/>
              </w:rPr>
            </w:r>
          </w:p>
        </w:tc>
        <w:tc>
          <w:tcPr>
            <w:tcW w:w="1165" w:type="dxa"/>
            <w:gridSpan w:val="4"/>
            <w:tcBorders/>
            <w:shd w:fill="auto" w:val="clear"/>
            <w:vAlign w:val="center"/>
          </w:tcPr>
          <w:p>
            <w:pPr>
              <w:pStyle w:val="TableContents"/>
              <w:spacing w:before="0" w:after="283"/>
              <w:rPr>
                <w:sz w:val="4"/>
                <w:szCs w:val="4"/>
              </w:rPr>
            </w:pPr>
            <w:r>
              <w:rPr>
                <w:sz w:val="4"/>
                <w:szCs w:val="4"/>
              </w:rPr>
            </w:r>
          </w:p>
        </w:tc>
        <w:tc>
          <w:tcPr>
            <w:tcW w:w="1104"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74" w:type="dxa"/>
            <w:gridSpan w:val="4"/>
            <w:tcBorders/>
            <w:shd w:fill="auto" w:val="clear"/>
            <w:vAlign w:val="center"/>
          </w:tcPr>
          <w:p>
            <w:pPr>
              <w:pStyle w:val="TableContents"/>
              <w:spacing w:before="0" w:after="283"/>
              <w:rPr>
                <w:sz w:val="4"/>
                <w:szCs w:val="4"/>
              </w:rPr>
            </w:pPr>
            <w:r>
              <w:rPr>
                <w:sz w:val="4"/>
                <w:szCs w:val="4"/>
              </w:rPr>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65,259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12,010</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77,269</w:t>
            </w:r>
          </w:p>
        </w:tc>
        <w:tc>
          <w:tcPr>
            <w:tcW w:w="134" w:type="dxa"/>
            <w:tcBorders/>
            <w:shd w:fill="CCEEFF" w:val="clear"/>
            <w:vAlign w:val="bottom"/>
          </w:tcPr>
          <w:p>
            <w:pPr>
              <w:pStyle w:val="TableContents"/>
              <w:spacing w:before="0" w:after="283"/>
              <w:rPr/>
            </w:pPr>
            <w:r>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17,133</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21,353</w:t>
            </w:r>
          </w:p>
        </w:tc>
        <w:tc>
          <w:tcPr>
            <w:tcW w:w="134" w:type="dxa"/>
            <w:tcBorders/>
            <w:shd w:fill="auto" w:val="clear"/>
            <w:vAlign w:val="bottom"/>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4,447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2,812</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7,259</w:t>
            </w:r>
          </w:p>
        </w:tc>
        <w:tc>
          <w:tcPr>
            <w:tcW w:w="134" w:type="dxa"/>
            <w:tcBorders/>
            <w:shd w:fill="CCEEFF" w:val="clear"/>
            <w:vAlign w:val="bottom"/>
          </w:tcPr>
          <w:p>
            <w:pPr>
              <w:pStyle w:val="TableContents"/>
              <w:spacing w:before="0" w:after="283"/>
              <w:rPr/>
            </w:pPr>
            <w:r>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Loss on sale or disposal of assets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34" w:type="dxa"/>
            <w:tcBorders/>
            <w:shd w:fill="auto"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86,841</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19,067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105,908</w:t>
            </w:r>
          </w:p>
        </w:tc>
        <w:tc>
          <w:tcPr>
            <w:tcW w:w="134" w:type="dxa"/>
            <w:tcBorders/>
            <w:shd w:fill="CCEEFF"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53,954</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55,714</w:t>
            </w:r>
          </w:p>
        </w:tc>
        <w:tc>
          <w:tcPr>
            <w:tcW w:w="134" w:type="dxa"/>
            <w:tcBorders/>
            <w:shd w:fill="auto" w:val="clear"/>
            <w:vAlign w:val="bottom"/>
          </w:tcPr>
          <w:p>
            <w:pPr>
              <w:pStyle w:val="TableContents"/>
              <w:spacing w:before="0" w:after="283"/>
              <w:rPr/>
            </w:pPr>
            <w:r>
              <w:rPr/>
              <w:t>  </w:t>
            </w:r>
          </w:p>
        </w:tc>
      </w:tr>
      <w:tr>
        <w:trPr>
          <w:trHeight w:val="120" w:hRule="atLeast"/>
        </w:trPr>
        <w:tc>
          <w:tcPr>
            <w:tcW w:w="4454" w:type="dxa"/>
            <w:tcBorders/>
            <w:shd w:fill="auto" w:val="clear"/>
            <w:vAlign w:val="center"/>
          </w:tcPr>
          <w:p>
            <w:pPr>
              <w:pStyle w:val="TableContents"/>
              <w:spacing w:before="0" w:after="283"/>
              <w:rPr>
                <w:sz w:val="4"/>
                <w:szCs w:val="4"/>
              </w:rPr>
            </w:pPr>
            <w:r>
              <w:rPr>
                <w:sz w:val="4"/>
                <w:szCs w:val="4"/>
              </w:rPr>
            </w:r>
          </w:p>
        </w:tc>
        <w:tc>
          <w:tcPr>
            <w:tcW w:w="1177" w:type="dxa"/>
            <w:gridSpan w:val="4"/>
            <w:tcBorders/>
            <w:shd w:fill="auto" w:val="clear"/>
            <w:vAlign w:val="center"/>
          </w:tcPr>
          <w:p>
            <w:pPr>
              <w:pStyle w:val="TableContents"/>
              <w:spacing w:before="0" w:after="283"/>
              <w:rPr>
                <w:sz w:val="4"/>
                <w:szCs w:val="4"/>
              </w:rPr>
            </w:pPr>
            <w:r>
              <w:rPr>
                <w:sz w:val="4"/>
                <w:szCs w:val="4"/>
              </w:rPr>
            </w:r>
          </w:p>
        </w:tc>
        <w:tc>
          <w:tcPr>
            <w:tcW w:w="1165" w:type="dxa"/>
            <w:gridSpan w:val="4"/>
            <w:tcBorders/>
            <w:shd w:fill="auto" w:val="clear"/>
            <w:vAlign w:val="center"/>
          </w:tcPr>
          <w:p>
            <w:pPr>
              <w:pStyle w:val="TableContents"/>
              <w:spacing w:before="0" w:after="283"/>
              <w:rPr>
                <w:sz w:val="4"/>
                <w:szCs w:val="4"/>
              </w:rPr>
            </w:pPr>
            <w:r>
              <w:rPr>
                <w:sz w:val="4"/>
                <w:szCs w:val="4"/>
              </w:rPr>
            </w:r>
          </w:p>
        </w:tc>
        <w:tc>
          <w:tcPr>
            <w:tcW w:w="1104"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74" w:type="dxa"/>
            <w:gridSpan w:val="4"/>
            <w:tcBorders/>
            <w:shd w:fill="auto" w:val="clear"/>
            <w:vAlign w:val="center"/>
          </w:tcPr>
          <w:p>
            <w:pPr>
              <w:pStyle w:val="TableContents"/>
              <w:spacing w:before="0" w:after="283"/>
              <w:rPr>
                <w:sz w:val="4"/>
                <w:szCs w:val="4"/>
              </w:rPr>
            </w:pPr>
            <w:r>
              <w:rPr>
                <w:sz w:val="4"/>
                <w:szCs w:val="4"/>
              </w:rPr>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3,706</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3,129</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2,072</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(3,706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2,560</w:t>
            </w:r>
          </w:p>
        </w:tc>
        <w:tc>
          <w:tcPr>
            <w:tcW w:w="134" w:type="dxa"/>
            <w:tcBorders/>
            <w:shd w:fill="auto" w:val="clear"/>
            <w:vAlign w:val="bottom"/>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(4,577</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803</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34" w:type="dxa"/>
            <w:tcBorders/>
            <w:shd w:fill="auto"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54,897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57,243</w:t>
            </w:r>
          </w:p>
        </w:tc>
        <w:tc>
          <w:tcPr>
            <w:tcW w:w="134" w:type="dxa"/>
            <w:tcBorders/>
            <w:shd w:fill="CCEEFF" w:val="clear"/>
            <w:vAlign w:val="bottom"/>
          </w:tcPr>
          <w:p>
            <w:pPr>
              <w:pStyle w:val="TableContents"/>
              <w:spacing w:before="0" w:after="283"/>
              <w:rPr/>
            </w:pPr>
            <w:r>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18,815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19,870</w:t>
            </w:r>
          </w:p>
        </w:tc>
        <w:tc>
          <w:tcPr>
            <w:tcW w:w="134" w:type="dxa"/>
            <w:tcBorders/>
            <w:shd w:fill="auto"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(16,277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54,897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37,373</w:t>
            </w:r>
          </w:p>
        </w:tc>
        <w:tc>
          <w:tcPr>
            <w:tcW w:w="134" w:type="dxa"/>
            <w:tcBorders/>
            <w:shd w:fill="CCEEFF" w:val="clear"/>
            <w:vAlign w:val="bottom"/>
          </w:tcPr>
          <w:p>
            <w:pPr>
              <w:pStyle w:val="TableContents"/>
              <w:spacing w:before="0" w:after="283"/>
              <w:rPr/>
            </w:pPr>
            <w:r>
              <w:rPr/>
              <w:t>  </w:t>
            </w:r>
          </w:p>
        </w:tc>
      </w:tr>
      <w:tr>
        <w:trPr/>
        <w:tc>
          <w:tcPr>
            <w:tcW w:w="445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redeemable noncontrolling interest</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4" w:type="dxa"/>
            <w:tcBorders/>
            <w:shd w:fill="auto"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4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5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(16,277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54,897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37,261</w:t>
            </w:r>
          </w:p>
        </w:tc>
        <w:tc>
          <w:tcPr>
            <w:tcW w:w="134" w:type="dxa"/>
            <w:tcBorders/>
            <w:shd w:fill="CCEEFF" w:val="clear"/>
            <w:vAlign w:val="bottom"/>
          </w:tcPr>
          <w:p>
            <w:pPr>
              <w:pStyle w:val="TableContents"/>
              <w:spacing w:before="0" w:after="283"/>
              <w:rPr/>
            </w:pPr>
            <w:r>
              <w:rPr/>
              <w:t>  </w:t>
            </w:r>
          </w:p>
        </w:tc>
      </w:tr>
      <w:tr>
        <w:trPr/>
        <w:tc>
          <w:tcPr>
            <w:tcW w:w="445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6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3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283"/>
              <w:rPr/>
            </w:pPr>
            <w:r>
              <w:rPr/>
              <w:t> </w:t>
            </w:r>
          </w:p>
        </w:tc>
        <w:tc>
          <w:tcPr>
            <w:tcW w:w="64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468"/>
        <w:gridCol w:w="261"/>
        <w:gridCol w:w="125"/>
        <w:gridCol w:w="594"/>
        <w:gridCol w:w="125"/>
        <w:gridCol w:w="211"/>
        <w:gridCol w:w="125"/>
        <w:gridCol w:w="734"/>
        <w:gridCol w:w="125"/>
        <w:gridCol w:w="211"/>
        <w:gridCol w:w="129"/>
        <w:gridCol w:w="611"/>
        <w:gridCol w:w="124"/>
        <w:gridCol w:w="211"/>
        <w:gridCol w:w="125"/>
        <w:gridCol w:w="697"/>
        <w:gridCol w:w="125"/>
        <w:gridCol w:w="211"/>
        <w:gridCol w:w="125"/>
        <w:gridCol w:w="734"/>
        <w:gridCol w:w="134"/>
      </w:tblGrid>
      <w:tr>
        <w:trPr/>
        <w:tc>
          <w:tcPr>
            <w:tcW w:w="446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r>
      <w:tr>
        <w:trPr/>
        <w:tc>
          <w:tcPr>
            <w:tcW w:w="4468"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534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March 31, 2011</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534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534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7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116,514</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9,254</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125,768</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43,073</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3,696</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46,769</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38,498</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1,974</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Other revenues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198,291</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14,963</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213,254</w:t>
            </w:r>
          </w:p>
        </w:tc>
        <w:tc>
          <w:tcPr>
            <w:tcW w:w="134" w:type="dxa"/>
            <w:tcBorders/>
            <w:shd w:fill="auto" w:val="clear"/>
            <w:vAlign w:val="bottom"/>
          </w:tcPr>
          <w:p>
            <w:pPr>
              <w:pStyle w:val="TableContents"/>
              <w:spacing w:before="0" w:after="283"/>
              <w:rPr/>
            </w:pPr>
            <w:r>
              <w:rPr/>
              <w:t>  </w:t>
            </w:r>
          </w:p>
        </w:tc>
      </w:tr>
      <w:tr>
        <w:trPr>
          <w:trHeight w:val="120" w:hRule="atLeast"/>
        </w:trPr>
        <w:tc>
          <w:tcPr>
            <w:tcW w:w="4468" w:type="dxa"/>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70,196</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6,368</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76,564</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5,098</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122,997</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7,953</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130,950</w:t>
            </w:r>
          </w:p>
        </w:tc>
        <w:tc>
          <w:tcPr>
            <w:tcW w:w="134" w:type="dxa"/>
            <w:tcBorders/>
            <w:shd w:fill="CCEEFF" w:val="clear"/>
            <w:vAlign w:val="bottom"/>
          </w:tcPr>
          <w:p>
            <w:pPr>
              <w:pStyle w:val="TableContents"/>
              <w:spacing w:before="0" w:after="283"/>
              <w:rPr/>
            </w:pPr>
            <w:r>
              <w:rPr/>
              <w:t>  </w:t>
            </w:r>
          </w:p>
        </w:tc>
      </w:tr>
      <w:tr>
        <w:trPr>
          <w:trHeight w:val="120" w:hRule="atLeast"/>
        </w:trPr>
        <w:tc>
          <w:tcPr>
            <w:tcW w:w="4468" w:type="dxa"/>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59,016</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7,029</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66,045</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14,515</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1,218</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15,733</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3,621</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845</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4,466</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(Gain) loss on sale or disposal of assets</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76,869</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9,197</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86,066</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46,128</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(1,244</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44,884</w:t>
            </w:r>
          </w:p>
        </w:tc>
        <w:tc>
          <w:tcPr>
            <w:tcW w:w="134" w:type="dxa"/>
            <w:tcBorders/>
            <w:shd w:fill="auto" w:val="clear"/>
            <w:vAlign w:val="bottom"/>
          </w:tcPr>
          <w:p>
            <w:pPr>
              <w:pStyle w:val="TableContents"/>
              <w:spacing w:before="0" w:after="283"/>
              <w:rPr/>
            </w:pPr>
            <w:r>
              <w:rPr/>
              <w:t>  </w:t>
            </w:r>
          </w:p>
        </w:tc>
      </w:tr>
      <w:tr>
        <w:trPr>
          <w:trHeight w:val="120" w:hRule="atLeast"/>
        </w:trPr>
        <w:tc>
          <w:tcPr>
            <w:tcW w:w="4468" w:type="dxa"/>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5,086</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2,908</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2,413</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22,306</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45,727</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(1,314</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49,282</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17,478</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17,444</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17,444</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4,828</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28,283</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(1,273</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1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455"/>
        <w:gridCol w:w="262"/>
        <w:gridCol w:w="125"/>
        <w:gridCol w:w="665"/>
        <w:gridCol w:w="125"/>
        <w:gridCol w:w="216"/>
        <w:gridCol w:w="125"/>
        <w:gridCol w:w="699"/>
        <w:gridCol w:w="125"/>
        <w:gridCol w:w="216"/>
        <w:gridCol w:w="129"/>
        <w:gridCol w:w="634"/>
        <w:gridCol w:w="125"/>
        <w:gridCol w:w="216"/>
        <w:gridCol w:w="125"/>
        <w:gridCol w:w="665"/>
        <w:gridCol w:w="125"/>
        <w:gridCol w:w="216"/>
        <w:gridCol w:w="125"/>
        <w:gridCol w:w="699"/>
        <w:gridCol w:w="133"/>
      </w:tblGrid>
      <w:tr>
        <w:trPr/>
        <w:tc>
          <w:tcPr>
            <w:tcW w:w="445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55"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 2012</w:t>
            </w:r>
          </w:p>
        </w:tc>
        <w:tc>
          <w:tcPr>
            <w:tcW w:w="133" w:type="dxa"/>
            <w:tcBorders/>
            <w:shd w:fill="auto"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55"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3" w:type="dxa"/>
            <w:tcBorders/>
            <w:shd w:fill="auto"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55"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3" w:type="dxa"/>
            <w:tcBorders/>
            <w:shd w:fill="auto"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3" w:type="dxa"/>
            <w:tcBorders/>
            <w:shd w:fill="auto" w:val="clear"/>
            <w:vAlign w:val="bottom"/>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262,318</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29,151</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291,469</w:t>
            </w:r>
          </w:p>
        </w:tc>
        <w:tc>
          <w:tcPr>
            <w:tcW w:w="133" w:type="dxa"/>
            <w:tcBorders/>
            <w:shd w:fill="auto" w:val="clear"/>
            <w:vAlign w:val="bottom"/>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104,875</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11,361</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116,236</w:t>
            </w:r>
          </w:p>
        </w:tc>
        <w:tc>
          <w:tcPr>
            <w:tcW w:w="133" w:type="dxa"/>
            <w:tcBorders/>
            <w:shd w:fill="CCEEFF" w:val="clear"/>
            <w:vAlign w:val="bottom"/>
          </w:tcPr>
          <w:p>
            <w:pPr>
              <w:pStyle w:val="TableContents"/>
              <w:spacing w:before="0" w:after="283"/>
              <w:rPr/>
            </w:pPr>
            <w:r>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82,650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12,757</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95,407</w:t>
            </w:r>
          </w:p>
        </w:tc>
        <w:tc>
          <w:tcPr>
            <w:tcW w:w="133" w:type="dxa"/>
            <w:tcBorders/>
            <w:shd w:fill="auto" w:val="clear"/>
            <w:vAlign w:val="bottom"/>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Other 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1,835</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2,039</w:t>
            </w:r>
          </w:p>
        </w:tc>
        <w:tc>
          <w:tcPr>
            <w:tcW w:w="133" w:type="dxa"/>
            <w:tcBorders/>
            <w:shd w:fill="CCEEFF"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451,678</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53,945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(20,611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505,151</w:t>
            </w:r>
          </w:p>
        </w:tc>
        <w:tc>
          <w:tcPr>
            <w:tcW w:w="133" w:type="dxa"/>
            <w:tcBorders/>
            <w:shd w:fill="auto" w:val="clear"/>
            <w:vAlign w:val="bottom"/>
          </w:tcPr>
          <w:p>
            <w:pPr>
              <w:pStyle w:val="TableContents"/>
              <w:spacing w:before="0" w:after="283"/>
              <w:rPr/>
            </w:pPr>
            <w:r>
              <w:rPr/>
              <w:t>  </w:t>
            </w:r>
          </w:p>
        </w:tc>
      </w:tr>
      <w:tr>
        <w:trPr>
          <w:trHeight w:val="120" w:hRule="atLeast"/>
        </w:trPr>
        <w:tc>
          <w:tcPr>
            <w:tcW w:w="4455" w:type="dxa"/>
            <w:tcBorders/>
            <w:shd w:fill="auto" w:val="clear"/>
            <w:vAlign w:val="center"/>
          </w:tcPr>
          <w:p>
            <w:pPr>
              <w:pStyle w:val="TableContents"/>
              <w:spacing w:before="0" w:after="283"/>
              <w:rPr>
                <w:sz w:val="4"/>
                <w:szCs w:val="4"/>
              </w:rPr>
            </w:pPr>
            <w:r>
              <w:rPr>
                <w:sz w:val="4"/>
                <w:szCs w:val="4"/>
              </w:rPr>
            </w:r>
          </w:p>
        </w:tc>
        <w:tc>
          <w:tcPr>
            <w:tcW w:w="1177" w:type="dxa"/>
            <w:gridSpan w:val="4"/>
            <w:tcBorders/>
            <w:shd w:fill="auto" w:val="clear"/>
            <w:vAlign w:val="center"/>
          </w:tcPr>
          <w:p>
            <w:pPr>
              <w:pStyle w:val="TableContents"/>
              <w:spacing w:before="0" w:after="283"/>
              <w:rPr>
                <w:sz w:val="4"/>
                <w:szCs w:val="4"/>
              </w:rPr>
            </w:pPr>
            <w:r>
              <w:rPr>
                <w:sz w:val="4"/>
                <w:szCs w:val="4"/>
              </w:rPr>
            </w:r>
          </w:p>
        </w:tc>
        <w:tc>
          <w:tcPr>
            <w:tcW w:w="1165" w:type="dxa"/>
            <w:gridSpan w:val="4"/>
            <w:tcBorders/>
            <w:shd w:fill="auto" w:val="clear"/>
            <w:vAlign w:val="center"/>
          </w:tcPr>
          <w:p>
            <w:pPr>
              <w:pStyle w:val="TableContents"/>
              <w:spacing w:before="0" w:after="283"/>
              <w:rPr>
                <w:sz w:val="4"/>
                <w:szCs w:val="4"/>
              </w:rPr>
            </w:pPr>
            <w:r>
              <w:rPr>
                <w:sz w:val="4"/>
                <w:szCs w:val="4"/>
              </w:rPr>
            </w:r>
          </w:p>
        </w:tc>
        <w:tc>
          <w:tcPr>
            <w:tcW w:w="1104"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73"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155,511</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16,499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172,010</w:t>
            </w:r>
          </w:p>
        </w:tc>
        <w:tc>
          <w:tcPr>
            <w:tcW w:w="133" w:type="dxa"/>
            <w:tcBorders/>
            <w:shd w:fill="CCEEFF" w:val="clear"/>
            <w:vAlign w:val="bottom"/>
          </w:tcPr>
          <w:p>
            <w:pPr>
              <w:pStyle w:val="TableContents"/>
              <w:spacing w:before="0" w:after="283"/>
              <w:rPr/>
            </w:pPr>
            <w:r>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15,501</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17,491</w:t>
            </w:r>
          </w:p>
        </w:tc>
        <w:tc>
          <w:tcPr>
            <w:tcW w:w="133" w:type="dxa"/>
            <w:tcBorders/>
            <w:shd w:fill="auto"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280,666</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35,456</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315,650</w:t>
            </w:r>
          </w:p>
        </w:tc>
        <w:tc>
          <w:tcPr>
            <w:tcW w:w="133" w:type="dxa"/>
            <w:tcBorders/>
            <w:shd w:fill="CCEEFF" w:val="clear"/>
            <w:vAlign w:val="bottom"/>
          </w:tcPr>
          <w:p>
            <w:pPr>
              <w:pStyle w:val="TableContents"/>
              <w:spacing w:before="0" w:after="283"/>
              <w:rPr/>
            </w:pPr>
            <w:r>
              <w:rPr/>
              <w:t>  </w:t>
            </w:r>
          </w:p>
        </w:tc>
      </w:tr>
      <w:tr>
        <w:trPr>
          <w:trHeight w:val="120" w:hRule="atLeast"/>
        </w:trPr>
        <w:tc>
          <w:tcPr>
            <w:tcW w:w="4455" w:type="dxa"/>
            <w:tcBorders/>
            <w:shd w:fill="auto" w:val="clear"/>
            <w:vAlign w:val="center"/>
          </w:tcPr>
          <w:p>
            <w:pPr>
              <w:pStyle w:val="TableContents"/>
              <w:spacing w:before="0" w:after="283"/>
              <w:rPr>
                <w:sz w:val="4"/>
                <w:szCs w:val="4"/>
              </w:rPr>
            </w:pPr>
            <w:r>
              <w:rPr>
                <w:sz w:val="4"/>
                <w:szCs w:val="4"/>
              </w:rPr>
            </w:r>
          </w:p>
        </w:tc>
        <w:tc>
          <w:tcPr>
            <w:tcW w:w="1177" w:type="dxa"/>
            <w:gridSpan w:val="4"/>
            <w:tcBorders/>
            <w:shd w:fill="auto" w:val="clear"/>
            <w:vAlign w:val="center"/>
          </w:tcPr>
          <w:p>
            <w:pPr>
              <w:pStyle w:val="TableContents"/>
              <w:spacing w:before="0" w:after="283"/>
              <w:rPr>
                <w:sz w:val="4"/>
                <w:szCs w:val="4"/>
              </w:rPr>
            </w:pPr>
            <w:r>
              <w:rPr>
                <w:sz w:val="4"/>
                <w:szCs w:val="4"/>
              </w:rPr>
            </w:r>
          </w:p>
        </w:tc>
        <w:tc>
          <w:tcPr>
            <w:tcW w:w="1165" w:type="dxa"/>
            <w:gridSpan w:val="4"/>
            <w:tcBorders/>
            <w:shd w:fill="auto" w:val="clear"/>
            <w:vAlign w:val="center"/>
          </w:tcPr>
          <w:p>
            <w:pPr>
              <w:pStyle w:val="TableContents"/>
              <w:spacing w:before="0" w:after="283"/>
              <w:rPr>
                <w:sz w:val="4"/>
                <w:szCs w:val="4"/>
              </w:rPr>
            </w:pPr>
            <w:r>
              <w:rPr>
                <w:sz w:val="4"/>
                <w:szCs w:val="4"/>
              </w:rPr>
            </w:r>
          </w:p>
        </w:tc>
        <w:tc>
          <w:tcPr>
            <w:tcW w:w="1104"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73"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130,268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21,502</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151,770</w:t>
            </w:r>
          </w:p>
        </w:tc>
        <w:tc>
          <w:tcPr>
            <w:tcW w:w="133" w:type="dxa"/>
            <w:tcBorders/>
            <w:shd w:fill="CCEEFF" w:val="clear"/>
            <w:vAlign w:val="bottom"/>
          </w:tcPr>
          <w:p>
            <w:pPr>
              <w:pStyle w:val="TableContents"/>
              <w:spacing w:before="0" w:after="283"/>
              <w:rPr/>
            </w:pPr>
            <w:r>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34,821</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6,715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41,064</w:t>
            </w:r>
          </w:p>
        </w:tc>
        <w:tc>
          <w:tcPr>
            <w:tcW w:w="133" w:type="dxa"/>
            <w:tcBorders/>
            <w:shd w:fill="auto" w:val="clear"/>
            <w:vAlign w:val="bottom"/>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8,594</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3,920</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12,514</w:t>
            </w:r>
          </w:p>
        </w:tc>
        <w:tc>
          <w:tcPr>
            <w:tcW w:w="133" w:type="dxa"/>
            <w:tcBorders/>
            <w:shd w:fill="CCEEFF" w:val="clear"/>
            <w:vAlign w:val="bottom"/>
          </w:tcPr>
          <w:p>
            <w:pPr>
              <w:pStyle w:val="TableContents"/>
              <w:spacing w:before="0" w:after="283"/>
              <w:rPr/>
            </w:pPr>
            <w:r>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(Gain) loss on sale or disposal of assets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5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173,461</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32,185</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205,174</w:t>
            </w:r>
          </w:p>
        </w:tc>
        <w:tc>
          <w:tcPr>
            <w:tcW w:w="133" w:type="dxa"/>
            <w:tcBorders/>
            <w:shd w:fill="CCEEFF"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107,205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3,271</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110,476</w:t>
            </w:r>
          </w:p>
        </w:tc>
        <w:tc>
          <w:tcPr>
            <w:tcW w:w="133" w:type="dxa"/>
            <w:tcBorders/>
            <w:shd w:fill="auto" w:val="clear"/>
            <w:vAlign w:val="bottom"/>
          </w:tcPr>
          <w:p>
            <w:pPr>
              <w:pStyle w:val="TableContents"/>
              <w:spacing w:before="0" w:after="283"/>
              <w:rPr/>
            </w:pPr>
            <w:r>
              <w:rPr/>
              <w:t>  </w:t>
            </w:r>
          </w:p>
        </w:tc>
      </w:tr>
      <w:tr>
        <w:trPr>
          <w:trHeight w:val="120" w:hRule="atLeast"/>
        </w:trPr>
        <w:tc>
          <w:tcPr>
            <w:tcW w:w="4455" w:type="dxa"/>
            <w:tcBorders/>
            <w:shd w:fill="auto" w:val="clear"/>
            <w:vAlign w:val="center"/>
          </w:tcPr>
          <w:p>
            <w:pPr>
              <w:pStyle w:val="TableContents"/>
              <w:spacing w:before="0" w:after="283"/>
              <w:rPr>
                <w:sz w:val="4"/>
                <w:szCs w:val="4"/>
              </w:rPr>
            </w:pPr>
            <w:r>
              <w:rPr>
                <w:sz w:val="4"/>
                <w:szCs w:val="4"/>
              </w:rPr>
            </w:r>
          </w:p>
        </w:tc>
        <w:tc>
          <w:tcPr>
            <w:tcW w:w="1177" w:type="dxa"/>
            <w:gridSpan w:val="4"/>
            <w:tcBorders/>
            <w:shd w:fill="auto" w:val="clear"/>
            <w:vAlign w:val="center"/>
          </w:tcPr>
          <w:p>
            <w:pPr>
              <w:pStyle w:val="TableContents"/>
              <w:spacing w:before="0" w:after="283"/>
              <w:rPr>
                <w:sz w:val="4"/>
                <w:szCs w:val="4"/>
              </w:rPr>
            </w:pPr>
            <w:r>
              <w:rPr>
                <w:sz w:val="4"/>
                <w:szCs w:val="4"/>
              </w:rPr>
            </w:r>
          </w:p>
        </w:tc>
        <w:tc>
          <w:tcPr>
            <w:tcW w:w="1165" w:type="dxa"/>
            <w:gridSpan w:val="4"/>
            <w:tcBorders/>
            <w:shd w:fill="auto" w:val="clear"/>
            <w:vAlign w:val="center"/>
          </w:tcPr>
          <w:p>
            <w:pPr>
              <w:pStyle w:val="TableContents"/>
              <w:spacing w:before="0" w:after="283"/>
              <w:rPr>
                <w:sz w:val="4"/>
                <w:szCs w:val="4"/>
              </w:rPr>
            </w:pPr>
            <w:r>
              <w:rPr>
                <w:sz w:val="4"/>
                <w:szCs w:val="4"/>
              </w:rPr>
            </w:r>
          </w:p>
        </w:tc>
        <w:tc>
          <w:tcPr>
            <w:tcW w:w="1104" w:type="dxa"/>
            <w:gridSpan w:val="4"/>
            <w:tcBorders/>
            <w:shd w:fill="auto" w:val="clear"/>
            <w:vAlign w:val="center"/>
          </w:tcPr>
          <w:p>
            <w:pPr>
              <w:pStyle w:val="TableContents"/>
              <w:spacing w:before="0" w:after="283"/>
              <w:rPr>
                <w:sz w:val="4"/>
                <w:szCs w:val="4"/>
              </w:rPr>
            </w:pPr>
            <w:r>
              <w:rPr>
                <w:sz w:val="4"/>
                <w:szCs w:val="4"/>
              </w:rPr>
            </w:r>
          </w:p>
        </w:tc>
        <w:tc>
          <w:tcPr>
            <w:tcW w:w="1131" w:type="dxa"/>
            <w:gridSpan w:val="4"/>
            <w:tcBorders/>
            <w:shd w:fill="auto" w:val="clear"/>
            <w:vAlign w:val="center"/>
          </w:tcPr>
          <w:p>
            <w:pPr>
              <w:pStyle w:val="TableContents"/>
              <w:spacing w:before="0" w:after="283"/>
              <w:rPr>
                <w:sz w:val="4"/>
                <w:szCs w:val="4"/>
              </w:rPr>
            </w:pPr>
            <w:r>
              <w:rPr>
                <w:sz w:val="4"/>
                <w:szCs w:val="4"/>
              </w:rPr>
            </w:r>
          </w:p>
        </w:tc>
        <w:tc>
          <w:tcPr>
            <w:tcW w:w="1173" w:type="dxa"/>
            <w:gridSpan w:val="4"/>
            <w:tcBorders/>
            <w:shd w:fill="auto" w:val="clear"/>
            <w:vAlign w:val="center"/>
          </w:tcPr>
          <w:p>
            <w:pPr>
              <w:pStyle w:val="TableContents"/>
              <w:spacing w:before="0" w:after="283"/>
              <w:rPr>
                <w:sz w:val="4"/>
                <w:szCs w:val="4"/>
              </w:rPr>
            </w:pPr>
            <w:r>
              <w:rPr>
                <w:sz w:val="4"/>
                <w:szCs w:val="4"/>
              </w:rPr>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3,714</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1,256</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3,527</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2,081</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(3,714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3,150</w:t>
            </w:r>
          </w:p>
        </w:tc>
        <w:tc>
          <w:tcPr>
            <w:tcW w:w="133" w:type="dxa"/>
            <w:tcBorders/>
            <w:shd w:fill="auto" w:val="clear"/>
            <w:vAlign w:val="bottom"/>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5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26,886</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108,657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1,330</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116,734</w:t>
            </w:r>
          </w:p>
        </w:tc>
        <w:tc>
          <w:tcPr>
            <w:tcW w:w="133" w:type="dxa"/>
            <w:tcBorders/>
            <w:shd w:fill="CCEEFF" w:val="clear"/>
            <w:vAlign w:val="bottom"/>
          </w:tcPr>
          <w:p>
            <w:pPr>
              <w:pStyle w:val="TableContents"/>
              <w:spacing w:before="0" w:after="283"/>
              <w:rPr/>
            </w:pPr>
            <w:r>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37,724</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40,009</w:t>
            </w:r>
          </w:p>
        </w:tc>
        <w:tc>
          <w:tcPr>
            <w:tcW w:w="133" w:type="dxa"/>
            <w:tcBorders/>
            <w:shd w:fill="auto"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88,518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33" w:type="dxa"/>
            <w:tcBorders/>
            <w:shd w:fill="CCEEFF" w:val="clear"/>
            <w:vAlign w:val="bottom"/>
          </w:tcPr>
          <w:p>
            <w:pPr>
              <w:pStyle w:val="TableContents"/>
              <w:spacing w:before="0" w:after="283"/>
              <w:rPr/>
            </w:pPr>
            <w:r>
              <w:rPr/>
              <w:t>  </w:t>
            </w:r>
          </w:p>
        </w:tc>
      </w:tr>
      <w:tr>
        <w:trPr/>
        <w:tc>
          <w:tcPr>
            <w:tcW w:w="4455"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redeemable noncontrolling interest</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3" w:type="dxa"/>
            <w:tcBorders/>
            <w:shd w:fill="auto"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5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88,518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33" w:type="dxa"/>
            <w:tcBorders/>
            <w:shd w:fill="CCEEFF"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6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3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6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509"/>
        <w:gridCol w:w="262"/>
        <w:gridCol w:w="125"/>
        <w:gridCol w:w="618"/>
        <w:gridCol w:w="125"/>
        <w:gridCol w:w="216"/>
        <w:gridCol w:w="125"/>
        <w:gridCol w:w="697"/>
        <w:gridCol w:w="125"/>
        <w:gridCol w:w="216"/>
        <w:gridCol w:w="129"/>
        <w:gridCol w:w="634"/>
        <w:gridCol w:w="124"/>
        <w:gridCol w:w="216"/>
        <w:gridCol w:w="125"/>
        <w:gridCol w:w="663"/>
        <w:gridCol w:w="125"/>
        <w:gridCol w:w="216"/>
        <w:gridCol w:w="125"/>
        <w:gridCol w:w="697"/>
        <w:gridCol w:w="133"/>
      </w:tblGrid>
      <w:tr>
        <w:trPr/>
        <w:tc>
          <w:tcPr>
            <w:tcW w:w="45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0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 2011</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0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0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34"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229,867</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18,446</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248,313</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89,509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7,070</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96,579</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83,210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3,572</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86,782</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Other 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402,940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29,140</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432,080</w:t>
            </w:r>
          </w:p>
        </w:tc>
        <w:tc>
          <w:tcPr>
            <w:tcW w:w="133" w:type="dxa"/>
            <w:tcBorders/>
            <w:shd w:fill="auto" w:val="clear"/>
            <w:vAlign w:val="bottom"/>
          </w:tcPr>
          <w:p>
            <w:pPr>
              <w:pStyle w:val="TableContents"/>
              <w:spacing w:before="0" w:after="283"/>
              <w:rPr/>
            </w:pPr>
            <w:r>
              <w:rPr/>
              <w:t>  </w:t>
            </w:r>
          </w:p>
        </w:tc>
      </w:tr>
      <w:tr>
        <w:trPr>
          <w:trHeight w:val="120" w:hRule="atLeast"/>
        </w:trPr>
        <w:tc>
          <w:tcPr>
            <w:tcW w:w="4509" w:type="dxa"/>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03"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1171" w:type="dxa"/>
            <w:gridSpan w:val="4"/>
            <w:tcBorders/>
            <w:shd w:fill="auto" w:val="clear"/>
            <w:vAlign w:val="center"/>
          </w:tcPr>
          <w:p>
            <w:pPr>
              <w:pStyle w:val="TableContents"/>
              <w:spacing w:before="0" w:after="283"/>
              <w:rPr>
                <w:sz w:val="4"/>
                <w:szCs w:val="4"/>
              </w:rPr>
            </w:pPr>
            <w:r>
              <w:rPr>
                <w:sz w:val="4"/>
                <w:szCs w:val="4"/>
              </w:rPr>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137,948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12,182</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150,130</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15,564</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1,204</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249,428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15,754</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265,182</w:t>
            </w:r>
          </w:p>
        </w:tc>
        <w:tc>
          <w:tcPr>
            <w:tcW w:w="133" w:type="dxa"/>
            <w:tcBorders/>
            <w:shd w:fill="CCEEFF" w:val="clear"/>
            <w:vAlign w:val="bottom"/>
          </w:tcPr>
          <w:p>
            <w:pPr>
              <w:pStyle w:val="TableContents"/>
              <w:spacing w:before="0" w:after="283"/>
              <w:rPr/>
            </w:pPr>
            <w:r>
              <w:rPr/>
              <w:t>  </w:t>
            </w:r>
          </w:p>
        </w:tc>
      </w:tr>
      <w:tr>
        <w:trPr>
          <w:trHeight w:val="120" w:hRule="atLeast"/>
        </w:trPr>
        <w:tc>
          <w:tcPr>
            <w:tcW w:w="4509" w:type="dxa"/>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03"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1171" w:type="dxa"/>
            <w:gridSpan w:val="4"/>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3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117,276</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13,273</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130,549</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39,718</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2,153</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41,871</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7,048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1,597</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8,645</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(Gain) loss on sale or disposal of assets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163,753</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17,141</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180,894</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85,675</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(1,387</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84,288</w:t>
            </w:r>
          </w:p>
        </w:tc>
        <w:tc>
          <w:tcPr>
            <w:tcW w:w="133" w:type="dxa"/>
            <w:tcBorders/>
            <w:shd w:fill="auto" w:val="clear"/>
            <w:vAlign w:val="bottom"/>
          </w:tcPr>
          <w:p>
            <w:pPr>
              <w:pStyle w:val="TableContents"/>
              <w:spacing w:before="0" w:after="283"/>
              <w:rPr/>
            </w:pPr>
            <w:r>
              <w:rPr/>
              <w:t>  </w:t>
            </w:r>
          </w:p>
        </w:tc>
      </w:tr>
      <w:tr>
        <w:trPr>
          <w:trHeight w:val="120" w:hRule="atLeast"/>
        </w:trPr>
        <w:tc>
          <w:tcPr>
            <w:tcW w:w="4509" w:type="dxa"/>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03"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1171" w:type="dxa"/>
            <w:gridSpan w:val="4"/>
            <w:tcBorders/>
            <w:shd w:fill="auto" w:val="clear"/>
            <w:vAlign w:val="center"/>
          </w:tcPr>
          <w:p>
            <w:pPr>
              <w:pStyle w:val="TableContents"/>
              <w:spacing w:before="0" w:after="283"/>
              <w:rPr>
                <w:sz w:val="4"/>
                <w:szCs w:val="4"/>
              </w:rPr>
            </w:pPr>
            <w:r>
              <w:rPr>
                <w:sz w:val="4"/>
                <w:szCs w:val="4"/>
              </w:rPr>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5,146</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5,023</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(5,146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41,395</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84,476</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(1,517</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91,817</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32,231</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32,550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32,550</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9,164</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51,926</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(1,823</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34"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6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u w:val="single"/>
        </w:rPr>
      </w:pPr>
      <w:r>
        <w:rPr>
          <w:rFonts w:ascii="Times New Roman" w:hAnsi="Times New Roman"/>
          <w:sz w:val="20"/>
          <w:u w:val="single"/>
        </w:rPr>
        <w:t xml:space="preserve">Condensed Consolidating Statement of Comprehensive Income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97"/>
        <w:gridCol w:w="287"/>
        <w:gridCol w:w="125"/>
        <w:gridCol w:w="655"/>
        <w:gridCol w:w="125"/>
        <w:gridCol w:w="245"/>
        <w:gridCol w:w="125"/>
        <w:gridCol w:w="613"/>
        <w:gridCol w:w="125"/>
        <w:gridCol w:w="245"/>
        <w:gridCol w:w="138"/>
        <w:gridCol w:w="622"/>
        <w:gridCol w:w="124"/>
        <w:gridCol w:w="245"/>
        <w:gridCol w:w="139"/>
        <w:gridCol w:w="663"/>
        <w:gridCol w:w="132"/>
      </w:tblGrid>
      <w:tr>
        <w:trPr/>
        <w:tc>
          <w:tcPr>
            <w:tcW w:w="559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597"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18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32" w:type="dxa"/>
            <w:tcBorders/>
            <w:shd w:fill="auto" w:val="clear"/>
            <w:vAlign w:val="bottom"/>
          </w:tcPr>
          <w:p>
            <w:pPr>
              <w:pStyle w:val="TableContents"/>
              <w:spacing w:before="0" w:after="283"/>
              <w:rPr/>
            </w:pPr>
            <w:r>
              <w:rPr/>
              <w:t> </w:t>
            </w:r>
          </w:p>
        </w:tc>
      </w:tr>
      <w:tr>
        <w:trPr/>
        <w:tc>
          <w:tcPr>
            <w:tcW w:w="5597"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18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2012</w:t>
            </w:r>
          </w:p>
        </w:tc>
        <w:tc>
          <w:tcPr>
            <w:tcW w:w="132" w:type="dxa"/>
            <w:tcBorders/>
            <w:shd w:fill="auto" w:val="clear"/>
            <w:vAlign w:val="bottom"/>
          </w:tcPr>
          <w:p>
            <w:pPr>
              <w:pStyle w:val="TableContents"/>
              <w:spacing w:before="0" w:after="283"/>
              <w:rPr/>
            </w:pPr>
            <w:r>
              <w:rPr/>
              <w:t> </w:t>
            </w:r>
          </w:p>
        </w:tc>
      </w:tr>
      <w:tr>
        <w:trPr/>
        <w:tc>
          <w:tcPr>
            <w:tcW w:w="5597"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7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0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5597"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189"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(16,277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54,897</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(1,247</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37,373</w:t>
            </w:r>
          </w:p>
        </w:tc>
        <w:tc>
          <w:tcPr>
            <w:tcW w:w="132" w:type="dxa"/>
            <w:tcBorders/>
            <w:shd w:fill="CCEEFF" w:val="clear"/>
            <w:vAlign w:val="bottom"/>
          </w:tcPr>
          <w:p>
            <w:pPr>
              <w:pStyle w:val="TableContents"/>
              <w:spacing w:before="0" w:after="283"/>
              <w:rPr/>
            </w:pPr>
            <w:r>
              <w:rPr/>
              <w:t>  </w:t>
            </w:r>
          </w:p>
        </w:tc>
      </w:tr>
      <w:tr>
        <w:trPr/>
        <w:tc>
          <w:tcPr>
            <w:tcW w:w="5597"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622"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822</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6,032</w:t>
            </w:r>
          </w:p>
        </w:tc>
        <w:tc>
          <w:tcPr>
            <w:tcW w:w="124"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6,394</w:t>
            </w:r>
          </w:p>
        </w:tc>
        <w:tc>
          <w:tcPr>
            <w:tcW w:w="132" w:type="dxa"/>
            <w:tcBorders/>
            <w:shd w:fill="CCEEFF" w:val="clear"/>
            <w:vAlign w:val="bottom"/>
          </w:tcPr>
          <w:p>
            <w:pPr>
              <w:pStyle w:val="TableContents"/>
              <w:spacing w:before="0" w:after="283"/>
              <w:rPr/>
            </w:pPr>
            <w:r>
              <w:rPr/>
              <w:t>  </w:t>
            </w:r>
          </w:p>
        </w:tc>
      </w:tr>
      <w:tr>
        <w:trPr/>
        <w:tc>
          <w:tcPr>
            <w:tcW w:w="5597"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holding loss arising during period</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 (provision)</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7"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22"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97"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 net of tax</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6,032</w:t>
            </w:r>
          </w:p>
        </w:tc>
        <w:tc>
          <w:tcPr>
            <w:tcW w:w="12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6,140</w:t>
            </w:r>
          </w:p>
        </w:tc>
        <w:tc>
          <w:tcPr>
            <w:tcW w:w="132" w:type="dxa"/>
            <w:tcBorders/>
            <w:shd w:fill="auto" w:val="clear"/>
            <w:vAlign w:val="bottom"/>
          </w:tcPr>
          <w:p>
            <w:pPr>
              <w:pStyle w:val="TableContents"/>
              <w:spacing w:before="0" w:after="283"/>
              <w:rPr/>
            </w:pPr>
            <w:r>
              <w:rPr/>
              <w:t>  </w:t>
            </w:r>
          </w:p>
        </w:tc>
      </w:tr>
      <w:tr>
        <w:trPr/>
        <w:tc>
          <w:tcPr>
            <w:tcW w:w="5597"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22"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(15,743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54,471</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4,785</w:t>
            </w:r>
          </w:p>
        </w:tc>
        <w:tc>
          <w:tcPr>
            <w:tcW w:w="124"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43,513</w:t>
            </w:r>
          </w:p>
        </w:tc>
        <w:tc>
          <w:tcPr>
            <w:tcW w:w="132" w:type="dxa"/>
            <w:tcBorders/>
            <w:shd w:fill="CCEEFF" w:val="clear"/>
            <w:vAlign w:val="bottom"/>
          </w:tcPr>
          <w:p>
            <w:pPr>
              <w:pStyle w:val="TableContents"/>
              <w:spacing w:before="0" w:after="283"/>
              <w:rPr/>
            </w:pPr>
            <w:r>
              <w:rPr/>
              <w:t>  </w:t>
            </w:r>
          </w:p>
        </w:tc>
      </w:tr>
      <w:tr>
        <w:trPr/>
        <w:tc>
          <w:tcPr>
            <w:tcW w:w="5597"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622"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663"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97" w:type="dxa"/>
            <w:tcBorders/>
            <w:shd w:fill="auto" w:val="clear"/>
          </w:tcPr>
          <w:p>
            <w:pPr>
              <w:pStyle w:val="TableContents"/>
              <w:spacing w:before="0" w:after="283"/>
              <w:rPr>
                <w:rFonts w:ascii="Times New Roman" w:hAnsi="Times New Roman"/>
                <w:sz w:val="20"/>
              </w:rPr>
            </w:pPr>
            <w:r>
              <w:rPr>
                <w:rFonts w:ascii="Times New Roman" w:hAnsi="Times New Roman"/>
                <w:sz w:val="20"/>
              </w:rPr>
              <w:t>Attributable to redeemable noncontrolling interest:</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622"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7"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7"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22"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97"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(608</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7"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22"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97" w:type="dxa"/>
            <w:tcBorders/>
            <w:shd w:fill="auto" w:val="clear"/>
          </w:tcPr>
          <w:p>
            <w:pPr>
              <w:pStyle w:val="TableContents"/>
              <w:spacing w:before="0" w:after="283"/>
              <w:rPr>
                <w:rFonts w:ascii="Times New Roman" w:hAnsi="Times New Roman"/>
                <w:sz w:val="20"/>
              </w:rPr>
            </w:pPr>
            <w:r>
              <w:rPr>
                <w:rFonts w:ascii="Times New Roman" w:hAnsi="Times New Roman"/>
                <w:sz w:val="20"/>
              </w:rPr>
              <w:t>Comprehensive income attributable to EZCORP, Inc.</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(15,743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54,471</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4,177</w:t>
            </w:r>
          </w:p>
        </w:tc>
        <w:tc>
          <w:tcPr>
            <w:tcW w:w="12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42,905</w:t>
            </w:r>
          </w:p>
        </w:tc>
        <w:tc>
          <w:tcPr>
            <w:tcW w:w="132" w:type="dxa"/>
            <w:tcBorders/>
            <w:shd w:fill="auto" w:val="clear"/>
            <w:vAlign w:val="bottom"/>
          </w:tcPr>
          <w:p>
            <w:pPr>
              <w:pStyle w:val="TableContents"/>
              <w:spacing w:before="0" w:after="283"/>
              <w:rPr/>
            </w:pPr>
            <w:r>
              <w:rPr/>
              <w:t>  </w:t>
            </w:r>
          </w:p>
        </w:tc>
      </w:tr>
      <w:tr>
        <w:trPr/>
        <w:tc>
          <w:tcPr>
            <w:tcW w:w="5597"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622"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663"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98"/>
        <w:gridCol w:w="291"/>
        <w:gridCol w:w="125"/>
        <w:gridCol w:w="488"/>
        <w:gridCol w:w="125"/>
        <w:gridCol w:w="247"/>
        <w:gridCol w:w="125"/>
        <w:gridCol w:w="632"/>
        <w:gridCol w:w="125"/>
        <w:gridCol w:w="247"/>
        <w:gridCol w:w="138"/>
        <w:gridCol w:w="639"/>
        <w:gridCol w:w="125"/>
        <w:gridCol w:w="247"/>
        <w:gridCol w:w="139"/>
        <w:gridCol w:w="683"/>
        <w:gridCol w:w="131"/>
      </w:tblGrid>
      <w:tr>
        <w:trPr/>
        <w:tc>
          <w:tcPr>
            <w:tcW w:w="569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6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4085"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31" w:type="dxa"/>
            <w:tcBorders/>
            <w:shd w:fill="auto"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4085"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2011</w:t>
            </w:r>
          </w:p>
        </w:tc>
        <w:tc>
          <w:tcPr>
            <w:tcW w:w="131" w:type="dxa"/>
            <w:tcBorders/>
            <w:shd w:fill="auto"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4085"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1" w:type="dxa"/>
            <w:tcBorders/>
            <w:shd w:fill="auto" w:val="clear"/>
            <w:vAlign w:val="bottom"/>
          </w:tcPr>
          <w:p>
            <w:pPr>
              <w:pStyle w:val="TableContents"/>
              <w:spacing w:before="0" w:after="283"/>
              <w:rPr/>
            </w:pPr>
            <w:r>
              <w:rPr/>
              <w:t> </w:t>
            </w:r>
          </w:p>
        </w:tc>
      </w:tr>
      <w:tr>
        <w:trPr/>
        <w:tc>
          <w:tcPr>
            <w:tcW w:w="569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4,828</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28,283</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31" w:type="dxa"/>
            <w:tcBorders/>
            <w:shd w:fill="CCEEFF" w:val="clear"/>
            <w:vAlign w:val="bottom"/>
          </w:tcPr>
          <w:p>
            <w:pPr>
              <w:pStyle w:val="TableContents"/>
              <w:spacing w:before="0" w:after="283"/>
              <w:rPr/>
            </w:pPr>
            <w:r>
              <w:rPr/>
              <w:t>  </w:t>
            </w:r>
          </w:p>
        </w:tc>
      </w:tr>
      <w:tr>
        <w:trPr/>
        <w:tc>
          <w:tcPr>
            <w:tcW w:w="5698"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6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8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698"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2,387</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1,386</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3,111</w:t>
            </w:r>
          </w:p>
        </w:tc>
        <w:tc>
          <w:tcPr>
            <w:tcW w:w="131" w:type="dxa"/>
            <w:tcBorders/>
            <w:shd w:fill="CCEEFF" w:val="clear"/>
            <w:vAlign w:val="bottom"/>
          </w:tcPr>
          <w:p>
            <w:pPr>
              <w:pStyle w:val="TableContents"/>
              <w:spacing w:before="0" w:after="283"/>
              <w:rPr/>
            </w:pPr>
            <w:r>
              <w:rPr/>
              <w:t>  </w:t>
            </w:r>
          </w:p>
        </w:tc>
      </w:tr>
      <w:tr>
        <w:trPr/>
        <w:tc>
          <w:tcPr>
            <w:tcW w:w="5698"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holding loss arising during period</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9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provision</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3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8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98"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 net of tax</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1,552</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1,386</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2,171</w:t>
            </w:r>
          </w:p>
        </w:tc>
        <w:tc>
          <w:tcPr>
            <w:tcW w:w="131" w:type="dxa"/>
            <w:tcBorders/>
            <w:shd w:fill="auto"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3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8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98"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6,380</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27,516</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34,009</w:t>
            </w:r>
          </w:p>
        </w:tc>
        <w:tc>
          <w:tcPr>
            <w:tcW w:w="131" w:type="dxa"/>
            <w:tcBorders/>
            <w:shd w:fill="CCEEFF"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8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3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63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683"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98" w:type="dxa"/>
            <w:tcBorders/>
            <w:shd w:fill="auto" w:val="clear"/>
          </w:tcPr>
          <w:p>
            <w:pPr>
              <w:pStyle w:val="TableContents"/>
              <w:spacing w:before="0" w:after="283"/>
              <w:rPr>
                <w:rFonts w:ascii="Times New Roman" w:hAnsi="Times New Roman"/>
                <w:sz w:val="20"/>
              </w:rPr>
            </w:pPr>
            <w:r>
              <w:rPr>
                <w:rFonts w:ascii="Times New Roman" w:hAnsi="Times New Roman"/>
                <w:sz w:val="20"/>
              </w:rPr>
              <w:t>Attributable to redeemable noncontrolling interest:</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6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8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69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5698"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3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8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98"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8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3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8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98" w:type="dxa"/>
            <w:tcBorders/>
            <w:shd w:fill="auto" w:val="clear"/>
          </w:tcPr>
          <w:p>
            <w:pPr>
              <w:pStyle w:val="TableContents"/>
              <w:spacing w:before="0" w:after="283"/>
              <w:rPr>
                <w:rFonts w:ascii="Times New Roman" w:hAnsi="Times New Roman"/>
                <w:sz w:val="20"/>
              </w:rPr>
            </w:pPr>
            <w:r>
              <w:rPr>
                <w:rFonts w:ascii="Times New Roman" w:hAnsi="Times New Roman"/>
                <w:sz w:val="20"/>
              </w:rPr>
              <w:t>Comprehensive income attributable to EZCORP, Inc.</w:t>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6,380</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27,516</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34,009</w:t>
            </w:r>
          </w:p>
        </w:tc>
        <w:tc>
          <w:tcPr>
            <w:tcW w:w="131" w:type="dxa"/>
            <w:tcBorders/>
            <w:shd w:fill="auto" w:val="clear"/>
            <w:vAlign w:val="bottom"/>
          </w:tcPr>
          <w:p>
            <w:pPr>
              <w:pStyle w:val="TableContents"/>
              <w:spacing w:before="0" w:after="283"/>
              <w:rPr/>
            </w:pPr>
            <w:r>
              <w:rPr/>
              <w:t>  </w:t>
            </w:r>
          </w:p>
        </w:tc>
      </w:tr>
      <w:tr>
        <w:trPr/>
        <w:tc>
          <w:tcPr>
            <w:tcW w:w="5698"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8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3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63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683"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594"/>
        <w:gridCol w:w="287"/>
        <w:gridCol w:w="125"/>
        <w:gridCol w:w="655"/>
        <w:gridCol w:w="125"/>
        <w:gridCol w:w="245"/>
        <w:gridCol w:w="125"/>
        <w:gridCol w:w="613"/>
        <w:gridCol w:w="125"/>
        <w:gridCol w:w="245"/>
        <w:gridCol w:w="151"/>
        <w:gridCol w:w="613"/>
        <w:gridCol w:w="124"/>
        <w:gridCol w:w="245"/>
        <w:gridCol w:w="139"/>
        <w:gridCol w:w="663"/>
        <w:gridCol w:w="131"/>
      </w:tblGrid>
      <w:tr>
        <w:trPr/>
        <w:tc>
          <w:tcPr>
            <w:tcW w:w="559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594"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193"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w:t>
            </w:r>
          </w:p>
        </w:tc>
        <w:tc>
          <w:tcPr>
            <w:tcW w:w="131" w:type="dxa"/>
            <w:tcBorders/>
            <w:shd w:fill="auto" w:val="clear"/>
            <w:vAlign w:val="bottom"/>
          </w:tcPr>
          <w:p>
            <w:pPr>
              <w:pStyle w:val="TableContents"/>
              <w:spacing w:before="0" w:after="283"/>
              <w:rPr/>
            </w:pPr>
            <w:r>
              <w:rPr/>
              <w:t> </w:t>
            </w:r>
          </w:p>
        </w:tc>
      </w:tr>
      <w:tr>
        <w:trPr/>
        <w:tc>
          <w:tcPr>
            <w:tcW w:w="5594"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193"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2012</w:t>
            </w:r>
          </w:p>
        </w:tc>
        <w:tc>
          <w:tcPr>
            <w:tcW w:w="131" w:type="dxa"/>
            <w:tcBorders/>
            <w:shd w:fill="auto" w:val="clear"/>
            <w:vAlign w:val="bottom"/>
          </w:tcPr>
          <w:p>
            <w:pPr>
              <w:pStyle w:val="TableContents"/>
              <w:spacing w:before="0" w:after="283"/>
              <w:rPr/>
            </w:pPr>
            <w:r>
              <w:rPr/>
              <w:t> </w:t>
            </w:r>
          </w:p>
        </w:tc>
      </w:tr>
      <w:tr>
        <w:trPr/>
        <w:tc>
          <w:tcPr>
            <w:tcW w:w="5594"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7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7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0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5594"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4193"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1" w:type="dxa"/>
            <w:tcBorders/>
            <w:shd w:fill="auto" w:val="clear"/>
            <w:vAlign w:val="bottom"/>
          </w:tcPr>
          <w:p>
            <w:pPr>
              <w:pStyle w:val="TableContents"/>
              <w:spacing w:before="0" w:after="283"/>
              <w:rPr/>
            </w:pPr>
            <w:r>
              <w:rPr/>
              <w:t> </w:t>
            </w:r>
          </w:p>
        </w:tc>
      </w:tr>
      <w:tr>
        <w:trPr/>
        <w:tc>
          <w:tcPr>
            <w:tcW w:w="559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88,518</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(955</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31" w:type="dxa"/>
            <w:tcBorders/>
            <w:shd w:fill="CCEEFF" w:val="clear"/>
            <w:vAlign w:val="bottom"/>
          </w:tcPr>
          <w:p>
            <w:pPr>
              <w:pStyle w:val="TableContents"/>
              <w:spacing w:before="0" w:after="283"/>
              <w:rPr/>
            </w:pPr>
            <w:r>
              <w:rPr/>
              <w:t>  </w:t>
            </w:r>
          </w:p>
        </w:tc>
      </w:tr>
      <w:tr>
        <w:trPr/>
        <w:tc>
          <w:tcPr>
            <w:tcW w:w="5594"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594"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(5,129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4,092</w:t>
            </w:r>
          </w:p>
        </w:tc>
        <w:tc>
          <w:tcPr>
            <w:tcW w:w="124"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(2,374</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4"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holding loss arising during period</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1,795</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716</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2,511</w:t>
            </w:r>
          </w:p>
        </w:tc>
        <w:tc>
          <w:tcPr>
            <w:tcW w:w="131" w:type="dxa"/>
            <w:tcBorders/>
            <w:shd w:fill="CCEEFF" w:val="clear"/>
            <w:vAlign w:val="bottom"/>
          </w:tcPr>
          <w:p>
            <w:pPr>
              <w:pStyle w:val="TableContents"/>
              <w:spacing w:before="0" w:after="283"/>
              <w:rPr/>
            </w:pPr>
            <w:r>
              <w:rPr/>
              <w:t>  </w:t>
            </w:r>
          </w:p>
        </w:tc>
      </w:tr>
      <w:tr>
        <w:trPr/>
        <w:tc>
          <w:tcPr>
            <w:tcW w:w="559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594"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 net of tax</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4,092</w:t>
            </w:r>
          </w:p>
        </w:tc>
        <w:tc>
          <w:tcPr>
            <w:tcW w:w="12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594"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(14,172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87,159</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3,137</w:t>
            </w:r>
          </w:p>
        </w:tc>
        <w:tc>
          <w:tcPr>
            <w:tcW w:w="124"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76,124</w:t>
            </w:r>
          </w:p>
        </w:tc>
        <w:tc>
          <w:tcPr>
            <w:tcW w:w="131" w:type="dxa"/>
            <w:tcBorders/>
            <w:shd w:fill="CCEEFF" w:val="clear"/>
            <w:vAlign w:val="bottom"/>
          </w:tcPr>
          <w:p>
            <w:pPr>
              <w:pStyle w:val="TableContents"/>
              <w:spacing w:before="0" w:after="283"/>
              <w:rPr/>
            </w:pPr>
            <w:r>
              <w:rPr/>
              <w:t>  </w:t>
            </w:r>
          </w:p>
        </w:tc>
      </w:tr>
      <w:tr>
        <w:trPr/>
        <w:tc>
          <w:tcPr>
            <w:tcW w:w="559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663"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594" w:type="dxa"/>
            <w:tcBorders/>
            <w:shd w:fill="auto" w:val="clear"/>
          </w:tcPr>
          <w:p>
            <w:pPr>
              <w:pStyle w:val="TableContents"/>
              <w:spacing w:before="0" w:after="283"/>
              <w:rPr>
                <w:rFonts w:ascii="Times New Roman" w:hAnsi="Times New Roman"/>
                <w:sz w:val="20"/>
              </w:rPr>
            </w:pPr>
            <w:r>
              <w:rPr>
                <w:rFonts w:ascii="Times New Roman" w:hAnsi="Times New Roman"/>
                <w:sz w:val="20"/>
              </w:rPr>
              <w:t>Attributable to redeemable noncontrolling interest:</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59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4"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594"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(608</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9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594" w:type="dxa"/>
            <w:tcBorders/>
            <w:shd w:fill="auto" w:val="clear"/>
          </w:tcPr>
          <w:p>
            <w:pPr>
              <w:pStyle w:val="TableContents"/>
              <w:spacing w:before="0" w:after="283"/>
              <w:rPr>
                <w:rFonts w:ascii="Times New Roman" w:hAnsi="Times New Roman"/>
                <w:sz w:val="20"/>
              </w:rPr>
            </w:pPr>
            <w:r>
              <w:rPr>
                <w:rFonts w:ascii="Times New Roman" w:hAnsi="Times New Roman"/>
                <w:sz w:val="20"/>
              </w:rPr>
              <w:t>Comprehensive income attributable to EZCORP, Inc.</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87,159</w:t>
            </w:r>
          </w:p>
        </w:tc>
        <w:tc>
          <w:tcPr>
            <w:tcW w:w="12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2,529</w:t>
            </w:r>
          </w:p>
        </w:tc>
        <w:tc>
          <w:tcPr>
            <w:tcW w:w="12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75,516</w:t>
            </w:r>
          </w:p>
        </w:tc>
        <w:tc>
          <w:tcPr>
            <w:tcW w:w="131" w:type="dxa"/>
            <w:tcBorders/>
            <w:shd w:fill="auto" w:val="clear"/>
            <w:vAlign w:val="bottom"/>
          </w:tcPr>
          <w:p>
            <w:pPr>
              <w:pStyle w:val="TableContents"/>
              <w:spacing w:before="0" w:after="283"/>
              <w:rPr/>
            </w:pPr>
            <w:r>
              <w:rPr/>
              <w:t>  </w:t>
            </w:r>
          </w:p>
        </w:tc>
      </w:tr>
      <w:tr>
        <w:trPr/>
        <w:tc>
          <w:tcPr>
            <w:tcW w:w="559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663"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12"/>
        <w:gridCol w:w="288"/>
        <w:gridCol w:w="125"/>
        <w:gridCol w:w="619"/>
        <w:gridCol w:w="125"/>
        <w:gridCol w:w="246"/>
        <w:gridCol w:w="125"/>
        <w:gridCol w:w="619"/>
        <w:gridCol w:w="125"/>
        <w:gridCol w:w="246"/>
        <w:gridCol w:w="138"/>
        <w:gridCol w:w="627"/>
        <w:gridCol w:w="125"/>
        <w:gridCol w:w="246"/>
        <w:gridCol w:w="139"/>
        <w:gridCol w:w="669"/>
        <w:gridCol w:w="131"/>
      </w:tblGrid>
      <w:tr>
        <w:trPr/>
        <w:tc>
          <w:tcPr>
            <w:tcW w:w="5612"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612"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417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w:t>
            </w:r>
          </w:p>
        </w:tc>
        <w:tc>
          <w:tcPr>
            <w:tcW w:w="131" w:type="dxa"/>
            <w:tcBorders/>
            <w:shd w:fill="auto" w:val="clear"/>
            <w:vAlign w:val="bottom"/>
          </w:tcPr>
          <w:p>
            <w:pPr>
              <w:pStyle w:val="TableContents"/>
              <w:spacing w:before="0" w:after="283"/>
              <w:rPr/>
            </w:pPr>
            <w:r>
              <w:rPr/>
              <w:t> </w:t>
            </w:r>
          </w:p>
        </w:tc>
      </w:tr>
      <w:tr>
        <w:trPr/>
        <w:tc>
          <w:tcPr>
            <w:tcW w:w="5612"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417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 2011</w:t>
            </w:r>
          </w:p>
        </w:tc>
        <w:tc>
          <w:tcPr>
            <w:tcW w:w="131" w:type="dxa"/>
            <w:tcBorders/>
            <w:shd w:fill="auto" w:val="clear"/>
            <w:vAlign w:val="bottom"/>
          </w:tcPr>
          <w:p>
            <w:pPr>
              <w:pStyle w:val="TableContents"/>
              <w:spacing w:before="0" w:after="283"/>
              <w:rPr/>
            </w:pPr>
            <w:r>
              <w:rPr/>
              <w:t> </w:t>
            </w:r>
          </w:p>
        </w:tc>
      </w:tr>
      <w:tr>
        <w:trPr/>
        <w:tc>
          <w:tcPr>
            <w:tcW w:w="5612"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7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76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80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5612"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4174"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1" w:type="dxa"/>
            <w:tcBorders/>
            <w:shd w:fill="auto" w:val="clear"/>
            <w:vAlign w:val="bottom"/>
          </w:tcPr>
          <w:p>
            <w:pPr>
              <w:pStyle w:val="TableContents"/>
              <w:spacing w:before="0" w:after="283"/>
              <w:rPr/>
            </w:pPr>
            <w:r>
              <w:rPr/>
              <w:t> </w:t>
            </w:r>
          </w:p>
        </w:tc>
      </w:tr>
      <w:tr>
        <w:trPr/>
        <w:tc>
          <w:tcPr>
            <w:tcW w:w="5612"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9,164</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51,926</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1" w:type="dxa"/>
            <w:tcBorders/>
            <w:shd w:fill="CCEEFF" w:val="clear"/>
            <w:vAlign w:val="bottom"/>
          </w:tcPr>
          <w:p>
            <w:pPr>
              <w:pStyle w:val="TableContents"/>
              <w:spacing w:before="0" w:after="283"/>
              <w:rPr/>
            </w:pPr>
            <w:r>
              <w:rPr/>
              <w:t>  </w:t>
            </w:r>
          </w:p>
        </w:tc>
      </w:tr>
      <w:tr>
        <w:trPr/>
        <w:tc>
          <w:tcPr>
            <w:tcW w:w="5612"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612"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10,309</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673</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1,906</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12,888</w:t>
            </w:r>
          </w:p>
        </w:tc>
        <w:tc>
          <w:tcPr>
            <w:tcW w:w="131" w:type="dxa"/>
            <w:tcBorders/>
            <w:shd w:fill="CCEEFF" w:val="clear"/>
            <w:vAlign w:val="bottom"/>
          </w:tcPr>
          <w:p>
            <w:pPr>
              <w:pStyle w:val="TableContents"/>
              <w:spacing w:before="0" w:after="283"/>
              <w:rPr/>
            </w:pPr>
            <w:r>
              <w:rPr/>
              <w:t>  </w:t>
            </w:r>
          </w:p>
        </w:tc>
      </w:tr>
      <w:tr>
        <w:trPr/>
        <w:tc>
          <w:tcPr>
            <w:tcW w:w="5612"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holding gains arising during period</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31" w:type="dxa"/>
            <w:tcBorders/>
            <w:shd w:fill="auto" w:val="clear"/>
            <w:vAlign w:val="bottom"/>
          </w:tcPr>
          <w:p>
            <w:pPr>
              <w:pStyle w:val="TableContents"/>
              <w:spacing w:before="0" w:after="283"/>
              <w:rPr/>
            </w:pPr>
            <w:r>
              <w:rPr/>
              <w:t>  </w:t>
            </w:r>
          </w:p>
        </w:tc>
      </w:tr>
      <w:tr>
        <w:trPr/>
        <w:tc>
          <w:tcPr>
            <w:tcW w:w="5612"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provision</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(3,927</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12"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9"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12"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net of tax</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6,701</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1,906</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9,199</w:t>
            </w:r>
          </w:p>
        </w:tc>
        <w:tc>
          <w:tcPr>
            <w:tcW w:w="131" w:type="dxa"/>
            <w:tcBorders/>
            <w:shd w:fill="auto" w:val="clear"/>
            <w:vAlign w:val="bottom"/>
          </w:tcPr>
          <w:p>
            <w:pPr>
              <w:pStyle w:val="TableContents"/>
              <w:spacing w:before="0" w:after="283"/>
              <w:rPr/>
            </w:pPr>
            <w:r>
              <w:rPr/>
              <w:t>  </w:t>
            </w:r>
          </w:p>
        </w:tc>
      </w:tr>
      <w:tr>
        <w:trPr/>
        <w:tc>
          <w:tcPr>
            <w:tcW w:w="5612"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9"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12"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15,865</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52,518</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68,466</w:t>
            </w:r>
          </w:p>
        </w:tc>
        <w:tc>
          <w:tcPr>
            <w:tcW w:w="131" w:type="dxa"/>
            <w:tcBorders/>
            <w:shd w:fill="CCEEFF" w:val="clear"/>
            <w:vAlign w:val="bottom"/>
          </w:tcPr>
          <w:p>
            <w:pPr>
              <w:pStyle w:val="TableContents"/>
              <w:spacing w:before="0" w:after="283"/>
              <w:rPr/>
            </w:pPr>
            <w:r>
              <w:rPr/>
              <w:t>  </w:t>
            </w:r>
          </w:p>
        </w:tc>
      </w:tr>
      <w:tr>
        <w:trPr/>
        <w:tc>
          <w:tcPr>
            <w:tcW w:w="5612"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62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669"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12" w:type="dxa"/>
            <w:tcBorders/>
            <w:shd w:fill="auto" w:val="clear"/>
          </w:tcPr>
          <w:p>
            <w:pPr>
              <w:pStyle w:val="TableContents"/>
              <w:spacing w:before="0" w:after="283"/>
              <w:rPr>
                <w:rFonts w:ascii="Times New Roman" w:hAnsi="Times New Roman"/>
                <w:sz w:val="20"/>
              </w:rPr>
            </w:pPr>
            <w:r>
              <w:rPr>
                <w:rFonts w:ascii="Times New Roman" w:hAnsi="Times New Roman"/>
                <w:sz w:val="20"/>
              </w:rPr>
              <w:t>Attributable to redeemable noncontrolling interest:</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69"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612"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5612"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5612"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9"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12"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4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5612"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2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69"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612" w:type="dxa"/>
            <w:tcBorders/>
            <w:shd w:fill="auto" w:val="clear"/>
          </w:tcPr>
          <w:p>
            <w:pPr>
              <w:pStyle w:val="TableContents"/>
              <w:spacing w:before="0" w:after="283"/>
              <w:rPr>
                <w:rFonts w:ascii="Times New Roman" w:hAnsi="Times New Roman"/>
                <w:sz w:val="20"/>
              </w:rPr>
            </w:pPr>
            <w:r>
              <w:rPr>
                <w:rFonts w:ascii="Times New Roman" w:hAnsi="Times New Roman"/>
                <w:sz w:val="20"/>
              </w:rPr>
              <w:t>Comprehensive income attributable to EZCORP, Inc.</w:t>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15,865</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52,518</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125"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68,466</w:t>
            </w:r>
          </w:p>
        </w:tc>
        <w:tc>
          <w:tcPr>
            <w:tcW w:w="131" w:type="dxa"/>
            <w:tcBorders/>
            <w:shd w:fill="auto" w:val="clear"/>
            <w:vAlign w:val="bottom"/>
          </w:tcPr>
          <w:p>
            <w:pPr>
              <w:pStyle w:val="TableContents"/>
              <w:spacing w:before="0" w:after="283"/>
              <w:rPr/>
            </w:pPr>
            <w:r>
              <w:rPr/>
              <w:t>  </w:t>
            </w:r>
          </w:p>
        </w:tc>
      </w:tr>
      <w:tr>
        <w:trPr/>
        <w:tc>
          <w:tcPr>
            <w:tcW w:w="5612"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62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double" w:sz="6" w:space="1" w:color="000000"/>
              </w:pBdr>
              <w:spacing w:before="0" w:after="283"/>
              <w:rPr/>
            </w:pPr>
            <w:r>
              <w:rPr/>
              <w:t> </w:t>
            </w:r>
          </w:p>
        </w:tc>
        <w:tc>
          <w:tcPr>
            <w:tcW w:w="669"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u w:val="single"/>
        </w:rPr>
      </w:pPr>
      <w:r>
        <w:rPr>
          <w:rFonts w:ascii="Times New Roman" w:hAnsi="Times New Roman"/>
          <w:sz w:val="20"/>
          <w:u w:val="single"/>
        </w:rPr>
        <w:t xml:space="preserve">Condensed Consolidating Statement of Cash Flows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51"/>
        <w:gridCol w:w="279"/>
        <w:gridCol w:w="125"/>
        <w:gridCol w:w="762"/>
        <w:gridCol w:w="125"/>
        <w:gridCol w:w="234"/>
        <w:gridCol w:w="125"/>
        <w:gridCol w:w="762"/>
        <w:gridCol w:w="125"/>
        <w:gridCol w:w="233"/>
        <w:gridCol w:w="125"/>
        <w:gridCol w:w="682"/>
        <w:gridCol w:w="125"/>
        <w:gridCol w:w="234"/>
        <w:gridCol w:w="125"/>
        <w:gridCol w:w="762"/>
        <w:gridCol w:w="131"/>
      </w:tblGrid>
      <w:tr>
        <w:trPr/>
        <w:tc>
          <w:tcPr>
            <w:tcW w:w="5251"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251"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54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 2012</w:t>
            </w:r>
          </w:p>
        </w:tc>
        <w:tc>
          <w:tcPr>
            <w:tcW w:w="131" w:type="dxa"/>
            <w:tcBorders/>
            <w:shd w:fill="auto" w:val="clear"/>
            <w:vAlign w:val="bottom"/>
          </w:tcPr>
          <w:p>
            <w:pPr>
              <w:pStyle w:val="TableContents"/>
              <w:spacing w:before="0" w:after="283"/>
              <w:rPr/>
            </w:pPr>
            <w:r>
              <w:rPr/>
              <w:t> </w:t>
            </w:r>
          </w:p>
        </w:tc>
      </w:tr>
      <w:tr>
        <w:trPr/>
        <w:tc>
          <w:tcPr>
            <w:tcW w:w="5251"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54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1" w:type="dxa"/>
            <w:tcBorders/>
            <w:shd w:fill="auto" w:val="clear"/>
            <w:vAlign w:val="bottom"/>
          </w:tcPr>
          <w:p>
            <w:pPr>
              <w:pStyle w:val="TableContents"/>
              <w:spacing w:before="0" w:after="283"/>
              <w:rPr/>
            </w:pPr>
            <w:r>
              <w:rPr/>
              <w:t> </w:t>
            </w:r>
          </w:p>
        </w:tc>
      </w:tr>
      <w:tr>
        <w:trPr/>
        <w:tc>
          <w:tcPr>
            <w:tcW w:w="5251"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0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8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(10,838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88,518</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31" w:type="dxa"/>
            <w:tcBorders/>
            <w:shd w:fill="auto" w:val="clear"/>
            <w:vAlign w:val="bottom"/>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provided by operating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8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8,594</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3,920</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12,514</w:t>
            </w:r>
          </w:p>
        </w:tc>
        <w:tc>
          <w:tcPr>
            <w:tcW w:w="131" w:type="dxa"/>
            <w:tcBorders/>
            <w:shd w:fill="auto" w:val="clear"/>
            <w:vAlign w:val="bottom"/>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loss provisions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1,990</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6,761</w:t>
            </w:r>
          </w:p>
        </w:tc>
        <w:tc>
          <w:tcPr>
            <w:tcW w:w="131" w:type="dxa"/>
            <w:tcBorders/>
            <w:shd w:fill="CCEEFF" w:val="clear"/>
            <w:vAlign w:val="bottom"/>
          </w:tcPr>
          <w:p>
            <w:pPr>
              <w:pStyle w:val="TableContents"/>
              <w:spacing w:before="0" w:after="283"/>
              <w:rPr/>
            </w:pPr>
            <w:r>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912</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Net (gain) loss on sale or disposal of assets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Stock compensation</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3,238</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3,238</w:t>
            </w:r>
          </w:p>
        </w:tc>
        <w:tc>
          <w:tcPr>
            <w:tcW w:w="131" w:type="dxa"/>
            <w:tcBorders/>
            <w:shd w:fill="auto" w:val="clear"/>
            <w:vAlign w:val="bottom"/>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investments in unconsolidated affiliates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 net of business acquisitions: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6,704</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6,551</w:t>
            </w:r>
          </w:p>
        </w:tc>
        <w:tc>
          <w:tcPr>
            <w:tcW w:w="131" w:type="dxa"/>
            <w:tcBorders/>
            <w:shd w:fill="CCEEFF" w:val="clear"/>
            <w:vAlign w:val="bottom"/>
          </w:tcPr>
          <w:p>
            <w:pPr>
              <w:pStyle w:val="TableContents"/>
              <w:spacing w:before="0" w:after="283"/>
              <w:rPr/>
            </w:pPr>
            <w:r>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2,056</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1,446</w:t>
            </w:r>
          </w:p>
        </w:tc>
        <w:tc>
          <w:tcPr>
            <w:tcW w:w="131" w:type="dxa"/>
            <w:tcBorders/>
            <w:shd w:fill="auto" w:val="clear"/>
            <w:vAlign w:val="bottom"/>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other current assets, and other assets, net</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(3,281</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(68,272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67,890</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31" w:type="dxa"/>
            <w:tcBorders/>
            <w:shd w:fill="CCEEFF" w:val="clear"/>
            <w:vAlign w:val="bottom"/>
          </w:tcPr>
          <w:p>
            <w:pPr>
              <w:pStyle w:val="TableContents"/>
              <w:spacing w:before="0" w:after="283"/>
              <w:rPr/>
            </w:pPr>
            <w:r>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(1,521</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 receivable/payable</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979</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1,125</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operating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(15,103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34,578</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72,233</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91,708</w:t>
            </w:r>
          </w:p>
        </w:tc>
        <w:tc>
          <w:tcPr>
            <w:tcW w:w="131" w:type="dxa"/>
            <w:tcBorders/>
            <w:shd w:fill="CCEEFF" w:val="clear"/>
            <w:vAlign w:val="bottom"/>
          </w:tcPr>
          <w:p>
            <w:pPr>
              <w:pStyle w:val="TableContents"/>
              <w:spacing w:before="0" w:after="283"/>
              <w:rPr/>
            </w:pPr>
            <w:r>
              <w:rPr/>
              <w:t>  </w:t>
            </w:r>
          </w:p>
        </w:tc>
      </w:tr>
      <w:tr>
        <w:trPr>
          <w:trHeight w:val="120" w:hRule="atLeast"/>
        </w:trPr>
        <w:tc>
          <w:tcPr>
            <w:tcW w:w="5251" w:type="dxa"/>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246" w:type="dxa"/>
            <w:gridSpan w:val="4"/>
            <w:tcBorders/>
            <w:shd w:fill="auto" w:val="clear"/>
            <w:vAlign w:val="center"/>
          </w:tcPr>
          <w:p>
            <w:pPr>
              <w:pStyle w:val="TableContents"/>
              <w:spacing w:before="0" w:after="283"/>
              <w:rPr>
                <w:sz w:val="4"/>
                <w:szCs w:val="4"/>
              </w:rPr>
            </w:pPr>
            <w:r>
              <w:rPr>
                <w:sz w:val="4"/>
                <w:szCs w:val="4"/>
              </w:rPr>
            </w:r>
          </w:p>
        </w:tc>
        <w:tc>
          <w:tcPr>
            <w:tcW w:w="1165" w:type="dxa"/>
            <w:gridSpan w:val="4"/>
            <w:tcBorders/>
            <w:shd w:fill="auto" w:val="clear"/>
            <w:vAlign w:val="center"/>
          </w:tcPr>
          <w:p>
            <w:pPr>
              <w:pStyle w:val="TableContents"/>
              <w:spacing w:before="0" w:after="283"/>
              <w:rPr>
                <w:sz w:val="4"/>
                <w:szCs w:val="4"/>
              </w:rPr>
            </w:pPr>
            <w:r>
              <w:rPr>
                <w:sz w:val="4"/>
                <w:szCs w:val="4"/>
              </w:rPr>
            </w:r>
          </w:p>
        </w:tc>
        <w:tc>
          <w:tcPr>
            <w:tcW w:w="1252" w:type="dxa"/>
            <w:gridSpan w:val="4"/>
            <w:tcBorders/>
            <w:shd w:fill="auto" w:val="clear"/>
            <w:vAlign w:val="center"/>
          </w:tcPr>
          <w:p>
            <w:pPr>
              <w:pStyle w:val="TableContents"/>
              <w:spacing w:before="0" w:after="283"/>
              <w:rPr>
                <w:sz w:val="4"/>
                <w:szCs w:val="4"/>
              </w:rPr>
            </w:pPr>
            <w:r>
              <w:rPr>
                <w:sz w:val="4"/>
                <w:szCs w:val="4"/>
              </w:rPr>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Investing Activities: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Loans made</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(293,161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(67,193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(360,354</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Loans repaid</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212,065</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48,224</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260,289</w:t>
            </w:r>
          </w:p>
        </w:tc>
        <w:tc>
          <w:tcPr>
            <w:tcW w:w="131" w:type="dxa"/>
            <w:tcBorders/>
            <w:shd w:fill="auto" w:val="clear"/>
            <w:vAlign w:val="bottom"/>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Recovery of pawn loan principal through sale of forfeited collateral</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117,114</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12,404</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129,518</w:t>
            </w:r>
          </w:p>
        </w:tc>
        <w:tc>
          <w:tcPr>
            <w:tcW w:w="131" w:type="dxa"/>
            <w:tcBorders/>
            <w:shd w:fill="CCEEFF" w:val="clear"/>
            <w:vAlign w:val="bottom"/>
          </w:tcPr>
          <w:p>
            <w:pPr>
              <w:pStyle w:val="TableContents"/>
              <w:spacing w:before="0" w:after="283"/>
              <w:rPr/>
            </w:pPr>
            <w:r>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property and equipment</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(13,749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(8,497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(22,246</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Acquisitions, net of cash acquired</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(51,374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(31,786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(83,160</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Dividends from unconsolidated affiliates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2,222</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2,566</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4,788</w:t>
            </w:r>
          </w:p>
        </w:tc>
        <w:tc>
          <w:tcPr>
            <w:tcW w:w="131" w:type="dxa"/>
            <w:tcBorders/>
            <w:shd w:fill="auto" w:val="clear"/>
            <w:vAlign w:val="bottom"/>
          </w:tcPr>
          <w:p>
            <w:pPr>
              <w:pStyle w:val="TableContents"/>
              <w:spacing w:before="0" w:after="283"/>
              <w:rPr/>
            </w:pPr>
            <w:r>
              <w:rPr/>
              <w:t>  </w:t>
            </w:r>
          </w:p>
        </w:tc>
      </w:tr>
      <w:tr>
        <w:trPr/>
        <w:tc>
          <w:tcPr>
            <w:tcW w:w="5251"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investing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2,222</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(26,539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(46,848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(71,165</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251" w:type="dxa"/>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246" w:type="dxa"/>
            <w:gridSpan w:val="4"/>
            <w:tcBorders/>
            <w:shd w:fill="auto" w:val="clear"/>
            <w:vAlign w:val="center"/>
          </w:tcPr>
          <w:p>
            <w:pPr>
              <w:pStyle w:val="TableContents"/>
              <w:spacing w:before="0" w:after="283"/>
              <w:rPr>
                <w:sz w:val="4"/>
                <w:szCs w:val="4"/>
              </w:rPr>
            </w:pPr>
            <w:r>
              <w:rPr>
                <w:sz w:val="4"/>
                <w:szCs w:val="4"/>
              </w:rPr>
            </w:r>
          </w:p>
        </w:tc>
        <w:tc>
          <w:tcPr>
            <w:tcW w:w="1165" w:type="dxa"/>
            <w:gridSpan w:val="4"/>
            <w:tcBorders/>
            <w:shd w:fill="auto" w:val="clear"/>
            <w:vAlign w:val="center"/>
          </w:tcPr>
          <w:p>
            <w:pPr>
              <w:pStyle w:val="TableContents"/>
              <w:spacing w:before="0" w:after="283"/>
              <w:rPr>
                <w:sz w:val="4"/>
                <w:szCs w:val="4"/>
              </w:rPr>
            </w:pPr>
            <w:r>
              <w:rPr>
                <w:sz w:val="4"/>
                <w:szCs w:val="4"/>
              </w:rPr>
            </w:r>
          </w:p>
        </w:tc>
        <w:tc>
          <w:tcPr>
            <w:tcW w:w="1252" w:type="dxa"/>
            <w:gridSpan w:val="4"/>
            <w:tcBorders/>
            <w:shd w:fill="auto" w:val="clear"/>
            <w:vAlign w:val="center"/>
          </w:tcPr>
          <w:p>
            <w:pPr>
              <w:pStyle w:val="TableContents"/>
              <w:spacing w:before="0" w:after="283"/>
              <w:rPr>
                <w:sz w:val="4"/>
                <w:szCs w:val="4"/>
              </w:rPr>
            </w:pPr>
            <w:r>
              <w:rPr>
                <w:sz w:val="4"/>
                <w:szCs w:val="4"/>
              </w:rPr>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Financing Activities: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exercise of stock options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w:t>
            </w:r>
          </w:p>
        </w:tc>
        <w:tc>
          <w:tcPr>
            <w:tcW w:w="131" w:type="dxa"/>
            <w:tcBorders/>
            <w:shd w:fill="CCEEFF" w:val="clear"/>
            <w:vAlign w:val="bottom"/>
          </w:tcPr>
          <w:p>
            <w:pPr>
              <w:pStyle w:val="TableContents"/>
              <w:spacing w:before="0" w:after="283"/>
              <w:rPr/>
            </w:pPr>
            <w:r>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1,521</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1,521</w:t>
            </w:r>
          </w:p>
        </w:tc>
        <w:tc>
          <w:tcPr>
            <w:tcW w:w="131" w:type="dxa"/>
            <w:tcBorders/>
            <w:shd w:fill="auto" w:val="clear"/>
            <w:vAlign w:val="bottom"/>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Taxes paid related to net share settlement of equity awards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(1,071</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revolving line of credit</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321,500</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321,617</w:t>
            </w:r>
          </w:p>
        </w:tc>
        <w:tc>
          <w:tcPr>
            <w:tcW w:w="131" w:type="dxa"/>
            <w:tcBorders/>
            <w:shd w:fill="auto" w:val="clear"/>
            <w:vAlign w:val="bottom"/>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revolving line of credit</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(309,000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(9,227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(318,227</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Payments on bank borrowings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(1,056</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13,584</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(10,166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3,418</w:t>
            </w:r>
          </w:p>
        </w:tc>
        <w:tc>
          <w:tcPr>
            <w:tcW w:w="131" w:type="dxa"/>
            <w:tcBorders/>
            <w:shd w:fill="CCEEFF" w:val="clear"/>
            <w:vAlign w:val="bottom"/>
          </w:tcPr>
          <w:p>
            <w:pPr>
              <w:pStyle w:val="TableContents"/>
              <w:spacing w:before="0" w:after="283"/>
              <w:rPr/>
            </w:pPr>
            <w:r>
              <w:rPr/>
              <w:t>  </w:t>
            </w:r>
          </w:p>
        </w:tc>
      </w:tr>
      <w:tr>
        <w:trPr>
          <w:trHeight w:val="120" w:hRule="atLeast"/>
        </w:trPr>
        <w:tc>
          <w:tcPr>
            <w:tcW w:w="5251" w:type="dxa"/>
            <w:tcBorders/>
            <w:shd w:fill="auto" w:val="clear"/>
            <w:vAlign w:val="center"/>
          </w:tcPr>
          <w:p>
            <w:pPr>
              <w:pStyle w:val="TableContents"/>
              <w:spacing w:before="0" w:after="283"/>
              <w:rPr>
                <w:sz w:val="4"/>
                <w:szCs w:val="4"/>
              </w:rPr>
            </w:pPr>
            <w:r>
              <w:rPr>
                <w:sz w:val="4"/>
                <w:szCs w:val="4"/>
              </w:rPr>
            </w:r>
          </w:p>
        </w:tc>
        <w:tc>
          <w:tcPr>
            <w:tcW w:w="1291" w:type="dxa"/>
            <w:gridSpan w:val="4"/>
            <w:tcBorders/>
            <w:shd w:fill="auto" w:val="clear"/>
            <w:vAlign w:val="center"/>
          </w:tcPr>
          <w:p>
            <w:pPr>
              <w:pStyle w:val="TableContents"/>
              <w:spacing w:before="0" w:after="283"/>
              <w:rPr>
                <w:sz w:val="4"/>
                <w:szCs w:val="4"/>
              </w:rPr>
            </w:pPr>
            <w:r>
              <w:rPr>
                <w:sz w:val="4"/>
                <w:szCs w:val="4"/>
              </w:rPr>
            </w:r>
          </w:p>
        </w:tc>
        <w:tc>
          <w:tcPr>
            <w:tcW w:w="1246" w:type="dxa"/>
            <w:gridSpan w:val="4"/>
            <w:tcBorders/>
            <w:shd w:fill="auto" w:val="clear"/>
            <w:vAlign w:val="center"/>
          </w:tcPr>
          <w:p>
            <w:pPr>
              <w:pStyle w:val="TableContents"/>
              <w:spacing w:before="0" w:after="283"/>
              <w:rPr>
                <w:sz w:val="4"/>
                <w:szCs w:val="4"/>
              </w:rPr>
            </w:pPr>
            <w:r>
              <w:rPr>
                <w:sz w:val="4"/>
                <w:szCs w:val="4"/>
              </w:rPr>
            </w:r>
          </w:p>
        </w:tc>
        <w:tc>
          <w:tcPr>
            <w:tcW w:w="1165" w:type="dxa"/>
            <w:gridSpan w:val="4"/>
            <w:tcBorders/>
            <w:shd w:fill="auto" w:val="clear"/>
            <w:vAlign w:val="center"/>
          </w:tcPr>
          <w:p>
            <w:pPr>
              <w:pStyle w:val="TableContents"/>
              <w:spacing w:before="0" w:after="283"/>
              <w:rPr>
                <w:sz w:val="4"/>
                <w:szCs w:val="4"/>
              </w:rPr>
            </w:pPr>
            <w:r>
              <w:rPr>
                <w:sz w:val="4"/>
                <w:szCs w:val="4"/>
              </w:rPr>
            </w:r>
          </w:p>
        </w:tc>
        <w:tc>
          <w:tcPr>
            <w:tcW w:w="1252" w:type="dxa"/>
            <w:gridSpan w:val="4"/>
            <w:tcBorders/>
            <w:shd w:fill="auto" w:val="clear"/>
            <w:vAlign w:val="center"/>
          </w:tcPr>
          <w:p>
            <w:pPr>
              <w:pStyle w:val="TableContents"/>
              <w:spacing w:before="0" w:after="283"/>
              <w:rPr>
                <w:sz w:val="4"/>
                <w:szCs w:val="4"/>
              </w:rPr>
            </w:pPr>
            <w:r>
              <w:rPr>
                <w:sz w:val="4"/>
                <w:szCs w:val="4"/>
              </w:rPr>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51"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increase in cash and cash equivalents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703</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8,039</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14,788</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23,530</w:t>
            </w:r>
          </w:p>
        </w:tc>
        <w:tc>
          <w:tcPr>
            <w:tcW w:w="131" w:type="dxa"/>
            <w:tcBorders/>
            <w:shd w:fill="CCEEFF" w:val="clear"/>
            <w:vAlign w:val="bottom"/>
          </w:tcPr>
          <w:p>
            <w:pPr>
              <w:pStyle w:val="TableContents"/>
              <w:spacing w:before="0" w:after="283"/>
              <w:rPr/>
            </w:pPr>
            <w:r>
              <w:rPr/>
              <w:t>  </w:t>
            </w:r>
          </w:p>
        </w:tc>
      </w:tr>
      <w:tr>
        <w:trPr/>
        <w:tc>
          <w:tcPr>
            <w:tcW w:w="5251"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period</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20,860</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3,109</w:t>
            </w:r>
          </w:p>
        </w:tc>
        <w:tc>
          <w:tcPr>
            <w:tcW w:w="125"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31" w:type="dxa"/>
            <w:tcBorders/>
            <w:shd w:fill="auto" w:val="clear"/>
            <w:vAlign w:val="bottom"/>
          </w:tcPr>
          <w:p>
            <w:pPr>
              <w:pStyle w:val="TableContents"/>
              <w:spacing w:before="0" w:after="283"/>
              <w:rPr/>
            </w:pPr>
            <w:r>
              <w:rPr/>
              <w:t>  </w:t>
            </w:r>
          </w:p>
        </w:tc>
      </w:tr>
      <w:tr>
        <w:trPr/>
        <w:tc>
          <w:tcPr>
            <w:tcW w:w="5251"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8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2"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251"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period</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703</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28,899</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17,897</w:t>
            </w:r>
          </w:p>
        </w:tc>
        <w:tc>
          <w:tcPr>
            <w:tcW w:w="125"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47,499</w:t>
            </w:r>
          </w:p>
        </w:tc>
        <w:tc>
          <w:tcPr>
            <w:tcW w:w="131" w:type="dxa"/>
            <w:tcBorders/>
            <w:shd w:fill="CCEEFF" w:val="clear"/>
            <w:vAlign w:val="bottom"/>
          </w:tcPr>
          <w:p>
            <w:pPr>
              <w:pStyle w:val="TableContents"/>
              <w:spacing w:before="0" w:after="283"/>
              <w:rPr/>
            </w:pPr>
            <w:r>
              <w:rPr/>
              <w:t>  </w:t>
            </w:r>
          </w:p>
        </w:tc>
      </w:tr>
      <w:tr>
        <w:trPr/>
        <w:tc>
          <w:tcPr>
            <w:tcW w:w="5251"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8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2"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349"/>
        <w:gridCol w:w="278"/>
        <w:gridCol w:w="125"/>
        <w:gridCol w:w="679"/>
        <w:gridCol w:w="125"/>
        <w:gridCol w:w="233"/>
        <w:gridCol w:w="125"/>
        <w:gridCol w:w="758"/>
        <w:gridCol w:w="125"/>
        <w:gridCol w:w="233"/>
        <w:gridCol w:w="124"/>
        <w:gridCol w:w="679"/>
        <w:gridCol w:w="125"/>
        <w:gridCol w:w="233"/>
        <w:gridCol w:w="125"/>
        <w:gridCol w:w="758"/>
        <w:gridCol w:w="131"/>
      </w:tblGrid>
      <w:tr>
        <w:trPr/>
        <w:tc>
          <w:tcPr>
            <w:tcW w:w="534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34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44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Six Months Ended March 31, 2011</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44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0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Activities: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9,164</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51,926</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provided by operating activities: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7,048</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1,597</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8,645</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loss provisions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5,693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1,204</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6,897</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983</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983</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Net (gain) loss on sale or disposal of assets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Stock compensation</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10,028</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10,028</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investments in unconsolidated affiliates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 net of business acquisitions: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3,956</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3,642</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1,291</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860</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other current assets, and other assets, net</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(2,648</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8,190</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(24,261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10,989</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(5,082</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628</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 receivable/payable</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2,807</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(1,921</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7,321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53,154</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9,411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69,886</w:t>
            </w:r>
          </w:p>
        </w:tc>
        <w:tc>
          <w:tcPr>
            <w:tcW w:w="131" w:type="dxa"/>
            <w:tcBorders/>
            <w:shd w:fill="CCEEFF" w:val="clear"/>
            <w:vAlign w:val="bottom"/>
          </w:tcPr>
          <w:p>
            <w:pPr>
              <w:pStyle w:val="TableContents"/>
              <w:spacing w:before="0" w:after="283"/>
              <w:rPr/>
            </w:pPr>
            <w:r>
              <w:rPr/>
              <w:t>  </w:t>
            </w:r>
          </w:p>
        </w:tc>
      </w:tr>
      <w:tr>
        <w:trPr>
          <w:trHeight w:val="120" w:hRule="atLeast"/>
        </w:trPr>
        <w:tc>
          <w:tcPr>
            <w:tcW w:w="5349" w:type="dxa"/>
            <w:tcBorders/>
            <w:shd w:fill="auto" w:val="clear"/>
            <w:vAlign w:val="center"/>
          </w:tcPr>
          <w:p>
            <w:pPr>
              <w:pStyle w:val="TableContents"/>
              <w:spacing w:before="0" w:after="283"/>
              <w:rPr>
                <w:sz w:val="4"/>
                <w:szCs w:val="4"/>
              </w:rPr>
            </w:pPr>
            <w:r>
              <w:rPr>
                <w:sz w:val="4"/>
                <w:szCs w:val="4"/>
              </w:rPr>
            </w:r>
          </w:p>
        </w:tc>
        <w:tc>
          <w:tcPr>
            <w:tcW w:w="1207" w:type="dxa"/>
            <w:gridSpan w:val="4"/>
            <w:tcBorders/>
            <w:shd w:fill="auto" w:val="clear"/>
            <w:vAlign w:val="center"/>
          </w:tcPr>
          <w:p>
            <w:pPr>
              <w:pStyle w:val="TableContents"/>
              <w:spacing w:before="0" w:after="283"/>
              <w:rPr>
                <w:sz w:val="4"/>
                <w:szCs w:val="4"/>
              </w:rPr>
            </w:pPr>
            <w:r>
              <w:rPr>
                <w:sz w:val="4"/>
                <w:szCs w:val="4"/>
              </w:rPr>
            </w:r>
          </w:p>
        </w:tc>
        <w:tc>
          <w:tcPr>
            <w:tcW w:w="1241" w:type="dxa"/>
            <w:gridSpan w:val="4"/>
            <w:tcBorders/>
            <w:shd w:fill="auto" w:val="clear"/>
            <w:vAlign w:val="center"/>
          </w:tcPr>
          <w:p>
            <w:pPr>
              <w:pStyle w:val="TableContents"/>
              <w:spacing w:before="0" w:after="283"/>
              <w:rPr>
                <w:sz w:val="4"/>
                <w:szCs w:val="4"/>
              </w:rPr>
            </w:pPr>
            <w:r>
              <w:rPr>
                <w:sz w:val="4"/>
                <w:szCs w:val="4"/>
              </w:rPr>
            </w:r>
          </w:p>
        </w:tc>
        <w:tc>
          <w:tcPr>
            <w:tcW w:w="1161"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Investing Activities: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Loans made</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(250,574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(41,951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(292,525</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Loans repaid</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176,168</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27,490</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203,658</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Recovery of pawn loan principal through sale of forfeited collateral</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94,788</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104,310</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property and equipment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(11,143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(3,986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(15,129</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Acquisitions, net of cash acquired</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(31,461</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Dividends from unconsolidated affiliates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1,811</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2,407</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4,218</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investing activities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(19,815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(26,929</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349" w:type="dxa"/>
            <w:tcBorders/>
            <w:shd w:fill="auto" w:val="clear"/>
            <w:vAlign w:val="center"/>
          </w:tcPr>
          <w:p>
            <w:pPr>
              <w:pStyle w:val="TableContents"/>
              <w:spacing w:before="0" w:after="283"/>
              <w:rPr>
                <w:sz w:val="4"/>
                <w:szCs w:val="4"/>
              </w:rPr>
            </w:pPr>
            <w:r>
              <w:rPr>
                <w:sz w:val="4"/>
                <w:szCs w:val="4"/>
              </w:rPr>
            </w:r>
          </w:p>
        </w:tc>
        <w:tc>
          <w:tcPr>
            <w:tcW w:w="1207" w:type="dxa"/>
            <w:gridSpan w:val="4"/>
            <w:tcBorders/>
            <w:shd w:fill="auto" w:val="clear"/>
            <w:vAlign w:val="center"/>
          </w:tcPr>
          <w:p>
            <w:pPr>
              <w:pStyle w:val="TableContents"/>
              <w:spacing w:before="0" w:after="283"/>
              <w:rPr>
                <w:sz w:val="4"/>
                <w:szCs w:val="4"/>
              </w:rPr>
            </w:pPr>
            <w:r>
              <w:rPr>
                <w:sz w:val="4"/>
                <w:szCs w:val="4"/>
              </w:rPr>
            </w:r>
          </w:p>
        </w:tc>
        <w:tc>
          <w:tcPr>
            <w:tcW w:w="1241" w:type="dxa"/>
            <w:gridSpan w:val="4"/>
            <w:tcBorders/>
            <w:shd w:fill="auto" w:val="clear"/>
            <w:vAlign w:val="center"/>
          </w:tcPr>
          <w:p>
            <w:pPr>
              <w:pStyle w:val="TableContents"/>
              <w:spacing w:before="0" w:after="283"/>
              <w:rPr>
                <w:sz w:val="4"/>
                <w:szCs w:val="4"/>
              </w:rPr>
            </w:pPr>
            <w:r>
              <w:rPr>
                <w:sz w:val="4"/>
                <w:szCs w:val="4"/>
              </w:rPr>
            </w:r>
          </w:p>
        </w:tc>
        <w:tc>
          <w:tcPr>
            <w:tcW w:w="1161"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Financing Activities: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exercise of stock options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3,072</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3,072</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Taxes paid related to net share settlement of equity awards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(7,409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(7,409</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Proceeds on revolving line of credit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11,500</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11,500</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revolving line of credit</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(16,505</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(9,132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(9,137</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349" w:type="dxa"/>
            <w:tcBorders/>
            <w:shd w:fill="auto" w:val="clear"/>
            <w:vAlign w:val="center"/>
          </w:tcPr>
          <w:p>
            <w:pPr>
              <w:pStyle w:val="TableContents"/>
              <w:spacing w:before="0" w:after="283"/>
              <w:rPr>
                <w:sz w:val="4"/>
                <w:szCs w:val="4"/>
              </w:rPr>
            </w:pPr>
            <w:r>
              <w:rPr>
                <w:sz w:val="4"/>
                <w:szCs w:val="4"/>
              </w:rPr>
            </w:r>
          </w:p>
        </w:tc>
        <w:tc>
          <w:tcPr>
            <w:tcW w:w="1207" w:type="dxa"/>
            <w:gridSpan w:val="4"/>
            <w:tcBorders/>
            <w:shd w:fill="auto" w:val="clear"/>
            <w:vAlign w:val="center"/>
          </w:tcPr>
          <w:p>
            <w:pPr>
              <w:pStyle w:val="TableContents"/>
              <w:spacing w:before="0" w:after="283"/>
              <w:rPr>
                <w:sz w:val="4"/>
                <w:szCs w:val="4"/>
              </w:rPr>
            </w:pPr>
            <w:r>
              <w:rPr>
                <w:sz w:val="4"/>
                <w:szCs w:val="4"/>
              </w:rPr>
            </w:r>
          </w:p>
        </w:tc>
        <w:tc>
          <w:tcPr>
            <w:tcW w:w="1241" w:type="dxa"/>
            <w:gridSpan w:val="4"/>
            <w:tcBorders/>
            <w:shd w:fill="auto" w:val="clear"/>
            <w:vAlign w:val="center"/>
          </w:tcPr>
          <w:p>
            <w:pPr>
              <w:pStyle w:val="TableContents"/>
              <w:spacing w:before="0" w:after="283"/>
              <w:rPr>
                <w:sz w:val="4"/>
                <w:szCs w:val="4"/>
              </w:rPr>
            </w:pPr>
            <w:r>
              <w:rPr>
                <w:sz w:val="4"/>
                <w:szCs w:val="4"/>
              </w:rPr>
            </w:r>
          </w:p>
        </w:tc>
        <w:tc>
          <w:tcPr>
            <w:tcW w:w="1161"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Net (decrease) increase in cash and cash equivalents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33,334</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33,931</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beginning of period</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23,862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25,854</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end of period</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57,196</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2,589</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59,785</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7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67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Note O. Supplemental Consolidated Financial Information </w:t>
      </w:r>
    </w:p>
    <w:p>
      <w:pPr>
        <w:pStyle w:val="TextBody"/>
        <w:spacing w:before="90" w:after="0"/>
        <w:rPr>
          <w:rFonts w:ascii="Times New Roman" w:hAnsi="Times New Roman"/>
          <w:sz w:val="20"/>
          <w:u w:val="single"/>
        </w:rPr>
      </w:pPr>
      <w:r>
        <w:rPr>
          <w:rFonts w:ascii="Times New Roman" w:hAnsi="Times New Roman"/>
          <w:sz w:val="20"/>
          <w:u w:val="single"/>
        </w:rPr>
        <w:t xml:space="preserve">Supplemental Consolidated Statements of Financial Position Information: </w:t>
      </w:r>
    </w:p>
    <w:p>
      <w:pPr>
        <w:pStyle w:val="TextBody"/>
        <w:spacing w:before="90" w:after="0"/>
        <w:rPr>
          <w:rFonts w:ascii="Times New Roman" w:hAnsi="Times New Roman"/>
          <w:sz w:val="20"/>
        </w:rPr>
      </w:pPr>
      <w:r>
        <w:rPr>
          <w:rFonts w:ascii="Times New Roman" w:hAnsi="Times New Roman"/>
          <w:sz w:val="20"/>
        </w:rPr>
        <w:t xml:space="preserve">The following table provides information on amounts included in pawn service charges receivable, net, consumer loan fees, net, inventories, net and property and equipment, net: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481"/>
        <w:gridCol w:w="303"/>
        <w:gridCol w:w="125"/>
        <w:gridCol w:w="835"/>
        <w:gridCol w:w="125"/>
        <w:gridCol w:w="263"/>
        <w:gridCol w:w="125"/>
        <w:gridCol w:w="835"/>
        <w:gridCol w:w="125"/>
        <w:gridCol w:w="262"/>
        <w:gridCol w:w="125"/>
        <w:gridCol w:w="835"/>
        <w:gridCol w:w="133"/>
      </w:tblGrid>
      <w:tr>
        <w:trPr/>
        <w:tc>
          <w:tcPr>
            <w:tcW w:w="448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20"/>
              </w:rPr>
            </w:pPr>
            <w:r>
              <w:rPr>
                <w:sz w:val="20"/>
              </w:rPr>
              <w:t>XXXXXX</w:t>
            </w:r>
          </w:p>
        </w:tc>
        <w:tc>
          <w:tcPr>
            <w:tcW w:w="12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20"/>
              </w:rPr>
            </w:pPr>
            <w:r>
              <w:rPr>
                <w:sz w:val="20"/>
              </w:rPr>
              <w:t>XXXXXX</w:t>
            </w:r>
          </w:p>
        </w:tc>
        <w:tc>
          <w:tcPr>
            <w:tcW w:w="12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20"/>
              </w:rPr>
            </w:pPr>
            <w:r>
              <w:rPr>
                <w:sz w:val="20"/>
              </w:rPr>
              <w:t>XXXXXX</w:t>
            </w:r>
          </w:p>
        </w:tc>
        <w:tc>
          <w:tcPr>
            <w:tcW w:w="133" w:type="dxa"/>
            <w:tcBorders/>
            <w:shd w:fill="auto" w:val="clear"/>
            <w:vAlign w:val="center"/>
          </w:tcPr>
          <w:p>
            <w:pPr>
              <w:pStyle w:val="TableContents"/>
              <w:spacing w:before="0" w:after="283"/>
              <w:rPr>
                <w:sz w:val="4"/>
                <w:szCs w:val="4"/>
              </w:rPr>
            </w:pPr>
            <w:r>
              <w:rPr>
                <w:sz w:val="4"/>
                <w:szCs w:val="4"/>
              </w:rPr>
            </w:r>
          </w:p>
        </w:tc>
      </w:tr>
      <w:tr>
        <w:trPr/>
        <w:tc>
          <w:tcPr>
            <w:tcW w:w="4481"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30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33" w:type="dxa"/>
            <w:tcBorders/>
            <w:shd w:fill="auto" w:val="clear"/>
            <w:vAlign w:val="bottom"/>
          </w:tcPr>
          <w:p>
            <w:pPr>
              <w:pStyle w:val="TableContents"/>
              <w:spacing w:before="0" w:after="283"/>
              <w:rPr/>
            </w:pPr>
            <w:r>
              <w:rPr/>
              <w:t> </w:t>
            </w:r>
          </w:p>
        </w:tc>
      </w:tr>
      <w:tr>
        <w:trPr/>
        <w:tc>
          <w:tcPr>
            <w:tcW w:w="4481"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3" w:type="dxa"/>
            <w:tcBorders/>
            <w:shd w:fill="auto" w:val="clear"/>
            <w:vAlign w:val="bottom"/>
          </w:tcPr>
          <w:p>
            <w:pPr>
              <w:pStyle w:val="TableContents"/>
              <w:spacing w:before="0" w:after="283"/>
              <w:rPr/>
            </w:pPr>
            <w:r>
              <w:rPr/>
              <w:t> </w:t>
            </w:r>
          </w:p>
        </w:tc>
      </w:tr>
      <w:tr>
        <w:trPr/>
        <w:tc>
          <w:tcPr>
            <w:tcW w:w="4481"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3655"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3" w:type="dxa"/>
            <w:tcBorders/>
            <w:shd w:fill="auto" w:val="clear"/>
            <w:vAlign w:val="bottom"/>
          </w:tcPr>
          <w:p>
            <w:pPr>
              <w:pStyle w:val="TableContents"/>
              <w:spacing w:before="0" w:after="283"/>
              <w:rPr/>
            </w:pPr>
            <w:r>
              <w:rPr/>
              <w:t> </w:t>
            </w:r>
          </w:p>
        </w:tc>
      </w:tr>
      <w:tr>
        <w:trPr/>
        <w:tc>
          <w:tcPr>
            <w:tcW w:w="4481"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 receivable:</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481" w:type="dxa"/>
            <w:tcBorders/>
            <w:shd w:fill="auto" w:val="clear"/>
          </w:tcPr>
          <w:p>
            <w:pPr>
              <w:pStyle w:val="TableContents"/>
              <w:spacing w:before="0" w:after="283"/>
              <w:rPr>
                <w:rFonts w:ascii="Times New Roman" w:hAnsi="Times New Roman"/>
                <w:sz w:val="20"/>
              </w:rPr>
            </w:pPr>
            <w:r>
              <w:rPr>
                <w:rFonts w:ascii="Times New Roman" w:hAnsi="Times New Roman"/>
                <w:sz w:val="20"/>
              </w:rPr>
              <w:t>Gross pawn service charges receivable</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30,534</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27,151</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37,175</w:t>
            </w:r>
          </w:p>
        </w:tc>
        <w:tc>
          <w:tcPr>
            <w:tcW w:w="133" w:type="dxa"/>
            <w:tcBorders/>
            <w:shd w:fill="auto" w:val="clear"/>
            <w:vAlign w:val="bottom"/>
          </w:tcPr>
          <w:p>
            <w:pPr>
              <w:pStyle w:val="TableContents"/>
              <w:spacing w:before="0" w:after="283"/>
              <w:rPr/>
            </w:pPr>
            <w:r>
              <w:rPr/>
              <w:t>  </w:t>
            </w:r>
          </w:p>
        </w:tc>
      </w:tr>
      <w:tr>
        <w:trPr/>
        <w:tc>
          <w:tcPr>
            <w:tcW w:w="4481"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uncollectible pawn service charges receivable</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(7,175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(10,720</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1"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81"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22,296</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19,976</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26,455</w:t>
            </w:r>
          </w:p>
        </w:tc>
        <w:tc>
          <w:tcPr>
            <w:tcW w:w="133" w:type="dxa"/>
            <w:tcBorders/>
            <w:shd w:fill="auto" w:val="clear"/>
            <w:vAlign w:val="bottom"/>
          </w:tcPr>
          <w:p>
            <w:pPr>
              <w:pStyle w:val="TableContents"/>
              <w:spacing w:before="0" w:after="283"/>
              <w:rPr/>
            </w:pPr>
            <w:r>
              <w:rPr/>
              <w:t>  </w:t>
            </w:r>
          </w:p>
        </w:tc>
      </w:tr>
      <w:tr>
        <w:trPr/>
        <w:tc>
          <w:tcPr>
            <w:tcW w:w="4481"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rHeight w:val="120" w:hRule="atLeast"/>
        </w:trPr>
        <w:tc>
          <w:tcPr>
            <w:tcW w:w="4481" w:type="dxa"/>
            <w:tcBorders/>
            <w:shd w:fill="auto" w:val="clear"/>
            <w:vAlign w:val="center"/>
          </w:tcPr>
          <w:p>
            <w:pPr>
              <w:pStyle w:val="TableContents"/>
              <w:spacing w:before="0" w:after="283"/>
              <w:rPr>
                <w:sz w:val="4"/>
                <w:szCs w:val="4"/>
              </w:rPr>
            </w:pPr>
            <w:r>
              <w:rPr>
                <w:sz w:val="4"/>
                <w:szCs w:val="4"/>
              </w:rPr>
            </w:r>
          </w:p>
        </w:tc>
        <w:tc>
          <w:tcPr>
            <w:tcW w:w="1388" w:type="dxa"/>
            <w:gridSpan w:val="4"/>
            <w:tcBorders/>
            <w:shd w:fill="auto" w:val="clear"/>
            <w:vAlign w:val="center"/>
          </w:tcPr>
          <w:p>
            <w:pPr>
              <w:pStyle w:val="TableContents"/>
              <w:spacing w:before="0" w:after="283"/>
              <w:rPr>
                <w:sz w:val="4"/>
                <w:szCs w:val="4"/>
              </w:rPr>
            </w:pPr>
            <w:r>
              <w:rPr>
                <w:sz w:val="4"/>
                <w:szCs w:val="4"/>
              </w:rPr>
            </w:r>
          </w:p>
        </w:tc>
        <w:tc>
          <w:tcPr>
            <w:tcW w:w="1348"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4481"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 receivable:</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481" w:type="dxa"/>
            <w:tcBorders/>
            <w:shd w:fill="auto" w:val="clear"/>
          </w:tcPr>
          <w:p>
            <w:pPr>
              <w:pStyle w:val="TableContents"/>
              <w:spacing w:before="0" w:after="283"/>
              <w:rPr>
                <w:rFonts w:ascii="Times New Roman" w:hAnsi="Times New Roman"/>
                <w:sz w:val="20"/>
              </w:rPr>
            </w:pPr>
            <w:r>
              <w:rPr>
                <w:rFonts w:ascii="Times New Roman" w:hAnsi="Times New Roman"/>
                <w:sz w:val="20"/>
              </w:rPr>
              <w:t>Gross consumer loan fees receivable</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28,376</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6,369</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7,346</w:t>
            </w:r>
          </w:p>
        </w:tc>
        <w:tc>
          <w:tcPr>
            <w:tcW w:w="133" w:type="dxa"/>
            <w:tcBorders/>
            <w:shd w:fill="auto" w:val="clear"/>
            <w:vAlign w:val="bottom"/>
          </w:tcPr>
          <w:p>
            <w:pPr>
              <w:pStyle w:val="TableContents"/>
              <w:spacing w:before="0" w:after="283"/>
              <w:rPr/>
            </w:pPr>
            <w:r>
              <w:rPr/>
              <w:t>  </w:t>
            </w:r>
          </w:p>
        </w:tc>
      </w:tr>
      <w:tr>
        <w:trPr/>
        <w:tc>
          <w:tcPr>
            <w:tcW w:w="4481"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uncollectible consumer loan fees receivable</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1"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81"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 receivable, net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24,551</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6,026</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6,775</w:t>
            </w:r>
          </w:p>
        </w:tc>
        <w:tc>
          <w:tcPr>
            <w:tcW w:w="133" w:type="dxa"/>
            <w:tcBorders/>
            <w:shd w:fill="auto" w:val="clear"/>
            <w:vAlign w:val="bottom"/>
          </w:tcPr>
          <w:p>
            <w:pPr>
              <w:pStyle w:val="TableContents"/>
              <w:spacing w:before="0" w:after="283"/>
              <w:rPr/>
            </w:pPr>
            <w:r>
              <w:rPr/>
              <w:t>  </w:t>
            </w:r>
          </w:p>
        </w:tc>
      </w:tr>
      <w:tr>
        <w:trPr/>
        <w:tc>
          <w:tcPr>
            <w:tcW w:w="4481"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rHeight w:val="120" w:hRule="atLeast"/>
        </w:trPr>
        <w:tc>
          <w:tcPr>
            <w:tcW w:w="4481" w:type="dxa"/>
            <w:tcBorders/>
            <w:shd w:fill="auto" w:val="clear"/>
            <w:vAlign w:val="center"/>
          </w:tcPr>
          <w:p>
            <w:pPr>
              <w:pStyle w:val="TableContents"/>
              <w:spacing w:before="0" w:after="283"/>
              <w:rPr>
                <w:sz w:val="4"/>
                <w:szCs w:val="4"/>
              </w:rPr>
            </w:pPr>
            <w:r>
              <w:rPr>
                <w:sz w:val="4"/>
                <w:szCs w:val="4"/>
              </w:rPr>
            </w:r>
          </w:p>
        </w:tc>
        <w:tc>
          <w:tcPr>
            <w:tcW w:w="1388" w:type="dxa"/>
            <w:gridSpan w:val="4"/>
            <w:tcBorders/>
            <w:shd w:fill="auto" w:val="clear"/>
            <w:vAlign w:val="center"/>
          </w:tcPr>
          <w:p>
            <w:pPr>
              <w:pStyle w:val="TableContents"/>
              <w:spacing w:before="0" w:after="283"/>
              <w:rPr>
                <w:sz w:val="4"/>
                <w:szCs w:val="4"/>
              </w:rPr>
            </w:pPr>
            <w:r>
              <w:rPr>
                <w:sz w:val="4"/>
                <w:szCs w:val="4"/>
              </w:rPr>
            </w:r>
          </w:p>
        </w:tc>
        <w:tc>
          <w:tcPr>
            <w:tcW w:w="1348"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4481"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481"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gross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94,027</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77,297</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99,854</w:t>
            </w:r>
          </w:p>
        </w:tc>
        <w:tc>
          <w:tcPr>
            <w:tcW w:w="133" w:type="dxa"/>
            <w:tcBorders/>
            <w:shd w:fill="auto" w:val="clear"/>
            <w:vAlign w:val="bottom"/>
          </w:tcPr>
          <w:p>
            <w:pPr>
              <w:pStyle w:val="TableContents"/>
              <w:spacing w:before="0" w:after="283"/>
              <w:rPr/>
            </w:pPr>
            <w:r>
              <w:rPr/>
              <w:t>  </w:t>
            </w:r>
          </w:p>
        </w:tc>
      </w:tr>
      <w:tr>
        <w:trPr/>
        <w:tc>
          <w:tcPr>
            <w:tcW w:w="4481"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 reserves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(6,136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(7,022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(9,481</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1"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81"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87,891</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70,275</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90,373</w:t>
            </w:r>
          </w:p>
        </w:tc>
        <w:tc>
          <w:tcPr>
            <w:tcW w:w="133" w:type="dxa"/>
            <w:tcBorders/>
            <w:shd w:fill="auto" w:val="clear"/>
            <w:vAlign w:val="bottom"/>
          </w:tcPr>
          <w:p>
            <w:pPr>
              <w:pStyle w:val="TableContents"/>
              <w:spacing w:before="0" w:after="283"/>
              <w:rPr/>
            </w:pPr>
            <w:r>
              <w:rPr/>
              <w:t>  </w:t>
            </w:r>
          </w:p>
        </w:tc>
      </w:tr>
      <w:tr>
        <w:trPr/>
        <w:tc>
          <w:tcPr>
            <w:tcW w:w="4481"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rHeight w:val="120" w:hRule="atLeast"/>
        </w:trPr>
        <w:tc>
          <w:tcPr>
            <w:tcW w:w="4481" w:type="dxa"/>
            <w:tcBorders/>
            <w:shd w:fill="auto" w:val="clear"/>
            <w:vAlign w:val="center"/>
          </w:tcPr>
          <w:p>
            <w:pPr>
              <w:pStyle w:val="TableContents"/>
              <w:spacing w:before="0" w:after="283"/>
              <w:rPr>
                <w:sz w:val="4"/>
                <w:szCs w:val="4"/>
              </w:rPr>
            </w:pPr>
            <w:r>
              <w:rPr>
                <w:sz w:val="4"/>
                <w:szCs w:val="4"/>
              </w:rPr>
            </w:r>
          </w:p>
        </w:tc>
        <w:tc>
          <w:tcPr>
            <w:tcW w:w="1388" w:type="dxa"/>
            <w:gridSpan w:val="4"/>
            <w:tcBorders/>
            <w:shd w:fill="auto" w:val="clear"/>
            <w:vAlign w:val="center"/>
          </w:tcPr>
          <w:p>
            <w:pPr>
              <w:pStyle w:val="TableContents"/>
              <w:spacing w:before="0" w:after="283"/>
              <w:rPr>
                <w:sz w:val="4"/>
                <w:szCs w:val="4"/>
              </w:rPr>
            </w:pPr>
            <w:r>
              <w:rPr>
                <w:sz w:val="4"/>
                <w:szCs w:val="4"/>
              </w:rPr>
            </w:r>
          </w:p>
        </w:tc>
        <w:tc>
          <w:tcPr>
            <w:tcW w:w="1348"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4481"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481"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gross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234,840</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191,492</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207,392</w:t>
            </w:r>
          </w:p>
        </w:tc>
        <w:tc>
          <w:tcPr>
            <w:tcW w:w="133" w:type="dxa"/>
            <w:tcBorders/>
            <w:shd w:fill="auto" w:val="clear"/>
            <w:vAlign w:val="bottom"/>
          </w:tcPr>
          <w:p>
            <w:pPr>
              <w:pStyle w:val="TableContents"/>
              <w:spacing w:before="0" w:after="283"/>
              <w:rPr/>
            </w:pPr>
            <w:r>
              <w:rPr/>
              <w:t>  </w:t>
            </w:r>
          </w:p>
        </w:tc>
      </w:tr>
      <w:tr>
        <w:trPr/>
        <w:tc>
          <w:tcPr>
            <w:tcW w:w="4481"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Depreciation</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(139,794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(121,387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(128,894</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1"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81"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95,046</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70,105</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78,498</w:t>
            </w:r>
          </w:p>
        </w:tc>
        <w:tc>
          <w:tcPr>
            <w:tcW w:w="133" w:type="dxa"/>
            <w:tcBorders/>
            <w:shd w:fill="auto" w:val="clear"/>
            <w:vAlign w:val="bottom"/>
          </w:tcPr>
          <w:p>
            <w:pPr>
              <w:pStyle w:val="TableContents"/>
              <w:spacing w:before="0" w:after="283"/>
              <w:rPr/>
            </w:pPr>
            <w:r>
              <w:rPr/>
              <w:t>  </w:t>
            </w:r>
          </w:p>
        </w:tc>
      </w:tr>
      <w:tr>
        <w:trPr/>
        <w:tc>
          <w:tcPr>
            <w:tcW w:w="4481"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sz w:val="20"/>
          <w:u w:val="single"/>
        </w:rPr>
      </w:pPr>
      <w:r>
        <w:rPr>
          <w:rFonts w:ascii="Times New Roman" w:hAnsi="Times New Roman"/>
          <w:sz w:val="20"/>
          <w:u w:val="single"/>
        </w:rPr>
        <w:t xml:space="preserve">Other Supplemental Information: </w:t>
      </w:r>
    </w:p>
    <w:p>
      <w:pPr>
        <w:pStyle w:val="TextBody"/>
        <w:spacing w:before="0" w:after="0"/>
        <w:rPr/>
      </w:pPr>
      <w:r>
        <w:rPr/>
        <w: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282"/>
        <w:gridCol w:w="353"/>
        <w:gridCol w:w="125"/>
        <w:gridCol w:w="830"/>
        <w:gridCol w:w="120"/>
        <w:gridCol w:w="353"/>
        <w:gridCol w:w="125"/>
        <w:gridCol w:w="830"/>
        <w:gridCol w:w="120"/>
        <w:gridCol w:w="353"/>
        <w:gridCol w:w="124"/>
        <w:gridCol w:w="830"/>
        <w:gridCol w:w="127"/>
      </w:tblGrid>
      <w:tr>
        <w:trPr/>
        <w:tc>
          <w:tcPr>
            <w:tcW w:w="428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20"/>
              </w:rPr>
            </w:pPr>
            <w:r>
              <w:rPr>
                <w:sz w:val="20"/>
              </w:rPr>
              <w:t>XXXXXX</w:t>
            </w:r>
          </w:p>
        </w:tc>
        <w:tc>
          <w:tcPr>
            <w:tcW w:w="12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20"/>
              </w:rPr>
            </w:pPr>
            <w:r>
              <w:rPr>
                <w:sz w:val="20"/>
              </w:rPr>
              <w:t>XXXXXX</w:t>
            </w:r>
          </w:p>
        </w:tc>
        <w:tc>
          <w:tcPr>
            <w:tcW w:w="12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20"/>
              </w:rPr>
            </w:pPr>
            <w:r>
              <w:rPr>
                <w:sz w:val="20"/>
              </w:rPr>
              <w:t>XXXXXX</w:t>
            </w:r>
          </w:p>
        </w:tc>
        <w:tc>
          <w:tcPr>
            <w:tcW w:w="127" w:type="dxa"/>
            <w:tcBorders/>
            <w:shd w:fill="auto" w:val="clear"/>
            <w:vAlign w:val="center"/>
          </w:tcPr>
          <w:p>
            <w:pPr>
              <w:pStyle w:val="TableContents"/>
              <w:spacing w:before="0" w:after="283"/>
              <w:rPr>
                <w:sz w:val="4"/>
                <w:szCs w:val="4"/>
              </w:rPr>
            </w:pPr>
            <w:r>
              <w:rPr>
                <w:sz w:val="4"/>
                <w:szCs w:val="4"/>
              </w:rPr>
            </w:r>
          </w:p>
        </w:tc>
      </w:tr>
      <w:tr>
        <w:trPr/>
        <w:tc>
          <w:tcPr>
            <w:tcW w:w="428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38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March 31,</w:t>
            </w:r>
          </w:p>
        </w:tc>
        <w:tc>
          <w:tcPr>
            <w:tcW w:w="1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27" w:type="dxa"/>
            <w:tcBorders/>
            <w:shd w:fill="auto" w:val="clear"/>
            <w:vAlign w:val="bottom"/>
          </w:tcPr>
          <w:p>
            <w:pPr>
              <w:pStyle w:val="TableContents"/>
              <w:spacing w:before="0" w:after="283"/>
              <w:rPr/>
            </w:pPr>
            <w:r>
              <w:rPr/>
              <w:t> </w:t>
            </w:r>
          </w:p>
        </w:tc>
      </w:tr>
      <w:tr>
        <w:trPr/>
        <w:tc>
          <w:tcPr>
            <w:tcW w:w="428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2012</w:t>
            </w:r>
          </w:p>
        </w:tc>
        <w:tc>
          <w:tcPr>
            <w:tcW w:w="1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7" w:type="dxa"/>
            <w:tcBorders/>
            <w:shd w:fill="auto" w:val="clear"/>
            <w:vAlign w:val="bottom"/>
          </w:tcPr>
          <w:p>
            <w:pPr>
              <w:pStyle w:val="TableContents"/>
              <w:spacing w:before="0" w:after="283"/>
              <w:rPr/>
            </w:pPr>
            <w:r>
              <w:rPr/>
              <w:t> </w:t>
            </w:r>
          </w:p>
        </w:tc>
      </w:tr>
      <w:tr>
        <w:trPr/>
        <w:tc>
          <w:tcPr>
            <w:tcW w:w="4282"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810"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7" w:type="dxa"/>
            <w:tcBorders/>
            <w:shd w:fill="auto" w:val="clear"/>
            <w:vAlign w:val="bottom"/>
          </w:tcPr>
          <w:p>
            <w:pPr>
              <w:pStyle w:val="TableContents"/>
              <w:spacing w:before="0" w:after="283"/>
              <w:rPr/>
            </w:pPr>
            <w:r>
              <w:rPr/>
              <w:t> </w:t>
            </w:r>
          </w:p>
        </w:tc>
      </w:tr>
      <w:tr>
        <w:trPr/>
        <w:tc>
          <w:tcPr>
            <w:tcW w:w="4282"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loans:</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4282" w:type="dxa"/>
            <w:tcBorders/>
            <w:shd w:fill="auto" w:val="clear"/>
          </w:tcPr>
          <w:p>
            <w:pPr>
              <w:pStyle w:val="TableContents"/>
              <w:spacing w:before="0" w:after="283"/>
              <w:rPr>
                <w:rFonts w:ascii="Times New Roman" w:hAnsi="Times New Roman"/>
                <w:sz w:val="20"/>
              </w:rPr>
            </w:pPr>
            <w:r>
              <w:rPr>
                <w:rFonts w:ascii="Times New Roman" w:hAnsi="Times New Roman"/>
                <w:sz w:val="20"/>
              </w:rPr>
              <w:t>Expected LOC losses</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1,402</w:t>
            </w:r>
          </w:p>
        </w:tc>
        <w:tc>
          <w:tcPr>
            <w:tcW w:w="1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947</w:t>
            </w:r>
          </w:p>
        </w:tc>
        <w:tc>
          <w:tcPr>
            <w:tcW w:w="1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1,795</w:t>
            </w:r>
          </w:p>
        </w:tc>
        <w:tc>
          <w:tcPr>
            <w:tcW w:w="127" w:type="dxa"/>
            <w:tcBorders/>
            <w:shd w:fill="auto" w:val="clear"/>
            <w:vAlign w:val="bottom"/>
          </w:tcPr>
          <w:p>
            <w:pPr>
              <w:pStyle w:val="TableContents"/>
              <w:spacing w:before="0" w:after="283"/>
              <w:rPr/>
            </w:pPr>
            <w:r>
              <w:rPr/>
              <w:t>  </w:t>
            </w:r>
          </w:p>
        </w:tc>
      </w:tr>
      <w:tr>
        <w:trPr/>
        <w:tc>
          <w:tcPr>
            <w:tcW w:w="4282" w:type="dxa"/>
            <w:tcBorders/>
            <w:shd w:fill="CCEEFF" w:val="clear"/>
          </w:tcPr>
          <w:p>
            <w:pPr>
              <w:pStyle w:val="TableContents"/>
              <w:spacing w:before="0" w:after="283"/>
              <w:rPr>
                <w:rFonts w:ascii="Times New Roman" w:hAnsi="Times New Roman"/>
                <w:sz w:val="20"/>
              </w:rPr>
            </w:pPr>
            <w:r>
              <w:rPr>
                <w:rFonts w:ascii="Times New Roman" w:hAnsi="Times New Roman"/>
                <w:sz w:val="20"/>
              </w:rPr>
              <w:t>Maximum exposure for LOC losses</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21,727</w:t>
            </w:r>
          </w:p>
        </w:tc>
        <w:tc>
          <w:tcPr>
            <w:tcW w:w="1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26,509</w:t>
            </w:r>
          </w:p>
        </w:tc>
        <w:tc>
          <w:tcPr>
            <w:tcW w:w="1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30,268</w:t>
            </w:r>
          </w:p>
        </w:tc>
        <w:tc>
          <w:tcPr>
            <w:tcW w:w="127" w:type="dxa"/>
            <w:tcBorders/>
            <w:shd w:fill="CCEEFF" w:val="clear"/>
            <w:vAlign w:val="bottom"/>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Note P. Subsequent Events </w:t>
      </w:r>
    </w:p>
    <w:p>
      <w:pPr>
        <w:pStyle w:val="TextBody"/>
        <w:spacing w:before="90" w:after="0"/>
        <w:rPr>
          <w:rFonts w:ascii="Times New Roman" w:hAnsi="Times New Roman"/>
          <w:sz w:val="20"/>
        </w:rPr>
      </w:pPr>
      <w:r>
        <w:rPr>
          <w:rFonts w:ascii="Times New Roman" w:hAnsi="Times New Roman"/>
          <w:sz w:val="20"/>
        </w:rPr>
        <w:t xml:space="preserve">On April 13, 2012, we completed the acquisition of nine pawn stores in the Minneapolis metropolitan area for total consideration of approximately $11.4 million paid in cash. This acquisition represents or initial entry into the state of Minnesota and we now operate pawn shops in 19 states in the United States. </w:t>
      </w:r>
    </w:p>
    <w:p>
      <w:pPr>
        <w:pStyle w:val="TextBody"/>
        <w:spacing w:before="180" w:after="0"/>
        <w:rPr>
          <w:rFonts w:ascii="Times New Roman" w:hAnsi="Times New Roman"/>
          <w:sz w:val="20"/>
        </w:rPr>
      </w:pPr>
      <w:r>
        <w:rPr>
          <w:rFonts w:ascii="Times New Roman" w:hAnsi="Times New Roman"/>
          <w:sz w:val="20"/>
        </w:rPr>
        <w:t xml:space="preserve">On April 14, 2012, we acquired a 72% ownership interest in Ariste Holding Limited which provides online loans in the U.K. under the name Cash Genie. The transaction includes the acquisition of 72% of Twyford Developments Limited, a consumer debt collection company. Under the terms of the definitive agreement, we paid $16.9 million in cash and issued 207,000 shares of stock, valued at $5.5 million to the existing shareholders. </w:t>
      </w:r>
    </w:p>
    <w:p>
      <w:pPr>
        <w:pStyle w:val="TextBody"/>
        <w:spacing w:before="180" w:after="0"/>
        <w:rPr>
          <w:rFonts w:ascii="Times New Roman" w:hAnsi="Times New Roman"/>
          <w:sz w:val="20"/>
        </w:rPr>
      </w:pPr>
      <w:r>
        <w:rPr>
          <w:rFonts w:ascii="Times New Roman" w:hAnsi="Times New Roman"/>
          <w:sz w:val="20"/>
        </w:rPr>
        <w:t xml:space="preserve">The purchase price allocation for these acquisitions is incomplete as we continue to receive information regarding the acquired assets. As a result, we are unable to provide at this time a breakout between net tangible assets, intangible assets and goodwill.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Item 2. Management's</w:t>
      </w:r>
      <w:bookmarkStart w:id="10" w:name="toc328034_9"/>
      <w:bookmarkEnd w:id="10"/>
      <w:r>
        <w:rPr>
          <w:rFonts w:ascii="Times New Roman" w:hAnsi="Times New Roman"/>
          <w:b/>
          <w:sz w:val="20"/>
        </w:rPr>
        <w:t xml:space="preserve"> Discussion and Analysis of Financial Condition and Results of Operations </w:t>
      </w:r>
    </w:p>
    <w:p>
      <w:pPr>
        <w:pStyle w:val="TextBody"/>
        <w:spacing w:before="90" w:after="0"/>
        <w:rPr>
          <w:rFonts w:ascii="Times New Roman" w:hAnsi="Times New Roman"/>
          <w:sz w:val="20"/>
        </w:rPr>
      </w:pPr>
      <w:r>
        <w:rPr>
          <w:rFonts w:ascii="Times New Roman" w:hAnsi="Times New Roman"/>
          <w:sz w:val="20"/>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1ARisk Factors of this report. </w:t>
      </w:r>
    </w:p>
    <w:p>
      <w:pPr>
        <w:pStyle w:val="TextBody"/>
        <w:spacing w:before="270" w:after="0"/>
        <w:rPr>
          <w:rFonts w:ascii="Times New Roman" w:hAnsi="Times New Roman"/>
          <w:sz w:val="20"/>
          <w:u w:val="single"/>
        </w:rPr>
      </w:pPr>
      <w:r>
        <w:rPr>
          <w:rFonts w:ascii="Times New Roman" w:hAnsi="Times New Roman"/>
          <w:sz w:val="20"/>
          <w:u w:val="single"/>
        </w:rPr>
        <w:t xml:space="preserve">Critical Accounting Policies </w:t>
      </w:r>
    </w:p>
    <w:p>
      <w:pPr>
        <w:pStyle w:val="TextBody"/>
        <w:spacing w:before="90" w:after="0"/>
        <w:rPr>
          <w:rFonts w:ascii="Times New Roman" w:hAnsi="Times New Roman"/>
          <w:sz w:val="20"/>
        </w:rPr>
      </w:pPr>
      <w:r>
        <w:rPr>
          <w:rFonts w:ascii="Times New Roman" w:hAnsi="Times New Roman"/>
          <w:sz w:val="20"/>
        </w:rPr>
        <w:t xml:space="preserve">With the exception of the derivative instruments and hedging activities and consumer loan policies as described in the section below, there have been no changes in critical accounting policies as described in our Annual Report on Form 10-K for the year ended September 30, 2011. </w:t>
      </w:r>
    </w:p>
    <w:p>
      <w:pPr>
        <w:pStyle w:val="TextBody"/>
        <w:spacing w:before="270" w:after="0"/>
        <w:rPr>
          <w:rFonts w:ascii="Times New Roman" w:hAnsi="Times New Roman"/>
          <w:sz w:val="20"/>
          <w:u w:val="single"/>
        </w:rPr>
      </w:pPr>
      <w:r>
        <w:rPr>
          <w:rFonts w:ascii="Times New Roman" w:hAnsi="Times New Roman"/>
          <w:sz w:val="20"/>
          <w:u w:val="single"/>
        </w:rPr>
        <w:t xml:space="preserve">Consumer Loans </w:t>
      </w:r>
    </w:p>
    <w:p>
      <w:pPr>
        <w:pStyle w:val="TextBody"/>
        <w:spacing w:before="90" w:after="0"/>
        <w:rPr>
          <w:rFonts w:ascii="Times New Roman" w:hAnsi="Times New Roman"/>
          <w:sz w:val="20"/>
        </w:rPr>
      </w:pPr>
      <w:r>
        <w:rPr>
          <w:rFonts w:ascii="Times New Roman" w:hAnsi="Times New Roman"/>
          <w:sz w:val="20"/>
        </w:rPr>
        <w:t xml:space="preserve">We provide a variety of short-term consumer loans including payday loans, installment loans and auto title loans, and in Texas only, fee-based credit services to customers seeking loans. In Mexico, Crediamigo enters into agreements with employers that permit it to market long-term consumer loans to employees. Payments are withheld by the employers through payroll deductions and remitted to Crediamigo. With the exception of the incorporation of Crediamigo, there have been no changes to our consumer loans revenue recognition, allowance for losses and bad debt expense policies. </w:t>
      </w:r>
    </w:p>
    <w:p>
      <w:pPr>
        <w:pStyle w:val="TextBody"/>
        <w:spacing w:before="270" w:after="0"/>
        <w:rPr>
          <w:rFonts w:ascii="Times New Roman" w:hAnsi="Times New Roman"/>
          <w:i/>
          <w:sz w:val="20"/>
        </w:rPr>
      </w:pPr>
      <w:r>
        <w:rPr>
          <w:rFonts w:ascii="Times New Roman" w:hAnsi="Times New Roman"/>
          <w:i/>
          <w:sz w:val="20"/>
        </w:rPr>
        <w:t xml:space="preserve">Revenue Recognition </w:t>
      </w:r>
    </w:p>
    <w:p>
      <w:pPr>
        <w:pStyle w:val="TextBody"/>
        <w:spacing w:before="90" w:after="0"/>
        <w:rPr>
          <w:rFonts w:ascii="Times New Roman" w:hAnsi="Times New Roman"/>
          <w:sz w:val="20"/>
        </w:rPr>
      </w:pPr>
      <w:r>
        <w:rPr>
          <w:rFonts w:ascii="Times New Roman" w:hAnsi="Times New Roman"/>
          <w:sz w:val="20"/>
        </w:rPr>
        <w:t xml:space="preserve">We recognize consumer loan fees related to loans we directly originate in accordance with state and provincial laws on the percentage of consumer loans made that we believe to be collectible. We earn credit service fees when we assist customers in obtaining consumer loans from unaffiliated lenders, and we recognize the fee revenue ratably over the life of the related loans. We reserve the percentage of interest and credit service fees we expect not to collect. Accrued fees related to defaulted loans reduce fee revenue upon loan default and increase fee revenue upon collection. </w:t>
      </w:r>
    </w:p>
    <w:p>
      <w:pPr>
        <w:pStyle w:val="TextBody"/>
        <w:spacing w:before="270" w:after="0"/>
        <w:rPr>
          <w:rFonts w:ascii="Times New Roman" w:hAnsi="Times New Roman"/>
          <w:i/>
          <w:sz w:val="20"/>
        </w:rPr>
      </w:pPr>
      <w:r>
        <w:rPr>
          <w:rFonts w:ascii="Times New Roman" w:hAnsi="Times New Roman"/>
          <w:i/>
          <w:sz w:val="20"/>
        </w:rPr>
        <w:t xml:space="preserve">Bad Debt Expense </w:t>
      </w:r>
    </w:p>
    <w:p>
      <w:pPr>
        <w:pStyle w:val="TextBody"/>
        <w:spacing w:before="90" w:after="0"/>
        <w:rPr>
          <w:rFonts w:ascii="Times New Roman" w:hAnsi="Times New Roman"/>
          <w:sz w:val="20"/>
        </w:rPr>
      </w:pPr>
      <w:r>
        <w:rPr>
          <w:rFonts w:ascii="Times New Roman" w:hAnsi="Times New Roman"/>
          <w:sz w:val="20"/>
        </w:rPr>
        <w:t xml:space="preserve">We consider a consumer loan defaulted if it has not been repaid or renewed, when applicable, by the maturity date. If one payment of an installment loan is delinquent, that one payment is considered defaulted. If more than one installment payment is delinquent at any time, the entire installment loan is considered defaulted. We charge loan principal of loans we directly originate to consumer loan bad debt. In Texas, we issue letters of credit to enhance the creditworthiness of our customers, which assure the lenders that if borrowers default on the loans, we will pay the lenders, upon demand, the principal and accrued interest owed to the lenders by the borrowers plus any insufficient fund fees. We charge amounts paid under letters of credit to consumer loan bad debt. In Mexico, we consider consumer loans defaulted if the customer is no longer employed and therefore Crediamigo is no longer entitled to receive payments via payroll withholdings. Once Crediamigo receives notice that the customers employment has been terminated, we charge the loan principal to consumer loan bad debt, leaving only active loans in the reported balance. We record recoveries of defaulted loans as a reduction of bad debt at the time of collection. After attempting collection of bad debts internally, we occasionally sell them to an unaffiliated company as another method of recovery, and record the proceeds from such sales as a reduction of bad debt at the time of the sale. </w:t>
      </w:r>
    </w:p>
    <w:p>
      <w:pPr>
        <w:pStyle w:val="TextBody"/>
        <w:spacing w:before="270" w:after="0"/>
        <w:rPr>
          <w:rFonts w:ascii="Times New Roman" w:hAnsi="Times New Roman"/>
          <w:i/>
          <w:sz w:val="20"/>
        </w:rPr>
      </w:pPr>
      <w:r>
        <w:rPr>
          <w:rFonts w:ascii="Times New Roman" w:hAnsi="Times New Roman"/>
          <w:i/>
          <w:sz w:val="20"/>
        </w:rPr>
        <w:t xml:space="preserve">Allowance for Losses </w:t>
      </w:r>
    </w:p>
    <w:p>
      <w:pPr>
        <w:pStyle w:val="TextBody"/>
        <w:spacing w:before="90" w:after="0"/>
        <w:rPr>
          <w:rFonts w:ascii="Times New Roman" w:hAnsi="Times New Roman"/>
          <w:sz w:val="20"/>
        </w:rPr>
      </w:pPr>
      <w:r>
        <w:rPr>
          <w:rFonts w:ascii="Times New Roman" w:hAnsi="Times New Roman"/>
          <w:sz w:val="20"/>
        </w:rPr>
        <w:t xml:space="preserve">We provide an allowance for losses on consumer loans that have not yet matured and related fees receivable, based on recent loan default experience adjusted for seasonal variations, and if applicable, the age of past-due loans and amounts we expect to receive through the sale of repossessed vehicles. The allowance for losses we expect to incur under letters of credit includes all amounts we expect to pay to the lenders upon loan default, including loan principal, accrued interest and insufficient funds fees. We charge any changes in the principal valuation allowance to consumer loan bad debt. We record changes in the fee receivable valuation allowance to consumer loan fee revenue. </w:t>
      </w:r>
    </w:p>
    <w:p>
      <w:pPr>
        <w:pStyle w:val="TextBody"/>
        <w:spacing w:before="270" w:after="0"/>
        <w:rPr>
          <w:rFonts w:ascii="Times New Roman" w:hAnsi="Times New Roman"/>
          <w:sz w:val="20"/>
          <w:u w:val="single"/>
        </w:rPr>
      </w:pPr>
      <w:r>
        <w:rPr>
          <w:rFonts w:ascii="Times New Roman" w:hAnsi="Times New Roman"/>
          <w:sz w:val="20"/>
          <w:u w:val="single"/>
        </w:rPr>
        <w:t xml:space="preserve">Derivative Instruments and Hedging Activities </w:t>
      </w:r>
    </w:p>
    <w:p>
      <w:pPr>
        <w:pStyle w:val="TextBody"/>
        <w:spacing w:before="90" w:after="0"/>
        <w:rPr>
          <w:rFonts w:ascii="Times New Roman" w:hAnsi="Times New Roman"/>
          <w:sz w:val="20"/>
        </w:rPr>
      </w:pPr>
      <w:r>
        <w:rPr>
          <w:rFonts w:ascii="Times New Roman" w:hAnsi="Times New Roman"/>
          <w:sz w:val="20"/>
        </w:rPr>
        <w:t xml:space="preserve">We record all derivative instruments according to Financial Accounting Standards Board (FASB) ASC 815-20-25, Derivatives and Hedging  Recognition. Accounting for changes in the fair value of derivatives is determined by the intended use of the derivative, whether it is designated as a hedge and whether the hedging relationship is effective in achieving offsetting changes for the risk being hedged. Derivatives designated to hedge the changes in the fair value of an asset, liability, or firm commitment due to an identified risk in the hedged item, such as interest rate risk or foreign currency exchange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cash flow hedge. We may enter into derivative contracts that are intended to economically hedge certain of our risks, even though hedge accounting does not apply or we elect not to apply hedge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acquire significant amounts of gold either through purchases or from forfeited pawn loan collateral and sell it to refiners. In our first fiscal quarter of 2012, we began using derivate financial instruments in order to manage our commodity price risk associated with the forecasted sales of gold scrap. From time to time, we purchase put options related to the future market price of gold, and simultaneously, we sell a call option for the same future period for a premium to offset the cost of the put. The combined put and call options, or collar, has the effect of providing us protection from the future downward gold price movement but also limits the extent we can participate in future upward price movement. These collars are not designated as hedges as they do not meet the hedge accounting requirements FASB ASC 851-20-25. The fair value of the derivative instruments is recognized in Prepaid expenses and other assets in the consolidated balance sheets and changes in fair value are recognized in Other in our consolidated statements of operations. </w:t>
      </w:r>
    </w:p>
    <w:p>
      <w:pPr>
        <w:pStyle w:val="TextBody"/>
        <w:spacing w:before="270" w:after="0"/>
        <w:rPr>
          <w:rFonts w:ascii="Times New Roman" w:hAnsi="Times New Roman"/>
          <w:sz w:val="20"/>
          <w:u w:val="single"/>
        </w:rPr>
      </w:pPr>
      <w:r>
        <w:rPr>
          <w:rFonts w:ascii="Times New Roman" w:hAnsi="Times New Roman"/>
          <w:sz w:val="20"/>
          <w:u w:val="single"/>
        </w:rPr>
        <w:t xml:space="preserve">Reclassifications </w:t>
      </w:r>
    </w:p>
    <w:p>
      <w:pPr>
        <w:pStyle w:val="TextBody"/>
        <w:spacing w:before="90" w:after="0"/>
        <w:rPr>
          <w:rFonts w:ascii="Times New Roman" w:hAnsi="Times New Roman"/>
          <w:sz w:val="20"/>
        </w:rPr>
      </w:pPr>
      <w:r>
        <w:rPr>
          <w:rFonts w:ascii="Times New Roman" w:hAnsi="Times New Roman"/>
          <w:sz w:val="20"/>
        </w:rPr>
        <w:t xml:space="preserve">Previously, we reported segment information based primarily on product offerings. Beginning with the second quarter of fiscal 2012, we redefined our reportable operating segments based on geography as our company is increasingly being organized and managed along geographic lines, with product offerings and channels based on local custom and regulation. For this reason, we concluded that segment reporting based on geography more closely aligns with our management organization and strategic direction. In connection with the new segment structure, we have changed the accountability for, and reporting of, certain costs including administrative, depreciation and amortization. When practical, these costs are allocated to segments. Interest is also allocated to operating segments when debt is incurred at the local country level and is non-recourse to EZCORP. Expenses that cannot be allocated are included as corporate expenses. </w:t>
      </w:r>
    </w:p>
    <w:p>
      <w:pPr>
        <w:pStyle w:val="TextBody"/>
        <w:spacing w:before="180" w:after="0"/>
        <w:rPr>
          <w:rFonts w:ascii="Times New Roman" w:hAnsi="Times New Roman"/>
          <w:sz w:val="20"/>
        </w:rPr>
      </w:pPr>
      <w:r>
        <w:rPr>
          <w:rFonts w:ascii="Times New Roman" w:hAnsi="Times New Roman"/>
          <w:sz w:val="20"/>
        </w:rPr>
        <w:t xml:space="preserve">In our second fiscal quarter of 2011,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 throughout managements discussion and analysis. </w:t>
      </w:r>
    </w:p>
    <w:p>
      <w:pPr>
        <w:pStyle w:val="TextBody"/>
        <w:spacing w:before="270" w:after="0"/>
        <w:rPr>
          <w:rFonts w:ascii="Times New Roman" w:hAnsi="Times New Roman"/>
          <w:sz w:val="20"/>
          <w:u w:val="single"/>
        </w:rPr>
      </w:pPr>
      <w:r>
        <w:rPr>
          <w:rFonts w:ascii="Times New Roman" w:hAnsi="Times New Roman"/>
          <w:sz w:val="20"/>
          <w:u w:val="single"/>
        </w:rPr>
        <w:t xml:space="preserve">Three Months Ended March 31, 2012 vs. Three Months Ended March 31, 2011 </w:t>
      </w:r>
    </w:p>
    <w:p>
      <w:pPr>
        <w:pStyle w:val="TextBody"/>
        <w:spacing w:before="90" w:after="0"/>
        <w:rPr>
          <w:rFonts w:ascii="Times New Roman" w:hAnsi="Times New Roman"/>
          <w:sz w:val="20"/>
        </w:rPr>
      </w:pPr>
      <w:r>
        <w:rPr>
          <w:rFonts w:ascii="Times New Roman" w:hAnsi="Times New Roman"/>
          <w:sz w:val="20"/>
        </w:rPr>
        <w:t xml:space="preserve">The following table presents selected, unaudited, consolidated financial data for our three-month periods ended March 31, 2012 and 2011 (the current quarter and prior quarter," respectively):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30"/>
        <w:gridCol w:w="308"/>
        <w:gridCol w:w="125"/>
        <w:gridCol w:w="706"/>
        <w:gridCol w:w="120"/>
        <w:gridCol w:w="308"/>
        <w:gridCol w:w="125"/>
        <w:gridCol w:w="705"/>
        <w:gridCol w:w="120"/>
        <w:gridCol w:w="308"/>
        <w:gridCol w:w="73"/>
        <w:gridCol w:w="635"/>
        <w:gridCol w:w="242"/>
      </w:tblGrid>
      <w:tr>
        <w:trPr/>
        <w:tc>
          <w:tcPr>
            <w:tcW w:w="643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643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08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08"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Percentage</w:t>
              <w:br/>
              <w:t>Change</w:t>
            </w:r>
          </w:p>
        </w:tc>
        <w:tc>
          <w:tcPr>
            <w:tcW w:w="242" w:type="dxa"/>
            <w:vMerge w:val="restart"/>
            <w:tcBorders/>
            <w:shd w:fill="auto" w:val="clear"/>
            <w:vAlign w:val="bottom"/>
          </w:tcPr>
          <w:p>
            <w:pPr>
              <w:pStyle w:val="TableContents"/>
              <w:spacing w:before="0" w:after="283"/>
              <w:rPr/>
            </w:pPr>
            <w:r>
              <w:rPr/>
              <w:t> </w:t>
            </w:r>
          </w:p>
        </w:tc>
      </w:tr>
      <w:tr>
        <w:trPr/>
        <w:tc>
          <w:tcPr>
            <w:tcW w:w="643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8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08" w:type="dxa"/>
            <w:gridSpan w:val="2"/>
            <w:vMerge w:val="continue"/>
            <w:tcBorders>
              <w:bottom w:val="single" w:sz="2" w:space="0" w:color="000000"/>
            </w:tcBorders>
            <w:shd w:fill="auto" w:val="clear"/>
            <w:tcMar>
              <w:bottom w:w="28" w:type="dxa"/>
            </w:tcMar>
            <w:vAlign w:val="bottom"/>
          </w:tcPr>
          <w:p>
            <w:pPr>
              <w:pStyle w:val="Normal"/>
              <w:rPr/>
            </w:pPr>
            <w:r>
              <w:rPr/>
            </w:r>
          </w:p>
        </w:tc>
        <w:tc>
          <w:tcPr>
            <w:tcW w:w="242" w:type="dxa"/>
            <w:vMerge w:val="continue"/>
            <w:tcBorders/>
            <w:shd w:fill="auto" w:val="clear"/>
            <w:vAlign w:val="bottom"/>
          </w:tcPr>
          <w:p>
            <w:pPr>
              <w:pStyle w:val="Normal"/>
              <w:rPr/>
            </w:pPr>
            <w:r>
              <w:rPr/>
            </w:r>
          </w:p>
        </w:tc>
      </w:tr>
      <w:tr>
        <w:trPr/>
        <w:tc>
          <w:tcPr>
            <w:tcW w:w="643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089"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08" w:type="dxa"/>
            <w:gridSpan w:val="2"/>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r>
      <w:tr>
        <w:trPr/>
        <w:tc>
          <w:tcPr>
            <w:tcW w:w="6430" w:type="dxa"/>
            <w:tcBorders/>
            <w:shd w:fill="CCEEFF" w:val="clear"/>
          </w:tcPr>
          <w:p>
            <w:pPr>
              <w:pStyle w:val="TableContents"/>
              <w:spacing w:before="0" w:after="283"/>
              <w:rPr>
                <w:rFonts w:ascii="Times New Roman" w:hAnsi="Times New Roman"/>
                <w:b/>
                <w:sz w:val="20"/>
              </w:rPr>
            </w:pPr>
            <w:r>
              <w:rPr>
                <w:rFonts w:ascii="Times New Roman" w:hAnsi="Times New Roman"/>
                <w:b/>
                <w:sz w:val="20"/>
              </w:rPr>
              <w:t>Revenues:</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635"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sz w:val="4"/>
                <w:szCs w:val="4"/>
              </w:rPr>
            </w:pPr>
            <w:r>
              <w:rPr>
                <w:sz w:val="4"/>
                <w:szCs w:val="4"/>
              </w:rPr>
            </w:r>
          </w:p>
        </w:tc>
      </w:tr>
      <w:tr>
        <w:trPr/>
        <w:tc>
          <w:tcPr>
            <w:tcW w:w="6430"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148,172</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125,768</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56,444</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46,769</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50,319</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1,343</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448.2</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r>
      <w:tr>
        <w:trPr/>
        <w:tc>
          <w:tcPr>
            <w:tcW w:w="6430"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256,278</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213,254</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88,190</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76,564</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r>
      <w:tr>
        <w:trPr/>
        <w:tc>
          <w:tcPr>
            <w:tcW w:w="6430"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161,622</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130,950</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r>
      <w:tr>
        <w:trPr/>
        <w:tc>
          <w:tcPr>
            <w:tcW w:w="6430" w:type="dxa"/>
            <w:tcBorders/>
            <w:shd w:fill="auto" w:val="clear"/>
          </w:tcPr>
          <w:p>
            <w:pPr>
              <w:pStyle w:val="TableContents"/>
              <w:spacing w:before="0" w:after="283"/>
              <w:rPr>
                <w:rFonts w:ascii="Times New Roman" w:hAnsi="Times New Roman"/>
                <w:b/>
                <w:sz w:val="20"/>
              </w:rPr>
            </w:pPr>
            <w:r>
              <w:rPr>
                <w:rFonts w:ascii="Times New Roman" w:hAnsi="Times New Roman"/>
                <w:b/>
                <w:sz w:val="20"/>
              </w:rPr>
              <w:t>Net income attributable to EZCORP, Inc.</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37,261</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u w:val="single"/>
        </w:rPr>
      </w:pPr>
      <w:r>
        <w:rPr>
          <w:rFonts w:ascii="Times New Roman" w:hAnsi="Times New Roman"/>
          <w:sz w:val="20"/>
          <w:u w:val="single"/>
        </w:rPr>
        <w:t xml:space="preserve">Six Months Ended March 31, 2012 vs. Six Months Ended March 31, 2011 </w:t>
      </w:r>
    </w:p>
    <w:p>
      <w:pPr>
        <w:pStyle w:val="TextBody"/>
        <w:spacing w:before="90" w:after="0"/>
        <w:rPr>
          <w:rFonts w:ascii="Times New Roman" w:hAnsi="Times New Roman"/>
          <w:sz w:val="20"/>
        </w:rPr>
      </w:pPr>
      <w:r>
        <w:rPr>
          <w:rFonts w:ascii="Times New Roman" w:hAnsi="Times New Roman"/>
          <w:sz w:val="20"/>
        </w:rPr>
        <w:t xml:space="preserve">The following table presents selected, unaudited, consolidated financial data for our six-month periods ended March 31, 2012 and 2011 (the current six-month period and prior six-month period, respectively ):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30"/>
        <w:gridCol w:w="308"/>
        <w:gridCol w:w="125"/>
        <w:gridCol w:w="706"/>
        <w:gridCol w:w="120"/>
        <w:gridCol w:w="308"/>
        <w:gridCol w:w="125"/>
        <w:gridCol w:w="705"/>
        <w:gridCol w:w="120"/>
        <w:gridCol w:w="308"/>
        <w:gridCol w:w="73"/>
        <w:gridCol w:w="635"/>
        <w:gridCol w:w="242"/>
      </w:tblGrid>
      <w:tr>
        <w:trPr/>
        <w:tc>
          <w:tcPr>
            <w:tcW w:w="643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643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08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08"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Percentage</w:t>
              <w:br/>
              <w:t>Change</w:t>
            </w:r>
          </w:p>
        </w:tc>
        <w:tc>
          <w:tcPr>
            <w:tcW w:w="242" w:type="dxa"/>
            <w:vMerge w:val="restart"/>
            <w:tcBorders/>
            <w:shd w:fill="auto" w:val="clear"/>
            <w:vAlign w:val="bottom"/>
          </w:tcPr>
          <w:p>
            <w:pPr>
              <w:pStyle w:val="TableContents"/>
              <w:spacing w:before="0" w:after="283"/>
              <w:rPr/>
            </w:pPr>
            <w:r>
              <w:rPr/>
              <w:t> </w:t>
            </w:r>
          </w:p>
        </w:tc>
      </w:tr>
      <w:tr>
        <w:trPr/>
        <w:tc>
          <w:tcPr>
            <w:tcW w:w="643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8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08" w:type="dxa"/>
            <w:gridSpan w:val="2"/>
            <w:vMerge w:val="continue"/>
            <w:tcBorders>
              <w:bottom w:val="single" w:sz="2" w:space="0" w:color="000000"/>
            </w:tcBorders>
            <w:shd w:fill="auto" w:val="clear"/>
            <w:tcMar>
              <w:bottom w:w="28" w:type="dxa"/>
            </w:tcMar>
            <w:vAlign w:val="bottom"/>
          </w:tcPr>
          <w:p>
            <w:pPr>
              <w:pStyle w:val="Normal"/>
              <w:rPr/>
            </w:pPr>
            <w:r>
              <w:rPr/>
            </w:r>
          </w:p>
        </w:tc>
        <w:tc>
          <w:tcPr>
            <w:tcW w:w="242" w:type="dxa"/>
            <w:vMerge w:val="continue"/>
            <w:tcBorders/>
            <w:shd w:fill="auto" w:val="clear"/>
            <w:vAlign w:val="bottom"/>
          </w:tcPr>
          <w:p>
            <w:pPr>
              <w:pStyle w:val="Normal"/>
              <w:rPr/>
            </w:pPr>
            <w:r>
              <w:rPr/>
            </w:r>
          </w:p>
        </w:tc>
      </w:tr>
      <w:tr>
        <w:trPr/>
        <w:tc>
          <w:tcPr>
            <w:tcW w:w="643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089"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08" w:type="dxa"/>
            <w:gridSpan w:val="2"/>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r>
      <w:tr>
        <w:trPr/>
        <w:tc>
          <w:tcPr>
            <w:tcW w:w="6430" w:type="dxa"/>
            <w:tcBorders/>
            <w:shd w:fill="CCEEFF" w:val="clear"/>
          </w:tcPr>
          <w:p>
            <w:pPr>
              <w:pStyle w:val="TableContents"/>
              <w:spacing w:before="0" w:after="283"/>
              <w:rPr>
                <w:rFonts w:ascii="Times New Roman" w:hAnsi="Times New Roman"/>
                <w:b/>
                <w:sz w:val="20"/>
              </w:rPr>
            </w:pPr>
            <w:r>
              <w:rPr>
                <w:rFonts w:ascii="Times New Roman" w:hAnsi="Times New Roman"/>
                <w:b/>
                <w:sz w:val="20"/>
              </w:rPr>
              <w:t>Revenues:</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635"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sz w:val="4"/>
                <w:szCs w:val="4"/>
              </w:rPr>
            </w:pPr>
            <w:r>
              <w:rPr>
                <w:sz w:val="4"/>
                <w:szCs w:val="4"/>
              </w:rPr>
            </w:r>
          </w:p>
        </w:tc>
      </w:tr>
      <w:tr>
        <w:trPr/>
        <w:tc>
          <w:tcPr>
            <w:tcW w:w="6430"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291,469</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248,313</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116,236</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96,579</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95,407</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86,782</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2,039</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402.2</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r>
      <w:tr>
        <w:trPr/>
        <w:tc>
          <w:tcPr>
            <w:tcW w:w="6430"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505,151</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432,080</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172,010</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150,130</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17,491</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r>
      <w:tr>
        <w:trPr/>
        <w:tc>
          <w:tcPr>
            <w:tcW w:w="6430"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315,650</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265,182</w:t>
            </w:r>
          </w:p>
        </w:tc>
        <w:tc>
          <w:tcPr>
            <w:tcW w:w="12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r>
      <w:tr>
        <w:trPr/>
        <w:tc>
          <w:tcPr>
            <w:tcW w:w="6430" w:type="dxa"/>
            <w:tcBorders/>
            <w:shd w:fill="auto" w:val="clear"/>
          </w:tcPr>
          <w:p>
            <w:pPr>
              <w:pStyle w:val="TableContents"/>
              <w:spacing w:before="0" w:after="283"/>
              <w:rPr>
                <w:rFonts w:ascii="Times New Roman" w:hAnsi="Times New Roman"/>
                <w:b/>
                <w:sz w:val="20"/>
              </w:rPr>
            </w:pPr>
            <w:r>
              <w:rPr>
                <w:rFonts w:ascii="Times New Roman" w:hAnsi="Times New Roman"/>
                <w:b/>
                <w:sz w:val="20"/>
              </w:rPr>
              <w:t>Net income attributable to EZCORP, Inc.</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2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2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3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r>
    </w:tbl>
    <w:p>
      <w:pPr>
        <w:pStyle w:val="TextBody"/>
        <w:spacing w:before="270" w:after="0"/>
        <w:rPr>
          <w:rFonts w:ascii="Times New Roman" w:hAnsi="Times New Roman"/>
          <w:b/>
          <w:i/>
          <w:sz w:val="20"/>
        </w:rPr>
      </w:pPr>
      <w:r>
        <w:rPr>
          <w:rFonts w:ascii="Times New Roman" w:hAnsi="Times New Roman"/>
          <w:b/>
          <w:i/>
          <w:sz w:val="20"/>
        </w:rPr>
        <w:t xml:space="preserve">Overview </w:t>
      </w:r>
    </w:p>
    <w:p>
      <w:pPr>
        <w:pStyle w:val="TextBody"/>
        <w:spacing w:before="90" w:after="0"/>
        <w:rPr>
          <w:rFonts w:ascii="Times New Roman" w:hAnsi="Times New Roman"/>
          <w:sz w:val="20"/>
        </w:rPr>
      </w:pPr>
      <w:r>
        <w:rPr>
          <w:rFonts w:ascii="Times New Roman" w:hAnsi="Times New Roman"/>
          <w:sz w:val="20"/>
        </w:rPr>
        <w:t xml:space="preserve">We are a leading provider of instant cash solutions. We provide collateralized, non-recourse loans, commonly known as pawn loans, and a variety of short-term consumer loans including payday loans, installment loans and auto title loans, and in Texas only, fee-based credit services to customers seeking loans. The acquisition of a 60% interest in Crediamigo marks our initial entry into the unsecured lending market in Mexico. Crediamigo has approximately 170 payroll withholding agreements with Mexican employers, primarily government and state agencies, and it provides long-term consumer loans to the agencies employees. </w:t>
      </w:r>
    </w:p>
    <w:p>
      <w:pPr>
        <w:pStyle w:val="TextBody"/>
        <w:spacing w:before="180" w:after="0"/>
        <w:rPr>
          <w:rFonts w:ascii="Times New Roman" w:hAnsi="Times New Roman"/>
          <w:sz w:val="20"/>
        </w:rPr>
      </w:pPr>
      <w:r>
        <w:rPr>
          <w:rFonts w:ascii="Times New Roman" w:hAnsi="Times New Roman"/>
          <w:sz w:val="20"/>
        </w:rPr>
        <w:t xml:space="preserve">At March 31, 2012, we operated a total of 1,220 locations, consisting of 455 U.S. pawn stores (operating primarily as EZPAWN or Value Pawn) and seven retail stores (operating as Cash Converters), 205 pawn stores in Mexico (operating as Empeño Fácil or Empeñe su Oro), 441 U.S. financial services stores (operating primarily as EZMONEY), 32 financial services stores in Canada (operating as CASHMAX ), 35 financial and retail services stores in Canada (operating as Cash Converters) and 45 Crediamigo locations in Mexico. In addition, we are the franchisor for 12 franchised Cash Converters stores in Canada. We also own almost 30% of Albemarle &amp; Bond Holdings, PLC, one of the U.K.s largest pawnbroking businesses with over 150 stores, and almost 33% of Cash Converters International Limited, which franchises and operates a worldwide network of over 600 locations that buy and sell second-hand merchandise and offer financial services. </w:t>
      </w:r>
    </w:p>
    <w:p>
      <w:pPr>
        <w:pStyle w:val="TextBody"/>
        <w:spacing w:before="180" w:after="0"/>
        <w:rPr>
          <w:rFonts w:ascii="Times New Roman" w:hAnsi="Times New Roman"/>
          <w:sz w:val="20"/>
        </w:rPr>
      </w:pPr>
      <w:r>
        <w:rPr>
          <w:rFonts w:ascii="Times New Roman" w:hAnsi="Times New Roman"/>
          <w:sz w:val="20"/>
        </w:rPr>
        <w:t xml:space="preserve">Our business consists of three reportable segments: The U.S. &amp; Canada segment, which includes all business activities in the United States and Canada; Latin America, which includes our Empeño Fácil Pawn operations and Crediamigo financial services operations in Mexico; and Other International segment, which currently includes our consumer loans online business in the U.K. and our equity interests in the net income of Albemarle &amp; Bond and Cash Converters International) </w:t>
      </w:r>
    </w:p>
    <w:p>
      <w:pPr>
        <w:pStyle w:val="TextBody"/>
        <w:spacing w:before="180" w:after="0"/>
        <w:rPr>
          <w:rFonts w:ascii="Times New Roman" w:hAnsi="Times New Roman"/>
          <w:sz w:val="20"/>
        </w:rPr>
      </w:pPr>
      <w:r>
        <w:rPr>
          <w:rFonts w:ascii="Times New Roman" w:hAnsi="Times New Roman"/>
          <w:sz w:val="20"/>
        </w:rPr>
        <w:t xml:space="preserve">The following tables present stores by segment: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26"/>
        <w:gridCol w:w="388"/>
        <w:gridCol w:w="73"/>
        <w:gridCol w:w="428"/>
        <w:gridCol w:w="125"/>
        <w:gridCol w:w="333"/>
        <w:gridCol w:w="78"/>
        <w:gridCol w:w="451"/>
        <w:gridCol w:w="120"/>
        <w:gridCol w:w="388"/>
        <w:gridCol w:w="154"/>
        <w:gridCol w:w="722"/>
        <w:gridCol w:w="120"/>
        <w:gridCol w:w="388"/>
        <w:gridCol w:w="89"/>
        <w:gridCol w:w="768"/>
        <w:gridCol w:w="125"/>
        <w:gridCol w:w="333"/>
        <w:gridCol w:w="124"/>
        <w:gridCol w:w="545"/>
        <w:gridCol w:w="127"/>
      </w:tblGrid>
      <w:tr>
        <w:trPr/>
        <w:tc>
          <w:tcPr>
            <w:tcW w:w="432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32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5364"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 2012</w:t>
            </w:r>
          </w:p>
        </w:tc>
        <w:tc>
          <w:tcPr>
            <w:tcW w:w="127" w:type="dxa"/>
            <w:tcBorders/>
            <w:shd w:fill="auto"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23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Company-owned Stores</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69"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5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 &amp;</w:t>
              <w:br/>
              <w:t>Canada</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Latin</w:t>
              <w:br/>
              <w:t>America</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w:t>
              <w:br/>
              <w:t>International</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6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Franchises</w:t>
            </w:r>
          </w:p>
        </w:tc>
        <w:tc>
          <w:tcPr>
            <w:tcW w:w="127" w:type="dxa"/>
            <w:tcBorders/>
            <w:shd w:fill="auto" w:val="clear"/>
            <w:vAlign w:val="bottom"/>
          </w:tcPr>
          <w:p>
            <w:pPr>
              <w:pStyle w:val="TableContents"/>
              <w:spacing w:before="0" w:after="283"/>
              <w:rPr/>
            </w:pPr>
            <w:r>
              <w:rPr/>
              <w:t> </w:t>
            </w:r>
          </w:p>
        </w:tc>
      </w:tr>
      <w:tr>
        <w:trPr/>
        <w:tc>
          <w:tcPr>
            <w:tcW w:w="4326" w:type="dxa"/>
            <w:tcBorders/>
            <w:shd w:fill="CCEEFF" w:val="clear"/>
          </w:tcPr>
          <w:p>
            <w:pPr>
              <w:pStyle w:val="TableContents"/>
              <w:spacing w:before="0" w:after="283"/>
              <w:rPr>
                <w:rFonts w:ascii="Times New Roman" w:hAnsi="Times New Roman"/>
                <w:sz w:val="20"/>
              </w:rPr>
            </w:pPr>
            <w:r>
              <w:rPr>
                <w:rFonts w:ascii="Times New Roman" w:hAnsi="Times New Roman"/>
                <w:sz w:val="20"/>
              </w:rPr>
              <w:t>Stores in operation:</w:t>
            </w:r>
          </w:p>
        </w:tc>
        <w:tc>
          <w:tcPr>
            <w:tcW w:w="38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45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72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76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4326" w:type="dxa"/>
            <w:tcBorders/>
            <w:shd w:fill="auto" w:val="clear"/>
          </w:tcPr>
          <w:p>
            <w:pPr>
              <w:pStyle w:val="TableContents"/>
              <w:spacing w:before="0" w:after="283"/>
              <w:rPr>
                <w:rFonts w:ascii="Times New Roman" w:hAnsi="Times New Roman"/>
                <w:sz w:val="20"/>
              </w:rPr>
            </w:pPr>
            <w:r>
              <w:rPr>
                <w:rFonts w:ascii="Times New Roman" w:hAnsi="Times New Roman"/>
                <w:sz w:val="20"/>
              </w:rPr>
              <w:t>Beginning of period</w:t>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1,142</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7" w:type="dxa"/>
            <w:tcBorders/>
            <w:shd w:fill="auto" w:val="clear"/>
            <w:vAlign w:val="bottom"/>
          </w:tcPr>
          <w:p>
            <w:pPr>
              <w:pStyle w:val="TableContents"/>
              <w:spacing w:before="0" w:after="283"/>
              <w:rPr/>
            </w:pPr>
            <w:r>
              <w:rPr/>
              <w:t>  </w:t>
            </w:r>
          </w:p>
        </w:tc>
      </w:tr>
      <w:tr>
        <w:trPr/>
        <w:tc>
          <w:tcPr>
            <w:tcW w:w="4326" w:type="dxa"/>
            <w:tcBorders/>
            <w:shd w:fill="CCEEFF" w:val="clear"/>
          </w:tcPr>
          <w:p>
            <w:pPr>
              <w:pStyle w:val="TableContents"/>
              <w:spacing w:before="0" w:after="283"/>
              <w:rPr>
                <w:rFonts w:ascii="Times New Roman" w:hAnsi="Times New Roman"/>
                <w:sz w:val="20"/>
              </w:rPr>
            </w:pPr>
            <w:r>
              <w:rPr>
                <w:rFonts w:ascii="Times New Roman" w:hAnsi="Times New Roman"/>
                <w:sz w:val="20"/>
              </w:rPr>
              <w:t>De novo</w:t>
            </w:r>
          </w:p>
        </w:tc>
        <w:tc>
          <w:tcPr>
            <w:tcW w:w="38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4326" w:type="dxa"/>
            <w:tcBorders/>
            <w:shd w:fill="auto" w:val="clear"/>
          </w:tcPr>
          <w:p>
            <w:pPr>
              <w:pStyle w:val="TableContents"/>
              <w:spacing w:before="0" w:after="283"/>
              <w:rPr>
                <w:rFonts w:ascii="Times New Roman" w:hAnsi="Times New Roman"/>
                <w:sz w:val="20"/>
              </w:rPr>
            </w:pPr>
            <w:r>
              <w:rPr>
                <w:rFonts w:ascii="Times New Roman" w:hAnsi="Times New Roman"/>
                <w:sz w:val="20"/>
              </w:rPr>
              <w:t>Acquired</w:t>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4326" w:type="dxa"/>
            <w:tcBorders/>
            <w:shd w:fill="CCEEFF" w:val="clear"/>
          </w:tcPr>
          <w:p>
            <w:pPr>
              <w:pStyle w:val="TableContents"/>
              <w:spacing w:before="0" w:after="283"/>
              <w:rPr>
                <w:rFonts w:ascii="Times New Roman" w:hAnsi="Times New Roman"/>
                <w:sz w:val="20"/>
              </w:rPr>
            </w:pPr>
            <w:r>
              <w:rPr>
                <w:rFonts w:ascii="Times New Roman" w:hAnsi="Times New Roman"/>
                <w:sz w:val="20"/>
              </w:rPr>
              <w:t>Sold, combined, or closed</w:t>
            </w:r>
          </w:p>
        </w:tc>
        <w:tc>
          <w:tcPr>
            <w:tcW w:w="38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42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283"/>
              <w:rPr/>
            </w:pPr>
            <w:r>
              <w:rPr/>
              <w:t> </w:t>
            </w:r>
          </w:p>
        </w:tc>
        <w:tc>
          <w:tcPr>
            <w:tcW w:w="45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7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283"/>
              <w:rPr/>
            </w:pPr>
            <w:r>
              <w:rPr/>
              <w:t> </w:t>
            </w:r>
          </w:p>
        </w:tc>
        <w:tc>
          <w:tcPr>
            <w:tcW w:w="76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326" w:type="dxa"/>
            <w:tcBorders/>
            <w:shd w:fill="auto" w:val="clear"/>
          </w:tcPr>
          <w:p>
            <w:pPr>
              <w:pStyle w:val="TableContents"/>
              <w:spacing w:before="0" w:after="283"/>
              <w:rPr>
                <w:rFonts w:ascii="Times New Roman" w:hAnsi="Times New Roman"/>
                <w:sz w:val="20"/>
              </w:rPr>
            </w:pPr>
            <w:r>
              <w:rPr>
                <w:rFonts w:ascii="Times New Roman" w:hAnsi="Times New Roman"/>
                <w:sz w:val="20"/>
              </w:rPr>
              <w:t>End of period</w:t>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7" w:type="dxa"/>
            <w:tcBorders/>
            <w:shd w:fill="auto"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double" w:sz="6" w:space="1" w:color="000000"/>
              </w:pBdr>
              <w:spacing w:before="0" w:after="283"/>
              <w:rPr/>
            </w:pPr>
            <w:r>
              <w:rPr/>
              <w:t> </w:t>
            </w:r>
          </w:p>
        </w:tc>
        <w:tc>
          <w:tcPr>
            <w:tcW w:w="42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double" w:sz="6" w:space="1" w:color="000000"/>
              </w:pBdr>
              <w:spacing w:before="0" w:after="283"/>
              <w:rPr/>
            </w:pPr>
            <w:r>
              <w:rPr/>
              <w:t> </w:t>
            </w:r>
          </w:p>
        </w:tc>
        <w:tc>
          <w:tcPr>
            <w:tcW w:w="45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double" w:sz="6" w:space="1" w:color="000000"/>
              </w:pBdr>
              <w:spacing w:before="0" w:after="283"/>
              <w:rPr/>
            </w:pPr>
            <w:r>
              <w:rPr/>
              <w:t> </w:t>
            </w:r>
          </w:p>
        </w:tc>
        <w:tc>
          <w:tcPr>
            <w:tcW w:w="72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double" w:sz="6" w:space="1" w:color="000000"/>
              </w:pBdr>
              <w:spacing w:before="0" w:after="283"/>
              <w:rPr/>
            </w:pPr>
            <w:r>
              <w:rPr/>
              <w:t> </w:t>
            </w:r>
          </w:p>
        </w:tc>
        <w:tc>
          <w:tcPr>
            <w:tcW w:w="76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322"/>
        <w:gridCol w:w="387"/>
        <w:gridCol w:w="73"/>
        <w:gridCol w:w="428"/>
        <w:gridCol w:w="125"/>
        <w:gridCol w:w="333"/>
        <w:gridCol w:w="78"/>
        <w:gridCol w:w="451"/>
        <w:gridCol w:w="120"/>
        <w:gridCol w:w="387"/>
        <w:gridCol w:w="155"/>
        <w:gridCol w:w="721"/>
        <w:gridCol w:w="120"/>
        <w:gridCol w:w="387"/>
        <w:gridCol w:w="89"/>
        <w:gridCol w:w="768"/>
        <w:gridCol w:w="125"/>
        <w:gridCol w:w="333"/>
        <w:gridCol w:w="124"/>
        <w:gridCol w:w="545"/>
        <w:gridCol w:w="134"/>
      </w:tblGrid>
      <w:tr>
        <w:trPr/>
        <w:tc>
          <w:tcPr>
            <w:tcW w:w="432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r>
      <w:tr>
        <w:trPr/>
        <w:tc>
          <w:tcPr>
            <w:tcW w:w="43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536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 2012</w:t>
            </w:r>
          </w:p>
        </w:tc>
        <w:tc>
          <w:tcPr>
            <w:tcW w:w="134" w:type="dxa"/>
            <w:tcBorders/>
            <w:shd w:fill="auto" w:val="clear"/>
            <w:vAlign w:val="bottom"/>
          </w:tcPr>
          <w:p>
            <w:pPr>
              <w:pStyle w:val="TableContents"/>
              <w:spacing w:before="0" w:after="283"/>
              <w:rPr/>
            </w:pPr>
            <w:r>
              <w:rPr/>
              <w:t> </w:t>
            </w:r>
          </w:p>
        </w:tc>
      </w:tr>
      <w:tr>
        <w:trPr/>
        <w:tc>
          <w:tcPr>
            <w:tcW w:w="43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4235"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Company-owned Stores</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69" w:type="dxa"/>
            <w:gridSpan w:val="2"/>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4322"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5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 &amp;</w:t>
              <w:br/>
              <w:t>Canada</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Latin</w:t>
              <w:br/>
              <w:t>America</w:t>
            </w:r>
          </w:p>
        </w:tc>
        <w:tc>
          <w:tcPr>
            <w:tcW w:w="12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w:t>
              <w:br/>
              <w:t>International</w:t>
            </w:r>
          </w:p>
        </w:tc>
        <w:tc>
          <w:tcPr>
            <w:tcW w:w="12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6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Franchises</w:t>
            </w:r>
          </w:p>
        </w:tc>
        <w:tc>
          <w:tcPr>
            <w:tcW w:w="134" w:type="dxa"/>
            <w:tcBorders/>
            <w:shd w:fill="auto" w:val="clear"/>
            <w:vAlign w:val="bottom"/>
          </w:tcPr>
          <w:p>
            <w:pPr>
              <w:pStyle w:val="TableContents"/>
              <w:spacing w:before="0" w:after="283"/>
              <w:rPr/>
            </w:pPr>
            <w:r>
              <w:rPr/>
              <w:t> </w:t>
            </w:r>
          </w:p>
        </w:tc>
      </w:tr>
      <w:tr>
        <w:trPr/>
        <w:tc>
          <w:tcPr>
            <w:tcW w:w="4322" w:type="dxa"/>
            <w:tcBorders/>
            <w:shd w:fill="CCEEFF" w:val="clear"/>
          </w:tcPr>
          <w:p>
            <w:pPr>
              <w:pStyle w:val="TableContents"/>
              <w:spacing w:before="0" w:after="283"/>
              <w:rPr>
                <w:rFonts w:ascii="Times New Roman" w:hAnsi="Times New Roman"/>
                <w:sz w:val="20"/>
              </w:rPr>
            </w:pPr>
            <w:r>
              <w:rPr>
                <w:rFonts w:ascii="Times New Roman" w:hAnsi="Times New Roman"/>
                <w:sz w:val="20"/>
              </w:rPr>
              <w:t>Stores in operation:</w:t>
            </w:r>
          </w:p>
        </w:tc>
        <w:tc>
          <w:tcPr>
            <w:tcW w:w="387"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45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72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76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322" w:type="dxa"/>
            <w:tcBorders/>
            <w:shd w:fill="auto" w:val="clear"/>
          </w:tcPr>
          <w:p>
            <w:pPr>
              <w:pStyle w:val="TableContents"/>
              <w:spacing w:before="0" w:after="283"/>
              <w:rPr>
                <w:rFonts w:ascii="Times New Roman" w:hAnsi="Times New Roman"/>
                <w:sz w:val="20"/>
              </w:rPr>
            </w:pPr>
            <w:r>
              <w:rPr>
                <w:rFonts w:ascii="Times New Roman" w:hAnsi="Times New Roman"/>
                <w:sz w:val="20"/>
              </w:rPr>
              <w:t>Beginning of period</w:t>
            </w:r>
          </w:p>
        </w:tc>
        <w:tc>
          <w:tcPr>
            <w:tcW w:w="38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933</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1,111</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34" w:type="dxa"/>
            <w:tcBorders/>
            <w:shd w:fill="auto" w:val="clear"/>
            <w:vAlign w:val="bottom"/>
          </w:tcPr>
          <w:p>
            <w:pPr>
              <w:pStyle w:val="TableContents"/>
              <w:spacing w:before="0" w:after="283"/>
              <w:rPr/>
            </w:pPr>
            <w:r>
              <w:rPr/>
              <w:t>  </w:t>
            </w:r>
          </w:p>
        </w:tc>
      </w:tr>
      <w:tr>
        <w:trPr/>
        <w:tc>
          <w:tcPr>
            <w:tcW w:w="4322" w:type="dxa"/>
            <w:tcBorders/>
            <w:shd w:fill="CCEEFF" w:val="clear"/>
          </w:tcPr>
          <w:p>
            <w:pPr>
              <w:pStyle w:val="TableContents"/>
              <w:spacing w:before="0" w:after="283"/>
              <w:rPr>
                <w:rFonts w:ascii="Times New Roman" w:hAnsi="Times New Roman"/>
                <w:sz w:val="20"/>
              </w:rPr>
            </w:pPr>
            <w:r>
              <w:rPr>
                <w:rFonts w:ascii="Times New Roman" w:hAnsi="Times New Roman"/>
                <w:sz w:val="20"/>
              </w:rPr>
              <w:t>De novo</w:t>
            </w:r>
          </w:p>
        </w:tc>
        <w:tc>
          <w:tcPr>
            <w:tcW w:w="387"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4" w:type="dxa"/>
            <w:tcBorders/>
            <w:shd w:fill="CCEEFF" w:val="clear"/>
            <w:vAlign w:val="bottom"/>
          </w:tcPr>
          <w:p>
            <w:pPr>
              <w:pStyle w:val="TableContents"/>
              <w:spacing w:before="0" w:after="283"/>
              <w:rPr/>
            </w:pPr>
            <w:r>
              <w:rPr/>
              <w:t>  </w:t>
            </w:r>
          </w:p>
        </w:tc>
      </w:tr>
      <w:tr>
        <w:trPr/>
        <w:tc>
          <w:tcPr>
            <w:tcW w:w="4322" w:type="dxa"/>
            <w:tcBorders/>
            <w:shd w:fill="auto" w:val="clear"/>
          </w:tcPr>
          <w:p>
            <w:pPr>
              <w:pStyle w:val="TableContents"/>
              <w:spacing w:before="0" w:after="283"/>
              <w:rPr>
                <w:rFonts w:ascii="Times New Roman" w:hAnsi="Times New Roman"/>
                <w:sz w:val="20"/>
              </w:rPr>
            </w:pPr>
            <w:r>
              <w:rPr>
                <w:rFonts w:ascii="Times New Roman" w:hAnsi="Times New Roman"/>
                <w:sz w:val="20"/>
              </w:rPr>
              <w:t>Acquired</w:t>
            </w:r>
          </w:p>
        </w:tc>
        <w:tc>
          <w:tcPr>
            <w:tcW w:w="38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4" w:type="dxa"/>
            <w:tcBorders/>
            <w:shd w:fill="auto" w:val="clear"/>
            <w:vAlign w:val="bottom"/>
          </w:tcPr>
          <w:p>
            <w:pPr>
              <w:pStyle w:val="TableContents"/>
              <w:spacing w:before="0" w:after="283"/>
              <w:rPr/>
            </w:pPr>
            <w:r>
              <w:rPr/>
              <w:t>  </w:t>
            </w:r>
          </w:p>
        </w:tc>
      </w:tr>
      <w:tr>
        <w:trPr/>
        <w:tc>
          <w:tcPr>
            <w:tcW w:w="4322" w:type="dxa"/>
            <w:tcBorders/>
            <w:shd w:fill="CCEEFF" w:val="clear"/>
          </w:tcPr>
          <w:p>
            <w:pPr>
              <w:pStyle w:val="TableContents"/>
              <w:spacing w:before="0" w:after="283"/>
              <w:rPr>
                <w:rFonts w:ascii="Times New Roman" w:hAnsi="Times New Roman"/>
                <w:sz w:val="20"/>
              </w:rPr>
            </w:pPr>
            <w:r>
              <w:rPr>
                <w:rFonts w:ascii="Times New Roman" w:hAnsi="Times New Roman"/>
                <w:sz w:val="20"/>
              </w:rPr>
              <w:t>Sold, combined, or closed</w:t>
            </w:r>
          </w:p>
        </w:tc>
        <w:tc>
          <w:tcPr>
            <w:tcW w:w="387"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22" w:type="dxa"/>
            <w:tcBorders/>
            <w:shd w:fill="auto" w:val="clear"/>
            <w:vAlign w:val="bottom"/>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42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283"/>
              <w:rPr/>
            </w:pPr>
            <w:r>
              <w:rPr/>
              <w:t> </w:t>
            </w:r>
          </w:p>
        </w:tc>
        <w:tc>
          <w:tcPr>
            <w:tcW w:w="45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283"/>
              <w:rPr/>
            </w:pPr>
            <w:r>
              <w:rPr/>
              <w:t> </w:t>
            </w:r>
          </w:p>
        </w:tc>
        <w:tc>
          <w:tcPr>
            <w:tcW w:w="72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283"/>
              <w:rPr/>
            </w:pPr>
            <w:r>
              <w:rPr/>
              <w:t> </w:t>
            </w:r>
          </w:p>
        </w:tc>
        <w:tc>
          <w:tcPr>
            <w:tcW w:w="76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322" w:type="dxa"/>
            <w:tcBorders/>
            <w:shd w:fill="auto" w:val="clear"/>
          </w:tcPr>
          <w:p>
            <w:pPr>
              <w:pStyle w:val="TableContents"/>
              <w:spacing w:before="0" w:after="283"/>
              <w:rPr>
                <w:rFonts w:ascii="Times New Roman" w:hAnsi="Times New Roman"/>
                <w:sz w:val="20"/>
              </w:rPr>
            </w:pPr>
            <w:r>
              <w:rPr>
                <w:rFonts w:ascii="Times New Roman" w:hAnsi="Times New Roman"/>
                <w:sz w:val="20"/>
              </w:rPr>
              <w:t>End of period</w:t>
            </w:r>
          </w:p>
        </w:tc>
        <w:tc>
          <w:tcPr>
            <w:tcW w:w="38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4" w:type="dxa"/>
            <w:tcBorders/>
            <w:shd w:fill="auto" w:val="clear"/>
            <w:vAlign w:val="bottom"/>
          </w:tcPr>
          <w:p>
            <w:pPr>
              <w:pStyle w:val="TableContents"/>
              <w:spacing w:before="0" w:after="283"/>
              <w:rPr/>
            </w:pPr>
            <w:r>
              <w:rPr/>
              <w:t>  </w:t>
            </w:r>
          </w:p>
        </w:tc>
      </w:tr>
      <w:tr>
        <w:trPr/>
        <w:tc>
          <w:tcPr>
            <w:tcW w:w="4322" w:type="dxa"/>
            <w:tcBorders/>
            <w:shd w:fill="auto" w:val="clear"/>
            <w:vAlign w:val="bottom"/>
          </w:tcPr>
          <w:p>
            <w:pPr>
              <w:pStyle w:val="TableContents"/>
              <w:spacing w:before="0" w:after="283"/>
              <w:rPr>
                <w:sz w:val="4"/>
                <w:szCs w:val="4"/>
              </w:rPr>
            </w:pPr>
            <w:r>
              <w:rPr>
                <w:sz w:val="4"/>
                <w:szCs w:val="4"/>
              </w:rPr>
            </w:r>
          </w:p>
        </w:tc>
        <w:tc>
          <w:tcPr>
            <w:tcW w:w="387"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double" w:sz="6" w:space="1" w:color="000000"/>
              </w:pBdr>
              <w:spacing w:before="0" w:after="283"/>
              <w:rPr/>
            </w:pPr>
            <w:r>
              <w:rPr/>
              <w:t> </w:t>
            </w:r>
          </w:p>
        </w:tc>
        <w:tc>
          <w:tcPr>
            <w:tcW w:w="42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double" w:sz="6" w:space="1" w:color="000000"/>
              </w:pBdr>
              <w:spacing w:before="0" w:after="283"/>
              <w:rPr/>
            </w:pPr>
            <w:r>
              <w:rPr/>
              <w:t> </w:t>
            </w:r>
          </w:p>
        </w:tc>
        <w:tc>
          <w:tcPr>
            <w:tcW w:w="45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283"/>
              <w:rPr/>
            </w:pPr>
            <w:r>
              <w:rPr/>
              <w:t> </w:t>
            </w:r>
          </w:p>
        </w:tc>
        <w:tc>
          <w:tcPr>
            <w:tcW w:w="72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double" w:sz="6" w:space="1" w:color="000000"/>
              </w:pBdr>
              <w:spacing w:before="0" w:after="283"/>
              <w:rPr/>
            </w:pPr>
            <w:r>
              <w:rPr/>
              <w:t> </w:t>
            </w:r>
          </w:p>
        </w:tc>
        <w:tc>
          <w:tcPr>
            <w:tcW w:w="76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26"/>
        <w:gridCol w:w="388"/>
        <w:gridCol w:w="73"/>
        <w:gridCol w:w="428"/>
        <w:gridCol w:w="125"/>
        <w:gridCol w:w="333"/>
        <w:gridCol w:w="78"/>
        <w:gridCol w:w="451"/>
        <w:gridCol w:w="120"/>
        <w:gridCol w:w="388"/>
        <w:gridCol w:w="154"/>
        <w:gridCol w:w="722"/>
        <w:gridCol w:w="120"/>
        <w:gridCol w:w="388"/>
        <w:gridCol w:w="89"/>
        <w:gridCol w:w="768"/>
        <w:gridCol w:w="125"/>
        <w:gridCol w:w="333"/>
        <w:gridCol w:w="124"/>
        <w:gridCol w:w="545"/>
        <w:gridCol w:w="127"/>
      </w:tblGrid>
      <w:tr>
        <w:trPr/>
        <w:tc>
          <w:tcPr>
            <w:tcW w:w="432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32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5364"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 2011</w:t>
            </w:r>
          </w:p>
        </w:tc>
        <w:tc>
          <w:tcPr>
            <w:tcW w:w="127" w:type="dxa"/>
            <w:tcBorders/>
            <w:shd w:fill="auto"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23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Company-owned Stores</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69"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5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 &amp;</w:t>
              <w:br/>
              <w:t>Canada</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Latin</w:t>
              <w:br/>
              <w:t>America</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w:t>
              <w:br/>
              <w:t>International</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6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Franchises</w:t>
            </w:r>
          </w:p>
        </w:tc>
        <w:tc>
          <w:tcPr>
            <w:tcW w:w="127" w:type="dxa"/>
            <w:tcBorders/>
            <w:shd w:fill="auto" w:val="clear"/>
            <w:vAlign w:val="bottom"/>
          </w:tcPr>
          <w:p>
            <w:pPr>
              <w:pStyle w:val="TableContents"/>
              <w:spacing w:before="0" w:after="283"/>
              <w:rPr/>
            </w:pPr>
            <w:r>
              <w:rPr/>
              <w:t> </w:t>
            </w:r>
          </w:p>
        </w:tc>
      </w:tr>
      <w:tr>
        <w:trPr/>
        <w:tc>
          <w:tcPr>
            <w:tcW w:w="4326" w:type="dxa"/>
            <w:tcBorders/>
            <w:shd w:fill="CCEEFF" w:val="clear"/>
          </w:tcPr>
          <w:p>
            <w:pPr>
              <w:pStyle w:val="TableContents"/>
              <w:spacing w:before="0" w:after="283"/>
              <w:rPr>
                <w:rFonts w:ascii="Times New Roman" w:hAnsi="Times New Roman"/>
                <w:sz w:val="20"/>
              </w:rPr>
            </w:pPr>
            <w:r>
              <w:rPr>
                <w:rFonts w:ascii="Times New Roman" w:hAnsi="Times New Roman"/>
                <w:sz w:val="20"/>
              </w:rPr>
              <w:t>Stores in operation:</w:t>
            </w:r>
          </w:p>
        </w:tc>
        <w:tc>
          <w:tcPr>
            <w:tcW w:w="38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45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72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76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4326" w:type="dxa"/>
            <w:tcBorders/>
            <w:shd w:fill="auto" w:val="clear"/>
          </w:tcPr>
          <w:p>
            <w:pPr>
              <w:pStyle w:val="TableContents"/>
              <w:spacing w:before="0" w:after="283"/>
              <w:rPr>
                <w:rFonts w:ascii="Times New Roman" w:hAnsi="Times New Roman"/>
                <w:sz w:val="20"/>
              </w:rPr>
            </w:pPr>
            <w:r>
              <w:rPr>
                <w:rFonts w:ascii="Times New Roman" w:hAnsi="Times New Roman"/>
                <w:sz w:val="20"/>
              </w:rPr>
              <w:t>Beginning of period</w:t>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1,032</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4326" w:type="dxa"/>
            <w:tcBorders/>
            <w:shd w:fill="CCEEFF" w:val="clear"/>
          </w:tcPr>
          <w:p>
            <w:pPr>
              <w:pStyle w:val="TableContents"/>
              <w:spacing w:before="0" w:after="283"/>
              <w:rPr>
                <w:rFonts w:ascii="Times New Roman" w:hAnsi="Times New Roman"/>
                <w:sz w:val="20"/>
              </w:rPr>
            </w:pPr>
            <w:r>
              <w:rPr>
                <w:rFonts w:ascii="Times New Roman" w:hAnsi="Times New Roman"/>
                <w:sz w:val="20"/>
              </w:rPr>
              <w:t>De novo</w:t>
            </w:r>
          </w:p>
        </w:tc>
        <w:tc>
          <w:tcPr>
            <w:tcW w:w="38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4326" w:type="dxa"/>
            <w:tcBorders/>
            <w:shd w:fill="auto" w:val="clear"/>
          </w:tcPr>
          <w:p>
            <w:pPr>
              <w:pStyle w:val="TableContents"/>
              <w:spacing w:before="0" w:after="283"/>
              <w:rPr>
                <w:rFonts w:ascii="Times New Roman" w:hAnsi="Times New Roman"/>
                <w:sz w:val="20"/>
              </w:rPr>
            </w:pPr>
            <w:r>
              <w:rPr>
                <w:rFonts w:ascii="Times New Roman" w:hAnsi="Times New Roman"/>
                <w:sz w:val="20"/>
              </w:rPr>
              <w:t>Acquired</w:t>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4326" w:type="dxa"/>
            <w:tcBorders/>
            <w:shd w:fill="CCEEFF" w:val="clear"/>
          </w:tcPr>
          <w:p>
            <w:pPr>
              <w:pStyle w:val="TableContents"/>
              <w:spacing w:before="0" w:after="283"/>
              <w:rPr>
                <w:rFonts w:ascii="Times New Roman" w:hAnsi="Times New Roman"/>
                <w:sz w:val="20"/>
              </w:rPr>
            </w:pPr>
            <w:r>
              <w:rPr>
                <w:rFonts w:ascii="Times New Roman" w:hAnsi="Times New Roman"/>
                <w:sz w:val="20"/>
              </w:rPr>
              <w:t>Sold, combined, or closed</w:t>
            </w:r>
          </w:p>
        </w:tc>
        <w:tc>
          <w:tcPr>
            <w:tcW w:w="38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42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283"/>
              <w:rPr/>
            </w:pPr>
            <w:r>
              <w:rPr/>
              <w:t> </w:t>
            </w:r>
          </w:p>
        </w:tc>
        <w:tc>
          <w:tcPr>
            <w:tcW w:w="45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7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283"/>
              <w:rPr/>
            </w:pPr>
            <w:r>
              <w:rPr/>
              <w:t> </w:t>
            </w:r>
          </w:p>
        </w:tc>
        <w:tc>
          <w:tcPr>
            <w:tcW w:w="76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326" w:type="dxa"/>
            <w:tcBorders/>
            <w:shd w:fill="auto" w:val="clear"/>
          </w:tcPr>
          <w:p>
            <w:pPr>
              <w:pStyle w:val="TableContents"/>
              <w:spacing w:before="0" w:after="283"/>
              <w:rPr>
                <w:rFonts w:ascii="Times New Roman" w:hAnsi="Times New Roman"/>
                <w:sz w:val="20"/>
              </w:rPr>
            </w:pPr>
            <w:r>
              <w:rPr>
                <w:rFonts w:ascii="Times New Roman" w:hAnsi="Times New Roman"/>
                <w:sz w:val="20"/>
              </w:rPr>
              <w:t>End of period</w:t>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1,057</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double" w:sz="6" w:space="1" w:color="000000"/>
              </w:pBdr>
              <w:spacing w:before="0" w:after="283"/>
              <w:rPr/>
            </w:pPr>
            <w:r>
              <w:rPr/>
              <w:t> </w:t>
            </w:r>
          </w:p>
        </w:tc>
        <w:tc>
          <w:tcPr>
            <w:tcW w:w="42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double" w:sz="6" w:space="1" w:color="000000"/>
              </w:pBdr>
              <w:spacing w:before="0" w:after="283"/>
              <w:rPr/>
            </w:pPr>
            <w:r>
              <w:rPr/>
              <w:t> </w:t>
            </w:r>
          </w:p>
        </w:tc>
        <w:tc>
          <w:tcPr>
            <w:tcW w:w="45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double" w:sz="6" w:space="1" w:color="000000"/>
              </w:pBdr>
              <w:spacing w:before="0" w:after="283"/>
              <w:rPr/>
            </w:pPr>
            <w:r>
              <w:rPr/>
              <w:t> </w:t>
            </w:r>
          </w:p>
        </w:tc>
        <w:tc>
          <w:tcPr>
            <w:tcW w:w="72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double" w:sz="6" w:space="1" w:color="000000"/>
              </w:pBdr>
              <w:spacing w:before="0" w:after="283"/>
              <w:rPr/>
            </w:pPr>
            <w:r>
              <w:rPr/>
              <w:t> </w:t>
            </w:r>
          </w:p>
        </w:tc>
        <w:tc>
          <w:tcPr>
            <w:tcW w:w="76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26"/>
        <w:gridCol w:w="388"/>
        <w:gridCol w:w="73"/>
        <w:gridCol w:w="428"/>
        <w:gridCol w:w="125"/>
        <w:gridCol w:w="333"/>
        <w:gridCol w:w="78"/>
        <w:gridCol w:w="451"/>
        <w:gridCol w:w="120"/>
        <w:gridCol w:w="388"/>
        <w:gridCol w:w="154"/>
        <w:gridCol w:w="722"/>
        <w:gridCol w:w="120"/>
        <w:gridCol w:w="388"/>
        <w:gridCol w:w="89"/>
        <w:gridCol w:w="768"/>
        <w:gridCol w:w="125"/>
        <w:gridCol w:w="333"/>
        <w:gridCol w:w="124"/>
        <w:gridCol w:w="545"/>
        <w:gridCol w:w="127"/>
      </w:tblGrid>
      <w:tr>
        <w:trPr/>
        <w:tc>
          <w:tcPr>
            <w:tcW w:w="432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32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5364"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 2011</w:t>
            </w:r>
          </w:p>
        </w:tc>
        <w:tc>
          <w:tcPr>
            <w:tcW w:w="127" w:type="dxa"/>
            <w:tcBorders/>
            <w:shd w:fill="auto"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23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Company-owned Stores</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69" w:type="dxa"/>
            <w:gridSpan w:val="2"/>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5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 &amp;</w:t>
              <w:br/>
              <w:t>Canada</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5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Latin</w:t>
              <w:br/>
              <w:t>America</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Other</w:t>
              <w:br/>
              <w:t>International</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Consolidated</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66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Franchises</w:t>
            </w:r>
          </w:p>
        </w:tc>
        <w:tc>
          <w:tcPr>
            <w:tcW w:w="127" w:type="dxa"/>
            <w:tcBorders/>
            <w:shd w:fill="auto" w:val="clear"/>
            <w:vAlign w:val="bottom"/>
          </w:tcPr>
          <w:p>
            <w:pPr>
              <w:pStyle w:val="TableContents"/>
              <w:spacing w:before="0" w:after="283"/>
              <w:rPr/>
            </w:pPr>
            <w:r>
              <w:rPr/>
              <w:t> </w:t>
            </w:r>
          </w:p>
        </w:tc>
      </w:tr>
      <w:tr>
        <w:trPr/>
        <w:tc>
          <w:tcPr>
            <w:tcW w:w="4326" w:type="dxa"/>
            <w:tcBorders/>
            <w:shd w:fill="CCEEFF" w:val="clear"/>
          </w:tcPr>
          <w:p>
            <w:pPr>
              <w:pStyle w:val="TableContents"/>
              <w:spacing w:before="0" w:after="283"/>
              <w:rPr>
                <w:rFonts w:ascii="Times New Roman" w:hAnsi="Times New Roman"/>
                <w:sz w:val="20"/>
              </w:rPr>
            </w:pPr>
            <w:r>
              <w:rPr>
                <w:rFonts w:ascii="Times New Roman" w:hAnsi="Times New Roman"/>
                <w:sz w:val="20"/>
              </w:rPr>
              <w:t>Stores in operation:</w:t>
            </w:r>
          </w:p>
        </w:tc>
        <w:tc>
          <w:tcPr>
            <w:tcW w:w="38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45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72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76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4326" w:type="dxa"/>
            <w:tcBorders/>
            <w:shd w:fill="auto" w:val="clear"/>
          </w:tcPr>
          <w:p>
            <w:pPr>
              <w:pStyle w:val="TableContents"/>
              <w:spacing w:before="0" w:after="283"/>
              <w:rPr>
                <w:rFonts w:ascii="Times New Roman" w:hAnsi="Times New Roman"/>
                <w:sz w:val="20"/>
              </w:rPr>
            </w:pPr>
            <w:r>
              <w:rPr>
                <w:rFonts w:ascii="Times New Roman" w:hAnsi="Times New Roman"/>
                <w:sz w:val="20"/>
              </w:rPr>
              <w:t>Beginning of period</w:t>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891</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1,006</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4326" w:type="dxa"/>
            <w:tcBorders/>
            <w:shd w:fill="CCEEFF" w:val="clear"/>
          </w:tcPr>
          <w:p>
            <w:pPr>
              <w:pStyle w:val="TableContents"/>
              <w:spacing w:before="0" w:after="283"/>
              <w:rPr>
                <w:rFonts w:ascii="Times New Roman" w:hAnsi="Times New Roman"/>
                <w:sz w:val="20"/>
              </w:rPr>
            </w:pPr>
            <w:r>
              <w:rPr>
                <w:rFonts w:ascii="Times New Roman" w:hAnsi="Times New Roman"/>
                <w:sz w:val="20"/>
              </w:rPr>
              <w:t>De novo</w:t>
            </w:r>
          </w:p>
        </w:tc>
        <w:tc>
          <w:tcPr>
            <w:tcW w:w="38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5"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4326" w:type="dxa"/>
            <w:tcBorders/>
            <w:shd w:fill="auto" w:val="clear"/>
          </w:tcPr>
          <w:p>
            <w:pPr>
              <w:pStyle w:val="TableContents"/>
              <w:spacing w:before="0" w:after="283"/>
              <w:rPr>
                <w:rFonts w:ascii="Times New Roman" w:hAnsi="Times New Roman"/>
                <w:sz w:val="20"/>
              </w:rPr>
            </w:pPr>
            <w:r>
              <w:rPr>
                <w:rFonts w:ascii="Times New Roman" w:hAnsi="Times New Roman"/>
                <w:sz w:val="20"/>
              </w:rPr>
              <w:t>Acquired</w:t>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4326" w:type="dxa"/>
            <w:tcBorders/>
            <w:shd w:fill="CCEEFF" w:val="clear"/>
          </w:tcPr>
          <w:p>
            <w:pPr>
              <w:pStyle w:val="TableContents"/>
              <w:spacing w:before="0" w:after="283"/>
              <w:rPr>
                <w:rFonts w:ascii="Times New Roman" w:hAnsi="Times New Roman"/>
                <w:sz w:val="20"/>
              </w:rPr>
            </w:pPr>
            <w:r>
              <w:rPr>
                <w:rFonts w:ascii="Times New Roman" w:hAnsi="Times New Roman"/>
                <w:sz w:val="20"/>
              </w:rPr>
              <w:t>Sold, combined, or closed</w:t>
            </w:r>
          </w:p>
        </w:tc>
        <w:tc>
          <w:tcPr>
            <w:tcW w:w="388"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42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283"/>
              <w:rPr/>
            </w:pPr>
            <w:r>
              <w:rPr/>
              <w:t> </w:t>
            </w:r>
          </w:p>
        </w:tc>
        <w:tc>
          <w:tcPr>
            <w:tcW w:w="45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283"/>
              <w:rPr/>
            </w:pPr>
            <w:r>
              <w:rPr/>
              <w:t> </w:t>
            </w:r>
          </w:p>
        </w:tc>
        <w:tc>
          <w:tcPr>
            <w:tcW w:w="722"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283"/>
              <w:rPr/>
            </w:pPr>
            <w:r>
              <w:rPr/>
              <w:t> </w:t>
            </w:r>
          </w:p>
        </w:tc>
        <w:tc>
          <w:tcPr>
            <w:tcW w:w="76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545"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326" w:type="dxa"/>
            <w:tcBorders/>
            <w:shd w:fill="auto" w:val="clear"/>
          </w:tcPr>
          <w:p>
            <w:pPr>
              <w:pStyle w:val="TableContents"/>
              <w:spacing w:before="0" w:after="283"/>
              <w:rPr>
                <w:rFonts w:ascii="Times New Roman" w:hAnsi="Times New Roman"/>
                <w:sz w:val="20"/>
              </w:rPr>
            </w:pPr>
            <w:r>
              <w:rPr>
                <w:rFonts w:ascii="Times New Roman" w:hAnsi="Times New Roman"/>
                <w:sz w:val="20"/>
              </w:rPr>
              <w:t>End of period</w:t>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910</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1,057</w:t>
            </w:r>
          </w:p>
        </w:tc>
        <w:tc>
          <w:tcPr>
            <w:tcW w:w="125"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4326"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double" w:sz="6" w:space="1" w:color="000000"/>
              </w:pBdr>
              <w:spacing w:before="0" w:after="283"/>
              <w:rPr/>
            </w:pPr>
            <w:r>
              <w:rPr/>
              <w:t> </w:t>
            </w:r>
          </w:p>
        </w:tc>
        <w:tc>
          <w:tcPr>
            <w:tcW w:w="42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double" w:sz="6" w:space="1" w:color="000000"/>
              </w:pBdr>
              <w:spacing w:before="0" w:after="283"/>
              <w:rPr/>
            </w:pPr>
            <w:r>
              <w:rPr/>
              <w:t> </w:t>
            </w:r>
          </w:p>
        </w:tc>
        <w:tc>
          <w:tcPr>
            <w:tcW w:w="45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double" w:sz="6" w:space="1" w:color="000000"/>
              </w:pBdr>
              <w:spacing w:before="0" w:after="283"/>
              <w:rPr/>
            </w:pPr>
            <w:r>
              <w:rPr/>
              <w:t> </w:t>
            </w:r>
          </w:p>
        </w:tc>
        <w:tc>
          <w:tcPr>
            <w:tcW w:w="722"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double" w:sz="6" w:space="1" w:color="000000"/>
              </w:pBdr>
              <w:spacing w:before="0" w:after="283"/>
              <w:rPr/>
            </w:pPr>
            <w:r>
              <w:rPr/>
              <w:t> </w:t>
            </w:r>
          </w:p>
        </w:tc>
        <w:tc>
          <w:tcPr>
            <w:tcW w:w="76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545"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sz w:val="20"/>
          <w:u w:val="single"/>
        </w:rPr>
      </w:pPr>
      <w:r>
        <w:rPr>
          <w:rFonts w:ascii="Times New Roman" w:hAnsi="Times New Roman"/>
          <w:sz w:val="20"/>
          <w:u w:val="single"/>
        </w:rPr>
        <w:t xml:space="preserve">Pawn and Retail Activities </w:t>
      </w:r>
    </w:p>
    <w:p>
      <w:pPr>
        <w:pStyle w:val="TextBody"/>
        <w:spacing w:before="90" w:after="0"/>
        <w:rPr>
          <w:rFonts w:ascii="Times New Roman" w:hAnsi="Times New Roman"/>
          <w:sz w:val="20"/>
        </w:rPr>
      </w:pPr>
      <w:r>
        <w:rPr>
          <w:rFonts w:ascii="Times New Roman" w:hAnsi="Times New Roman"/>
          <w:sz w:val="20"/>
        </w:rPr>
        <w:t xml:space="preserve">We earn pawn service charge revenues on our pawn lending. While allowable service charges vary by state and loan size, a majority of our U.S. pawn loans earn 20% per month. Our average U.S. pawn loan amount typically ranges between $135 and $145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$60 U.S. dollars. </w:t>
      </w:r>
    </w:p>
    <w:p>
      <w:pPr>
        <w:pStyle w:val="TextBody"/>
        <w:spacing w:before="180" w:after="0"/>
        <w:rPr>
          <w:rFonts w:ascii="Times New Roman" w:hAnsi="Times New Roman"/>
          <w:sz w:val="20"/>
        </w:rPr>
      </w:pPr>
      <w:r>
        <w:rPr>
          <w:rFonts w:ascii="Times New Roman" w:hAnsi="Times New Roman"/>
          <w:sz w:val="20"/>
        </w:rPr>
        <w:t xml:space="preserve">In our pawn stores, retail stores in Pennsylvania and Virginia and certain financial services stores in Canada, we acquire inventory for retail sales through pawn loan forfeitures, purchases of customers second hand merchandise or purchases of new or refurbished merchandise from third party vendors. The gross profit on sales of inventory depends primarily on our assessment of the loan or purchase value at the time the property is either accepted as loan collateral or purchased. Margins achieved upon sale of inventory are a function of the assessment of value at the time the pawn loan was originated or, in the case of purchased merchandise, the purchase price. </w:t>
      </w:r>
    </w:p>
    <w:p>
      <w:pPr>
        <w:pStyle w:val="TextBody"/>
        <w:spacing w:before="180" w:after="0"/>
        <w:rPr>
          <w:rFonts w:ascii="Times New Roman" w:hAnsi="Times New Roman"/>
          <w:sz w:val="20"/>
        </w:rPr>
      </w:pPr>
      <w:r>
        <w:rPr>
          <w:rFonts w:ascii="Times New Roman" w:hAnsi="Times New Roman"/>
          <w:sz w:val="20"/>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March 31, 2012, our total allowance was 6.5% of gross inventory compared to 9.1% at March 31, 2011 and 9.5% at September 30, 2011. Changes in the valuation allowance are charged to merchandise cost of goods sold.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u w:val="single"/>
        </w:rPr>
      </w:pPr>
      <w:r>
        <w:rPr>
          <w:rFonts w:ascii="Times New Roman" w:hAnsi="Times New Roman"/>
          <w:sz w:val="20"/>
          <w:u w:val="single"/>
        </w:rPr>
        <w:t xml:space="preserve">Consumer Loan Activities </w:t>
      </w:r>
    </w:p>
    <w:p>
      <w:pPr>
        <w:pStyle w:val="TextBody"/>
        <w:spacing w:before="90" w:after="0"/>
        <w:rPr>
          <w:rFonts w:ascii="Times New Roman" w:hAnsi="Times New Roman"/>
          <w:sz w:val="20"/>
        </w:rPr>
      </w:pPr>
      <w:r>
        <w:rPr>
          <w:rFonts w:ascii="Times New Roman" w:hAnsi="Times New Roman"/>
          <w:sz w:val="20"/>
        </w:rPr>
        <w:t xml:space="preserve">At March 31, 2012, 288 of our U.S. financial services stores and 25 of our U.S. pawn stores in Texas offered credit services to customers seeking short-term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two types of signature loans from the unaffiliated lenders. In all stores offering signature loan credit services, customers can obtain payday loans, with principal amounts up to $1,500 but averaging about $510. Terms of these loans are generally less than 30 days, averaging about 16 days, with due dates corresponding with the customers next payday. We typically earn a fee of 22% of the loan amount for our credit services offered in connection with payday loans. In the financial services stores offering credit services, customers can obtain longer-term unsecured installment loans from the unaffiliated lenders. There are two types of installment loans offered in connection with our credit services. All installment loans typically carry terms of about five months with ten equal installment payments, including principal amortization, due on customers paydays. Traditional installment loan principal amounts range from $1,525 to $3,000, but average about $2,085, and with each semi-monthly or bi-weekly installment payment, we earn a fee of 11% of the initial loan amount. Low dollar installment loan principal amounts range from $100 to $1,500, but average about $650. With each semi-monthly or bi-weekly installment payment, we earn a fee of 13-14% of the initial loan amount. At March 31, 2012, payday loans comprised 91% of the balance of signature loans brokered through our credit services, and installment loans comprised the remaining 9%. </w:t>
      </w:r>
    </w:p>
    <w:p>
      <w:pPr>
        <w:pStyle w:val="TextBody"/>
        <w:spacing w:before="180" w:after="0"/>
        <w:rPr>
          <w:rFonts w:ascii="Times New Roman" w:hAnsi="Times New Roman"/>
          <w:sz w:val="20"/>
        </w:rPr>
      </w:pPr>
      <w:r>
        <w:rPr>
          <w:rFonts w:ascii="Times New Roman" w:hAnsi="Times New Roman"/>
          <w:sz w:val="20"/>
        </w:rPr>
        <w:t xml:space="preserve">Outside of Texas, we earn loan fee revenue on our consumer loans. In 15 U.S. pawn stores, 79 U.S. financial services stores and 66 Canadian financial services stores we offer payday loans subject to state or provincial law. The average payday loan amount is approximately $440 and the term is generally less than 30 days, averaging about 16 days. We typically charge a fee of 15% to 22% of the loan amount. In 115 of our U.S. financial services stores and three U.S. pawn stores, we offer installment loans subject to state law. These installment loans carry a term of four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130% of the original principal amount of the loan. We began offering installment loans rather than payday loans in Colorado in August 2010, in Wisconsin in January 2011 and in Missouri in June 2011. Installment loan principal amounts range from $100 to $3,000, but average approximately $550. </w:t>
      </w:r>
    </w:p>
    <w:p>
      <w:pPr>
        <w:pStyle w:val="TextBody"/>
        <w:spacing w:before="180" w:after="0"/>
        <w:rPr>
          <w:rFonts w:ascii="Times New Roman" w:hAnsi="Times New Roman"/>
          <w:sz w:val="20"/>
        </w:rPr>
      </w:pPr>
      <w:r>
        <w:rPr>
          <w:rFonts w:ascii="Times New Roman" w:hAnsi="Times New Roman"/>
          <w:sz w:val="20"/>
        </w:rPr>
        <w:t xml:space="preserve">At March 31, 2012, 397 of our U.S. financial services stores and 44 of our U.S. pawn stores offered auto title loans or, in Texas, credit services to assist customers in obtaining auto title loans from unaffiliated lenders. Auto title loans are 30-day loans secured by the titles to customers automobiles. Loan principal amounts range from $100 to $10,000, but average about $830. We earn a fee of 12.5% to 25% of auto title loan amounts. </w:t>
      </w:r>
    </w:p>
    <w:p>
      <w:pPr>
        <w:pStyle w:val="TextBody"/>
        <w:spacing w:before="180" w:after="0"/>
        <w:rPr>
          <w:rFonts w:ascii="Times New Roman" w:hAnsi="Times New Roman"/>
          <w:sz w:val="20"/>
        </w:rPr>
      </w:pPr>
      <w:r>
        <w:rPr>
          <w:rFonts w:ascii="Times New Roman" w:hAnsi="Times New Roman"/>
          <w:sz w:val="20"/>
        </w:rPr>
        <w:t xml:space="preserve">In Mexico, Crediamigo offers installment consumer loans with typical annual yields of around 85% and collects interest and principal through payroll deductions. The average loan is approximately $1,200 with a term of 27 months. </w:t>
      </w:r>
    </w:p>
    <w:p>
      <w:pPr>
        <w:pStyle w:val="TextBody"/>
        <w:spacing w:before="270" w:after="0"/>
        <w:rPr>
          <w:rFonts w:ascii="Times New Roman" w:hAnsi="Times New Roman"/>
          <w:sz w:val="20"/>
          <w:u w:val="single"/>
        </w:rPr>
      </w:pPr>
      <w:r>
        <w:rPr>
          <w:rFonts w:ascii="Times New Roman" w:hAnsi="Times New Roman"/>
          <w:sz w:val="20"/>
          <w:u w:val="single"/>
        </w:rPr>
        <w:t xml:space="preserve">Acquisitions </w:t>
      </w:r>
    </w:p>
    <w:p>
      <w:pPr>
        <w:pStyle w:val="TextBody"/>
        <w:spacing w:before="90" w:after="0"/>
        <w:rPr>
          <w:rFonts w:ascii="Times New Roman" w:hAnsi="Times New Roman"/>
          <w:sz w:val="20"/>
        </w:rPr>
      </w:pPr>
      <w:r>
        <w:rPr>
          <w:rFonts w:ascii="Times New Roman" w:hAnsi="Times New Roman"/>
          <w:sz w:val="20"/>
        </w:rPr>
        <w:t xml:space="preserve">In the current quarter, we acquired 15 financial services stores located in the states of Hawaii and Texas for total consideration of $3.0 million in cash and the issuance of approximately 388,000 shares of EZCORP, Inc. stock valued at approximately $10.5 million. We also acquired a 60% interest in Crediamigo, a specialty consumer finance company headquartered in Mexico City, with 45 locations throughout the country for approximately $60.1 million. In the prior year quarter, we acquired five pawn stores located in Central and South Florida for approximately $17.8 million in cash. The results of all acquired stores have been consolidated with our results since their acquisition. </w:t>
      </w:r>
    </w:p>
    <w:p>
      <w:pPr>
        <w:pStyle w:val="TextBody"/>
        <w:spacing w:before="270" w:after="0"/>
        <w:rPr>
          <w:rFonts w:ascii="Times New Roman" w:hAnsi="Times New Roman"/>
          <w:sz w:val="20"/>
          <w:u w:val="single"/>
        </w:rPr>
      </w:pPr>
      <w:r>
        <w:rPr>
          <w:rFonts w:ascii="Times New Roman" w:hAnsi="Times New Roman"/>
          <w:sz w:val="20"/>
          <w:u w:val="single"/>
        </w:rPr>
        <w:t xml:space="preserve">Other </w:t>
      </w:r>
    </w:p>
    <w:p>
      <w:pPr>
        <w:pStyle w:val="TextBody"/>
        <w:spacing w:before="90" w:after="0"/>
        <w:rPr>
          <w:rFonts w:ascii="Times New Roman" w:hAnsi="Times New Roman"/>
          <w:sz w:val="20"/>
        </w:rPr>
      </w:pPr>
      <w:r>
        <w:rPr>
          <w:rFonts w:ascii="Times New Roman" w:hAnsi="Times New Roman"/>
          <w:sz w:val="20"/>
        </w:rPr>
        <w:t xml:space="preserve">Included in the results for the six-month period ended March 31, 2011 is a pre-tax administrative expense charge of $10.9 million related to the October 2010 retirement of our former Chief Executive Officer, including $3.4 million attributable to a cash payment and $7.5 million attributable to the vesting of restricted stock. The prior year quarter income tax expense reflects a $3.8 million tax benefit related to this charge.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Results of Operations </w:t>
      </w:r>
    </w:p>
    <w:p>
      <w:pPr>
        <w:pStyle w:val="TextBody"/>
        <w:spacing w:before="90" w:after="0"/>
        <w:rPr>
          <w:rFonts w:ascii="Times New Roman" w:hAnsi="Times New Roman"/>
          <w:sz w:val="20"/>
          <w:u w:val="single"/>
        </w:rPr>
      </w:pPr>
      <w:r>
        <w:rPr>
          <w:rFonts w:ascii="Times New Roman" w:hAnsi="Times New Roman"/>
          <w:sz w:val="20"/>
          <w:u w:val="single"/>
        </w:rPr>
        <w:t xml:space="preserve">Three Months Ended March 31, 2012 vs. Three Months Ended March 31, 2011 </w:t>
      </w:r>
    </w:p>
    <w:p>
      <w:pPr>
        <w:pStyle w:val="TextBody"/>
        <w:spacing w:before="90" w:after="0"/>
        <w:rPr>
          <w:rFonts w:ascii="Times New Roman" w:hAnsi="Times New Roman"/>
          <w:sz w:val="20"/>
        </w:rPr>
      </w:pPr>
      <w:r>
        <w:rPr>
          <w:rFonts w:ascii="Times New Roman" w:hAnsi="Times New Roman"/>
          <w:sz w:val="20"/>
        </w:rPr>
        <w:t xml:space="preserve">The following discussion compares our results of operations for the quarter ended March 31, 2012 to the quarter ended March 31, 2011. It should be read with the accompanying unaudited financial statements and related notes. </w:t>
      </w:r>
    </w:p>
    <w:p>
      <w:pPr>
        <w:pStyle w:val="TextBody"/>
        <w:spacing w:before="180" w:after="0"/>
        <w:rPr>
          <w:rFonts w:ascii="Times New Roman" w:hAnsi="Times New Roman"/>
          <w:sz w:val="20"/>
        </w:rPr>
      </w:pPr>
      <w:r>
        <w:rPr>
          <w:rFonts w:ascii="Times New Roman" w:hAnsi="Times New Roman"/>
          <w:sz w:val="20"/>
        </w:rPr>
        <w:t xml:space="preserve">In the current quarter, consolidated total revenues increased 20%, or $43.0 million, to $256.3 million, compared to the prior year quarter. Same store total revenues increased $9.1 million, or 4%, and new and acquired stores contributed $33.9 million. In the current quarter, segment contribution increased $9.9 million due to the $8.7 million and $1.4 million increases in contribution from the U.S. &amp; Canada and Latin America segments, partially offset by a $0.2 million decrease in contribution from the Other International segment. After a $1.4 million increase in administrative expenses, $0.4 million increase in depreciation and amortization, a $0.2 million increase in interest, and the $0.1 million in net income attributable to the noncontrolling interest, net income attributable to EZCORP, Inc. increased 17% to $37.3 million. </w:t>
      </w:r>
    </w:p>
    <w:p>
      <w:pPr>
        <w:pStyle w:val="TextBody"/>
        <w:spacing w:before="360" w:after="0"/>
        <w:jc w:val="center"/>
        <w:rPr>
          <w:rFonts w:ascii="Times New Roman" w:hAnsi="Times New Roman"/>
          <w:b/>
          <w:sz w:val="20"/>
        </w:rPr>
      </w:pPr>
      <w:r>
        <w:rPr>
          <w:rFonts w:ascii="Times New Roman" w:hAnsi="Times New Roman"/>
          <w:b/>
          <w:sz w:val="20"/>
        </w:rPr>
        <w:t xml:space="preserve">U.S. &amp; Canada </w:t>
      </w:r>
    </w:p>
    <w:p>
      <w:pPr>
        <w:pStyle w:val="TextBody"/>
        <w:spacing w:before="180" w:after="0"/>
        <w:rPr>
          <w:rFonts w:ascii="Times New Roman" w:hAnsi="Times New Roman"/>
          <w:sz w:val="20"/>
        </w:rPr>
      </w:pPr>
      <w:r>
        <w:rPr>
          <w:rFonts w:ascii="Times New Roman" w:hAnsi="Times New Roman"/>
          <w:sz w:val="20"/>
        </w:rPr>
        <w:t xml:space="preserve">The following table presents selected financial data for the U.S. &amp; Canada segment: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337"/>
        <w:gridCol w:w="497"/>
        <w:gridCol w:w="125"/>
        <w:gridCol w:w="696"/>
        <w:gridCol w:w="230"/>
        <w:gridCol w:w="448"/>
        <w:gridCol w:w="125"/>
        <w:gridCol w:w="696"/>
        <w:gridCol w:w="234"/>
      </w:tblGrid>
      <w:tr>
        <w:trPr/>
        <w:tc>
          <w:tcPr>
            <w:tcW w:w="633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6337"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232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w:t>
            </w:r>
          </w:p>
        </w:tc>
        <w:tc>
          <w:tcPr>
            <w:tcW w:w="234" w:type="dxa"/>
            <w:tcBorders/>
            <w:shd w:fill="auto" w:val="clear"/>
            <w:vAlign w:val="bottom"/>
          </w:tcPr>
          <w:p>
            <w:pPr>
              <w:pStyle w:val="TableContents"/>
              <w:spacing w:before="0" w:after="283"/>
              <w:rPr/>
            </w:pPr>
            <w:r>
              <w:rPr/>
              <w:t> </w:t>
            </w:r>
          </w:p>
        </w:tc>
      </w:tr>
      <w:tr>
        <w:trPr/>
        <w:tc>
          <w:tcPr>
            <w:tcW w:w="6337"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2012    </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234" w:type="dxa"/>
            <w:tcBorders/>
            <w:shd w:fill="auto" w:val="clear"/>
            <w:vAlign w:val="bottom"/>
          </w:tcPr>
          <w:p>
            <w:pPr>
              <w:pStyle w:val="TableContents"/>
              <w:spacing w:before="0" w:after="283"/>
              <w:rPr/>
            </w:pPr>
            <w:r>
              <w:rPr/>
              <w:t> </w:t>
            </w:r>
          </w:p>
        </w:tc>
      </w:tr>
      <w:tr>
        <w:trPr/>
        <w:tc>
          <w:tcPr>
            <w:tcW w:w="6337"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2320"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234" w:type="dxa"/>
            <w:tcBorders/>
            <w:shd w:fill="auto" w:val="clear"/>
            <w:vAlign w:val="bottom"/>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85,498</w:t>
            </w:r>
          </w:p>
        </w:tc>
        <w:tc>
          <w:tcPr>
            <w:tcW w:w="23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72,420</w:t>
            </w:r>
          </w:p>
        </w:tc>
        <w:tc>
          <w:tcPr>
            <w:tcW w:w="234" w:type="dxa"/>
            <w:tcBorders/>
            <w:shd w:fill="CCEEFF" w:val="clear"/>
            <w:vAlign w:val="bottom"/>
          </w:tcPr>
          <w:p>
            <w:pPr>
              <w:pStyle w:val="TableContents"/>
              <w:spacing w:before="0" w:after="283"/>
              <w:rPr/>
            </w:pPr>
            <w:r>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49,414</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44,351</w:t>
            </w:r>
          </w:p>
        </w:tc>
        <w:tc>
          <w:tcPr>
            <w:tcW w:w="234" w:type="dxa"/>
            <w:tcBorders/>
            <w:shd w:fill="auto" w:val="clear"/>
            <w:vAlign w:val="bottom"/>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50,505</w:t>
            </w:r>
          </w:p>
        </w:tc>
        <w:tc>
          <w:tcPr>
            <w:tcW w:w="23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43,073</w:t>
            </w:r>
          </w:p>
        </w:tc>
        <w:tc>
          <w:tcPr>
            <w:tcW w:w="234" w:type="dxa"/>
            <w:tcBorders/>
            <w:shd w:fill="CCEEFF" w:val="clear"/>
            <w:vAlign w:val="bottom"/>
          </w:tcPr>
          <w:p>
            <w:pPr>
              <w:pStyle w:val="TableContents"/>
              <w:spacing w:before="0" w:after="283"/>
              <w:rPr/>
            </w:pPr>
            <w:r>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42,806</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40,472</w:t>
            </w:r>
          </w:p>
        </w:tc>
        <w:tc>
          <w:tcPr>
            <w:tcW w:w="234" w:type="dxa"/>
            <w:tcBorders/>
            <w:shd w:fill="auto" w:val="clear"/>
            <w:vAlign w:val="bottom"/>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Other revenues</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1,219</w:t>
            </w:r>
          </w:p>
        </w:tc>
        <w:tc>
          <w:tcPr>
            <w:tcW w:w="23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234" w:type="dxa"/>
            <w:tcBorders/>
            <w:shd w:fill="CCEEFF" w:val="clear"/>
            <w:vAlign w:val="bottom"/>
          </w:tcPr>
          <w:p>
            <w:pPr>
              <w:pStyle w:val="TableContents"/>
              <w:spacing w:before="0" w:after="283"/>
              <w:rPr/>
            </w:pPr>
            <w:r>
              <w:rPr/>
              <w:t>  </w:t>
            </w:r>
          </w:p>
        </w:tc>
      </w:tr>
      <w:tr>
        <w:trPr/>
        <w:tc>
          <w:tcPr>
            <w:tcW w:w="6337"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229,442</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200,536</w:t>
            </w:r>
          </w:p>
        </w:tc>
        <w:tc>
          <w:tcPr>
            <w:tcW w:w="234" w:type="dxa"/>
            <w:tcBorders/>
            <w:shd w:fill="auto" w:val="clear"/>
            <w:vAlign w:val="bottom"/>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50,499</w:t>
            </w:r>
          </w:p>
        </w:tc>
        <w:tc>
          <w:tcPr>
            <w:tcW w:w="23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41,484</w:t>
            </w:r>
          </w:p>
        </w:tc>
        <w:tc>
          <w:tcPr>
            <w:tcW w:w="234" w:type="dxa"/>
            <w:tcBorders/>
            <w:shd w:fill="CCEEFF" w:val="clear"/>
            <w:vAlign w:val="bottom"/>
          </w:tcPr>
          <w:p>
            <w:pPr>
              <w:pStyle w:val="TableContents"/>
              <w:spacing w:before="0" w:after="283"/>
              <w:rPr/>
            </w:pPr>
            <w:r>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29,537</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28,848</w:t>
            </w:r>
          </w:p>
        </w:tc>
        <w:tc>
          <w:tcPr>
            <w:tcW w:w="234" w:type="dxa"/>
            <w:tcBorders/>
            <w:shd w:fill="auto" w:val="clear"/>
            <w:vAlign w:val="bottom"/>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5,878</w:t>
            </w:r>
          </w:p>
        </w:tc>
        <w:tc>
          <w:tcPr>
            <w:tcW w:w="23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5,740</w:t>
            </w:r>
          </w:p>
        </w:tc>
        <w:tc>
          <w:tcPr>
            <w:tcW w:w="234" w:type="dxa"/>
            <w:tcBorders/>
            <w:shd w:fill="CCEEFF" w:val="clear"/>
            <w:vAlign w:val="bottom"/>
          </w:tcPr>
          <w:p>
            <w:pPr>
              <w:pStyle w:val="TableContents"/>
              <w:spacing w:before="0" w:after="283"/>
              <w:rPr/>
            </w:pPr>
            <w:r>
              <w:rPr/>
              <w:t>  </w:t>
            </w:r>
          </w:p>
        </w:tc>
      </w:tr>
      <w:tr>
        <w:trPr/>
        <w:tc>
          <w:tcPr>
            <w:tcW w:w="6337"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143,528</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124,464</w:t>
            </w:r>
          </w:p>
        </w:tc>
        <w:tc>
          <w:tcPr>
            <w:tcW w:w="234" w:type="dxa"/>
            <w:tcBorders/>
            <w:shd w:fill="auto" w:val="clear"/>
            <w:vAlign w:val="bottom"/>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68,890</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61,196</w:t>
            </w:r>
          </w:p>
        </w:tc>
        <w:tc>
          <w:tcPr>
            <w:tcW w:w="234" w:type="dxa"/>
            <w:tcBorders/>
            <w:shd w:fill="auto" w:val="clear"/>
            <w:vAlign w:val="bottom"/>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5,424</w:t>
            </w:r>
          </w:p>
        </w:tc>
        <w:tc>
          <w:tcPr>
            <w:tcW w:w="23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4,407</w:t>
            </w:r>
          </w:p>
        </w:tc>
        <w:tc>
          <w:tcPr>
            <w:tcW w:w="234" w:type="dxa"/>
            <w:tcBorders/>
            <w:shd w:fill="CCEEFF" w:val="clear"/>
            <w:vAlign w:val="bottom"/>
          </w:tcPr>
          <w:p>
            <w:pPr>
              <w:pStyle w:val="TableContents"/>
              <w:spacing w:before="0" w:after="283"/>
              <w:rPr/>
            </w:pPr>
            <w:r>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3,524</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2,885</w:t>
            </w:r>
          </w:p>
        </w:tc>
        <w:tc>
          <w:tcPr>
            <w:tcW w:w="234" w:type="dxa"/>
            <w:tcBorders/>
            <w:shd w:fill="auto" w:val="clear"/>
            <w:vAlign w:val="bottom"/>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(Gain) loss on sale or disposal of assets</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23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791</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4" w:type="dxa"/>
            <w:tcBorders/>
            <w:shd w:fill="auto" w:val="clear"/>
            <w:vAlign w:val="bottom"/>
          </w:tcPr>
          <w:p>
            <w:pPr>
              <w:pStyle w:val="TableContents"/>
              <w:spacing w:before="0" w:after="283"/>
              <w:rPr/>
            </w:pPr>
            <w:r>
              <w:rPr/>
              <w:t>  </w:t>
            </w:r>
          </w:p>
        </w:tc>
      </w:tr>
      <w:tr>
        <w:trPr/>
        <w:tc>
          <w:tcPr>
            <w:tcW w:w="6337"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64,874</w:t>
            </w:r>
          </w:p>
        </w:tc>
        <w:tc>
          <w:tcPr>
            <w:tcW w:w="23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56,151</w:t>
            </w:r>
          </w:p>
        </w:tc>
        <w:tc>
          <w:tcPr>
            <w:tcW w:w="234" w:type="dxa"/>
            <w:tcBorders/>
            <w:shd w:fill="CCEEFF" w:val="clear"/>
            <w:vAlign w:val="bottom"/>
          </w:tcPr>
          <w:p>
            <w:pPr>
              <w:pStyle w:val="TableContents"/>
              <w:spacing w:before="0" w:after="283"/>
              <w:rPr/>
            </w:pPr>
            <w:r>
              <w:rPr/>
              <w:t>  </w:t>
            </w:r>
          </w:p>
        </w:tc>
      </w:tr>
      <w:tr>
        <w:trPr/>
        <w:tc>
          <w:tcPr>
            <w:tcW w:w="6337"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6" w:type="dxa"/>
            <w:tcBorders/>
            <w:shd w:fill="auto" w:val="clear"/>
            <w:vAlign w:val="bottom"/>
          </w:tcPr>
          <w:p>
            <w:pPr>
              <w:pStyle w:val="TableContents"/>
              <w:pBdr>
                <w:top w:val="double" w:sz="6"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6" w:type="dxa"/>
            <w:tcBorders/>
            <w:shd w:fill="auto" w:val="clear"/>
            <w:vAlign w:val="bottom"/>
          </w:tcPr>
          <w:p>
            <w:pPr>
              <w:pStyle w:val="TableContents"/>
              <w:pBdr>
                <w:top w:val="double" w:sz="6"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Other data:</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merchandise sales</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42.7</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jewelry scrapping sales</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total sales</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Average pawn loan balance per pawn store at period end</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w:t>
            </w:r>
          </w:p>
        </w:tc>
        <w:tc>
          <w:tcPr>
            <w:tcW w:w="23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w:t>
            </w:r>
          </w:p>
        </w:tc>
        <w:tc>
          <w:tcPr>
            <w:tcW w:w="234" w:type="dxa"/>
            <w:tcBorders/>
            <w:shd w:fill="auto" w:val="clear"/>
            <w:vAlign w:val="bottom"/>
          </w:tcPr>
          <w:p>
            <w:pPr>
              <w:pStyle w:val="TableContents"/>
              <w:spacing w:before="0" w:after="283"/>
              <w:rPr/>
            </w:pPr>
            <w:r>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yield on pawn loan portfolio (a)</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337" w:type="dxa"/>
            <w:tcBorders/>
            <w:shd w:fill="auto" w:val="clear"/>
          </w:tcPr>
          <w:p>
            <w:pPr>
              <w:pStyle w:val="TableContents"/>
              <w:spacing w:before="0" w:after="283"/>
              <w:rPr>
                <w:rFonts w:ascii="Times New Roman" w:hAnsi="Times New Roman"/>
                <w:sz w:val="20"/>
              </w:rPr>
            </w:pPr>
            <w:r>
              <w:rPr>
                <w:rFonts w:ascii="Times New Roman" w:hAnsi="Times New Roman"/>
                <w:sz w:val="20"/>
              </w:rPr>
              <w:t>Pawn loan redemption rate</w:t>
            </w:r>
          </w:p>
        </w:tc>
        <w:tc>
          <w:tcPr>
            <w:tcW w:w="4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337"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 as a percentage of consumer loan fees</w:t>
            </w:r>
          </w:p>
        </w:tc>
        <w:tc>
          <w:tcPr>
            <w:tcW w:w="4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Average yield on pawn loan portfolio is calculated as pawn service charge revenues for the period divided by the average pawn loan balance during the period.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U.S. &amp; Canada segment total revenues increased $28.9 million, or 14%, from the prior year quarter to $229.4 million. Same store total revenues increased $8.0 million, or 4%, and new and acquired stores net of closed stores contributed $20.9 million. In the current quarter, we acquired 15 financial services stores in the U.S. for $12.9 million. As part of this acquisition, we began operations in the state of Hawaii, bringing the total number of states in which we operate to 23 at March 31, 2012. </w:t>
      </w:r>
    </w:p>
    <w:p>
      <w:pPr>
        <w:pStyle w:val="TextBody"/>
        <w:spacing w:before="180" w:after="0"/>
        <w:rPr>
          <w:rFonts w:ascii="Times New Roman" w:hAnsi="Times New Roman"/>
          <w:sz w:val="20"/>
        </w:rPr>
      </w:pPr>
      <w:r>
        <w:rPr>
          <w:rFonts w:ascii="Times New Roman" w:hAnsi="Times New Roman"/>
          <w:sz w:val="20"/>
        </w:rPr>
        <w:t xml:space="preserve">Our current quarter pawn service charge revenue increased 17%, or $7.4 million, from the prior year quarter to $50.5 million. Same store pawn service charges increased $3.8 million, or 9%, with new and acquired stores net of closed stores contributing $3.6 million. The same store improvement was due to a 6% increase in average same store pawn loan balance. </w:t>
      </w:r>
    </w:p>
    <w:p>
      <w:pPr>
        <w:pStyle w:val="TextBody"/>
        <w:spacing w:before="180" w:after="0"/>
        <w:rPr>
          <w:rFonts w:ascii="Times New Roman" w:hAnsi="Times New Roman"/>
          <w:sz w:val="20"/>
        </w:rPr>
      </w:pPr>
      <w:r>
        <w:rPr>
          <w:rFonts w:ascii="Times New Roman" w:hAnsi="Times New Roman"/>
          <w:sz w:val="20"/>
        </w:rPr>
        <w:t xml:space="preserve">The current quarter merchandise sales gross profit increased $4.1 million, or 13%, from the prior year quarter to $35.0 million. This was due to $11.1 million in sales from new and acquired stores net of closed stores, a 3%, or $2.0 million increase in same store sales, partially offset by a 1.8 percentage point decrease in gross margins. The decrease in gross margins is due to a shift in sales mix from jewelry sales to general merchandise. On a same store basis, general merchandise sales were up 11% while jewelry sales were down 14%. </w:t>
      </w:r>
    </w:p>
    <w:p>
      <w:pPr>
        <w:pStyle w:val="TextBody"/>
        <w:spacing w:before="180" w:after="0"/>
        <w:rPr>
          <w:rFonts w:ascii="Times New Roman" w:hAnsi="Times New Roman"/>
          <w:sz w:val="20"/>
        </w:rPr>
      </w:pPr>
      <w:r>
        <w:rPr>
          <w:rFonts w:ascii="Times New Roman" w:hAnsi="Times New Roman"/>
          <w:sz w:val="20"/>
        </w:rPr>
        <w:t xml:space="preserve">Gross profit on jewelry scrapping sales increased $4.4 million, or 28%, from the prior year quarter to $19.9 million. Jewelry scrapping revenues increased $5.1 million, or 11%, due to a 21% increase in proceeds realized per gram of gold jewelry scrapped partially offset by a 15% decrease in gold volume. Same store jewelry scrapping sales remained relatively constant at $44.8 million and new and acquired stores contributed $4.6 million. Jewelry scrapping sales include the sale of approximately $4.0 million of loose diamonds removed from scrap jewelry in the current quarter and $0.7 million in the prior year quarter. Scrap cost of goods increased $0.7 million, or 2% as a result of the higher average cost per gram of jewelry scrapped, partially offset by the decrease in volume. </w:t>
      </w:r>
    </w:p>
    <w:p>
      <w:pPr>
        <w:pStyle w:val="TextBody"/>
        <w:spacing w:before="180" w:after="0"/>
        <w:rPr>
          <w:rFonts w:ascii="Times New Roman" w:hAnsi="Times New Roman"/>
          <w:sz w:val="20"/>
        </w:rPr>
      </w:pPr>
      <w:r>
        <w:rPr>
          <w:rFonts w:ascii="Times New Roman" w:hAnsi="Times New Roman"/>
          <w:sz w:val="20"/>
        </w:rPr>
        <w:t xml:space="preserve">Declining volume in both gold purchases and forfeited collateral from pawn loans resulted in the decline in gold scrapping volume in the quarter, continuing a trend that started in the third quarter of fiscal 2011. Within our US Pawn business, customers are increasingly using general merchandise rather than gold jewelry to satisfy their immediate cash needs. An increase in general merchandise forfeited collateral has the effect of slowing inventory turns and placing downward pressure on margins because, unlike gold jewelry, it cannot be cycled quickly through scrapping. </w:t>
      </w:r>
    </w:p>
    <w:p>
      <w:pPr>
        <w:pStyle w:val="TextBody"/>
        <w:spacing w:before="180" w:after="0"/>
        <w:rPr>
          <w:rFonts w:ascii="Times New Roman" w:hAnsi="Times New Roman"/>
          <w:sz w:val="20"/>
        </w:rPr>
      </w:pPr>
      <w:r>
        <w:rPr>
          <w:rFonts w:ascii="Times New Roman" w:hAnsi="Times New Roman"/>
          <w:sz w:val="20"/>
        </w:rPr>
        <w:t xml:space="preserve">The current quarters consumer loan fees increased 6%, or $2.3 million. Same store consumer loan fees increased $1.2 million, or 3%, with new and acquired stores net of closed stores contributing $1.1 million. Consumer loan bad debt as a percentage of fees remained flat at 14%. </w:t>
      </w:r>
    </w:p>
    <w:p>
      <w:pPr>
        <w:pStyle w:val="TextBody"/>
        <w:spacing w:before="180" w:after="0"/>
        <w:rPr>
          <w:rFonts w:ascii="Times New Roman" w:hAnsi="Times New Roman"/>
          <w:sz w:val="20"/>
        </w:rPr>
      </w:pPr>
      <w:r>
        <w:rPr>
          <w:rFonts w:ascii="Times New Roman" w:hAnsi="Times New Roman"/>
          <w:sz w:val="20"/>
        </w:rPr>
        <w:t xml:space="preserve">Total operations expense increased to $78.7 million (34% of revenues) in the current quarter from $68.3 million (34% of revenues). The dollar increase was due to a 13%, or $7.7 million, increase in store operations expenses due to higher operating costs resulting from new and acquired stores, a 23%, or $1.0 million increase in administrative expenses from the prior year quarter to $5.4 million mainly due to increased labor, benefits and additional investments made in infrastructure to support our growth, a 22%, or $0.6 million increase in depreciation and amortization from the prior year quarter to $3.5 million, mainly due to assets placed in service at new and acquired stores, a $0.9 million loss on the gold collar and other minor items. </w:t>
      </w:r>
    </w:p>
    <w:p>
      <w:pPr>
        <w:pStyle w:val="TextBody"/>
        <w:spacing w:before="180" w:after="0"/>
        <w:rPr>
          <w:rFonts w:ascii="Times New Roman" w:hAnsi="Times New Roman"/>
          <w:sz w:val="20"/>
        </w:rPr>
      </w:pPr>
      <w:r>
        <w:rPr>
          <w:rFonts w:ascii="Times New Roman" w:hAnsi="Times New Roman"/>
          <w:sz w:val="20"/>
        </w:rPr>
        <w:t xml:space="preserve">In the current quarter, the $8.4 million increase in total sales gross profit, the $7.4 million increase in pawn service charges, the $2.2 million higher consumer loan contribution, a $1.0 million increase in other revenues and the $10.3 million higher operations expense, resulted in an $8.7 million overall increase in contribution from the U.S. &amp; Canada segment. Contribution margin for the current quarter remained flat at 28%.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Latin America </w:t>
      </w:r>
    </w:p>
    <w:p>
      <w:pPr>
        <w:pStyle w:val="TextBody"/>
        <w:spacing w:before="180" w:after="0"/>
        <w:rPr>
          <w:rFonts w:ascii="Times New Roman" w:hAnsi="Times New Roman"/>
          <w:sz w:val="20"/>
        </w:rPr>
      </w:pPr>
      <w:r>
        <w:rPr>
          <w:rFonts w:ascii="Times New Roman" w:hAnsi="Times New Roman"/>
          <w:sz w:val="20"/>
        </w:rPr>
        <w:t xml:space="preserve">The following table presents selected financial data for the Latin America segment after translation to U.S. dollars from its functional currency of the Mexican peso: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160"/>
        <w:gridCol w:w="625"/>
        <w:gridCol w:w="134"/>
        <w:gridCol w:w="638"/>
        <w:gridCol w:w="247"/>
        <w:gridCol w:w="575"/>
        <w:gridCol w:w="134"/>
        <w:gridCol w:w="641"/>
        <w:gridCol w:w="234"/>
      </w:tblGrid>
      <w:tr>
        <w:trPr/>
        <w:tc>
          <w:tcPr>
            <w:tcW w:w="616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6160"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236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w:t>
            </w:r>
          </w:p>
        </w:tc>
        <w:tc>
          <w:tcPr>
            <w:tcW w:w="234" w:type="dxa"/>
            <w:tcBorders/>
            <w:shd w:fill="auto" w:val="clear"/>
            <w:vAlign w:val="bottom"/>
          </w:tcPr>
          <w:p>
            <w:pPr>
              <w:pStyle w:val="TableContents"/>
              <w:spacing w:before="0" w:after="283"/>
              <w:rPr/>
            </w:pPr>
            <w:r>
              <w:rPr/>
              <w:t> </w:t>
            </w:r>
          </w:p>
        </w:tc>
      </w:tr>
      <w:tr>
        <w:trPr/>
        <w:tc>
          <w:tcPr>
            <w:tcW w:w="6160"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772"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2012    </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775"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234" w:type="dxa"/>
            <w:tcBorders/>
            <w:shd w:fill="auto" w:val="clear"/>
            <w:vAlign w:val="bottom"/>
          </w:tcPr>
          <w:p>
            <w:pPr>
              <w:pStyle w:val="TableContents"/>
              <w:spacing w:before="0" w:after="283"/>
              <w:rPr/>
            </w:pPr>
            <w:r>
              <w:rPr/>
              <w:t> </w:t>
            </w:r>
          </w:p>
        </w:tc>
      </w:tr>
      <w:tr>
        <w:trPr/>
        <w:tc>
          <w:tcPr>
            <w:tcW w:w="6160"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2369"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234" w:type="dxa"/>
            <w:tcBorders/>
            <w:shd w:fill="auto" w:val="clear"/>
            <w:vAlign w:val="bottom"/>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9,499</w:t>
            </w:r>
          </w:p>
        </w:tc>
        <w:tc>
          <w:tcPr>
            <w:tcW w:w="247"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5,353</w:t>
            </w:r>
          </w:p>
        </w:tc>
        <w:tc>
          <w:tcPr>
            <w:tcW w:w="234" w:type="dxa"/>
            <w:tcBorders/>
            <w:shd w:fill="CCEEFF" w:val="clear"/>
            <w:vAlign w:val="bottom"/>
          </w:tcPr>
          <w:p>
            <w:pPr>
              <w:pStyle w:val="TableContents"/>
              <w:spacing w:before="0" w:after="283"/>
              <w:rPr/>
            </w:pPr>
            <w:r>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3,761</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3,644</w:t>
            </w:r>
          </w:p>
        </w:tc>
        <w:tc>
          <w:tcPr>
            <w:tcW w:w="234" w:type="dxa"/>
            <w:tcBorders/>
            <w:shd w:fill="auto" w:val="clear"/>
            <w:vAlign w:val="bottom"/>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5,939</w:t>
            </w:r>
          </w:p>
        </w:tc>
        <w:tc>
          <w:tcPr>
            <w:tcW w:w="247"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3,696</w:t>
            </w:r>
          </w:p>
        </w:tc>
        <w:tc>
          <w:tcPr>
            <w:tcW w:w="234" w:type="dxa"/>
            <w:tcBorders/>
            <w:shd w:fill="CCEEFF" w:val="clear"/>
            <w:vAlign w:val="bottom"/>
          </w:tcPr>
          <w:p>
            <w:pPr>
              <w:pStyle w:val="TableContents"/>
              <w:spacing w:before="0" w:after="283"/>
              <w:rPr/>
            </w:pPr>
            <w:r>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7,383</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Other revenues</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247"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234" w:type="dxa"/>
            <w:tcBorders/>
            <w:shd w:fill="CCEEFF" w:val="clear"/>
            <w:vAlign w:val="bottom"/>
          </w:tcPr>
          <w:p>
            <w:pPr>
              <w:pStyle w:val="TableContents"/>
              <w:spacing w:before="0" w:after="283"/>
              <w:rPr/>
            </w:pPr>
            <w:r>
              <w:rPr/>
              <w:t>  </w:t>
            </w:r>
          </w:p>
        </w:tc>
      </w:tr>
      <w:tr>
        <w:trPr/>
        <w:tc>
          <w:tcPr>
            <w:tcW w:w="6160" w:type="dxa"/>
            <w:tcBorders/>
            <w:shd w:fill="auto" w:val="clear"/>
            <w:vAlign w:val="bottom"/>
          </w:tcPr>
          <w:p>
            <w:pPr>
              <w:pStyle w:val="TableContents"/>
              <w:spacing w:before="0" w:after="283"/>
              <w:rPr>
                <w:sz w:val="4"/>
                <w:szCs w:val="4"/>
              </w:rPr>
            </w:pPr>
            <w:r>
              <w:rPr>
                <w:sz w:val="4"/>
                <w:szCs w:val="4"/>
              </w:rPr>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38" w:type="dxa"/>
            <w:tcBorders/>
            <w:shd w:fill="auto" w:val="clear"/>
            <w:vAlign w:val="bottom"/>
          </w:tcPr>
          <w:p>
            <w:pPr>
              <w:pStyle w:val="TableContents"/>
              <w:pBdr>
                <w:top w:val="single" w:sz="2" w:space="1" w:color="000000"/>
              </w:pBdr>
              <w:spacing w:before="0" w:after="283"/>
              <w:rPr/>
            </w:pPr>
            <w:r>
              <w:rPr/>
              <w:t> </w:t>
            </w:r>
          </w:p>
        </w:tc>
        <w:tc>
          <w:tcPr>
            <w:tcW w:w="247" w:type="dxa"/>
            <w:tcBorders/>
            <w:shd w:fill="auto" w:val="clear"/>
            <w:vAlign w:val="center"/>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4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26,706</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12,718</w:t>
            </w:r>
          </w:p>
        </w:tc>
        <w:tc>
          <w:tcPr>
            <w:tcW w:w="234" w:type="dxa"/>
            <w:tcBorders/>
            <w:shd w:fill="auto" w:val="clear"/>
            <w:vAlign w:val="bottom"/>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5,381</w:t>
            </w:r>
          </w:p>
        </w:tc>
        <w:tc>
          <w:tcPr>
            <w:tcW w:w="247"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3,155</w:t>
            </w:r>
          </w:p>
        </w:tc>
        <w:tc>
          <w:tcPr>
            <w:tcW w:w="234" w:type="dxa"/>
            <w:tcBorders/>
            <w:shd w:fill="CCEEFF" w:val="clear"/>
            <w:vAlign w:val="bottom"/>
          </w:tcPr>
          <w:p>
            <w:pPr>
              <w:pStyle w:val="TableContents"/>
              <w:spacing w:before="0" w:after="283"/>
              <w:rPr/>
            </w:pPr>
            <w:r>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2,773</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3,077</w:t>
            </w:r>
          </w:p>
        </w:tc>
        <w:tc>
          <w:tcPr>
            <w:tcW w:w="234" w:type="dxa"/>
            <w:tcBorders/>
            <w:shd w:fill="auto" w:val="clear"/>
            <w:vAlign w:val="bottom"/>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w:t>
            </w:r>
          </w:p>
        </w:tc>
        <w:tc>
          <w:tcPr>
            <w:tcW w:w="247"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r>
      <w:tr>
        <w:trPr/>
        <w:tc>
          <w:tcPr>
            <w:tcW w:w="6160" w:type="dxa"/>
            <w:tcBorders/>
            <w:shd w:fill="auto" w:val="clear"/>
            <w:vAlign w:val="bottom"/>
          </w:tcPr>
          <w:p>
            <w:pPr>
              <w:pStyle w:val="TableContents"/>
              <w:spacing w:before="0" w:after="283"/>
              <w:rPr>
                <w:sz w:val="4"/>
                <w:szCs w:val="4"/>
              </w:rPr>
            </w:pPr>
            <w:r>
              <w:rPr>
                <w:sz w:val="4"/>
                <w:szCs w:val="4"/>
              </w:rPr>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38" w:type="dxa"/>
            <w:tcBorders/>
            <w:shd w:fill="auto" w:val="clear"/>
            <w:vAlign w:val="bottom"/>
          </w:tcPr>
          <w:p>
            <w:pPr>
              <w:pStyle w:val="TableContents"/>
              <w:pBdr>
                <w:top w:val="single" w:sz="2" w:space="1" w:color="000000"/>
              </w:pBdr>
              <w:spacing w:before="0" w:after="283"/>
              <w:rPr/>
            </w:pPr>
            <w:r>
              <w:rPr/>
              <w:t> </w:t>
            </w:r>
          </w:p>
        </w:tc>
        <w:tc>
          <w:tcPr>
            <w:tcW w:w="247" w:type="dxa"/>
            <w:tcBorders/>
            <w:shd w:fill="auto" w:val="clear"/>
            <w:vAlign w:val="center"/>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4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18,044</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6,486</w:t>
            </w:r>
          </w:p>
        </w:tc>
        <w:tc>
          <w:tcPr>
            <w:tcW w:w="234" w:type="dxa"/>
            <w:tcBorders/>
            <w:shd w:fill="auto" w:val="clear"/>
            <w:vAlign w:val="bottom"/>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638"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sz w:val="4"/>
                <w:szCs w:val="4"/>
              </w:rPr>
            </w:pPr>
            <w:r>
              <w:rPr>
                <w:sz w:val="4"/>
                <w:szCs w:val="4"/>
              </w:rPr>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641"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8,211</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4,849</w:t>
            </w:r>
          </w:p>
        </w:tc>
        <w:tc>
          <w:tcPr>
            <w:tcW w:w="234" w:type="dxa"/>
            <w:tcBorders/>
            <w:shd w:fill="auto" w:val="clear"/>
            <w:vAlign w:val="bottom"/>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4,334</w:t>
            </w:r>
          </w:p>
        </w:tc>
        <w:tc>
          <w:tcPr>
            <w:tcW w:w="247"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1,079</w:t>
            </w:r>
          </w:p>
        </w:tc>
        <w:tc>
          <w:tcPr>
            <w:tcW w:w="234" w:type="dxa"/>
            <w:tcBorders/>
            <w:shd w:fill="CCEEFF" w:val="clear"/>
            <w:vAlign w:val="bottom"/>
          </w:tcPr>
          <w:p>
            <w:pPr>
              <w:pStyle w:val="TableContents"/>
              <w:spacing w:before="0" w:after="283"/>
              <w:rPr/>
            </w:pPr>
            <w:r>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2,397</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234" w:type="dxa"/>
            <w:tcBorders/>
            <w:shd w:fill="auto" w:val="clear"/>
            <w:vAlign w:val="bottom"/>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sale or disposal of assets</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47"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1,769</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34" w:type="dxa"/>
            <w:tcBorders/>
            <w:shd w:fill="auto" w:val="clear"/>
            <w:vAlign w:val="bottom"/>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247"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34" w:type="dxa"/>
            <w:tcBorders/>
            <w:shd w:fill="CCEEFF" w:val="clear"/>
            <w:vAlign w:val="bottom"/>
          </w:tcPr>
          <w:p>
            <w:pPr>
              <w:pStyle w:val="TableContents"/>
              <w:spacing w:before="0" w:after="283"/>
              <w:rPr/>
            </w:pPr>
            <w:r>
              <w:rPr/>
              <w:t>  </w:t>
            </w:r>
          </w:p>
        </w:tc>
      </w:tr>
      <w:tr>
        <w:trPr/>
        <w:tc>
          <w:tcPr>
            <w:tcW w:w="6160" w:type="dxa"/>
            <w:tcBorders/>
            <w:shd w:fill="auto" w:val="clear"/>
            <w:vAlign w:val="bottom"/>
          </w:tcPr>
          <w:p>
            <w:pPr>
              <w:pStyle w:val="TableContents"/>
              <w:spacing w:before="0" w:after="283"/>
              <w:rPr>
                <w:sz w:val="4"/>
                <w:szCs w:val="4"/>
              </w:rPr>
            </w:pPr>
            <w:r>
              <w:rPr>
                <w:sz w:val="4"/>
                <w:szCs w:val="4"/>
              </w:rPr>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38" w:type="dxa"/>
            <w:tcBorders/>
            <w:shd w:fill="auto" w:val="clear"/>
            <w:vAlign w:val="bottom"/>
          </w:tcPr>
          <w:p>
            <w:pPr>
              <w:pStyle w:val="TableContents"/>
              <w:pBdr>
                <w:top w:val="single" w:sz="2" w:space="1" w:color="000000"/>
              </w:pBdr>
              <w:spacing w:before="0" w:after="283"/>
              <w:rPr/>
            </w:pPr>
            <w:r>
              <w:rPr/>
              <w:t> </w:t>
            </w:r>
          </w:p>
        </w:tc>
        <w:tc>
          <w:tcPr>
            <w:tcW w:w="247" w:type="dxa"/>
            <w:tcBorders/>
            <w:shd w:fill="auto" w:val="clear"/>
            <w:vAlign w:val="center"/>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283"/>
              <w:rPr/>
            </w:pPr>
            <w:r>
              <w:rPr/>
              <w:t> </w:t>
            </w:r>
          </w:p>
        </w:tc>
        <w:tc>
          <w:tcPr>
            <w:tcW w:w="641"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1,320</w:t>
            </w:r>
          </w:p>
        </w:tc>
        <w:tc>
          <w:tcPr>
            <w:tcW w:w="24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60" w:type="dxa"/>
            <w:tcBorders/>
            <w:shd w:fill="auto" w:val="clear"/>
            <w:vAlign w:val="bottom"/>
          </w:tcPr>
          <w:p>
            <w:pPr>
              <w:pStyle w:val="TableContents"/>
              <w:spacing w:before="0" w:after="283"/>
              <w:rPr>
                <w:sz w:val="4"/>
                <w:szCs w:val="4"/>
              </w:rPr>
            </w:pPr>
            <w:r>
              <w:rPr>
                <w:sz w:val="4"/>
                <w:szCs w:val="4"/>
              </w:rPr>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283"/>
              <w:rPr/>
            </w:pPr>
            <w:r>
              <w:rPr/>
              <w:t> </w:t>
            </w:r>
          </w:p>
        </w:tc>
        <w:tc>
          <w:tcPr>
            <w:tcW w:w="638" w:type="dxa"/>
            <w:tcBorders/>
            <w:shd w:fill="auto" w:val="clear"/>
            <w:vAlign w:val="bottom"/>
          </w:tcPr>
          <w:p>
            <w:pPr>
              <w:pStyle w:val="TableContents"/>
              <w:pBdr>
                <w:top w:val="double" w:sz="6" w:space="1" w:color="000000"/>
              </w:pBdr>
              <w:spacing w:before="0" w:after="283"/>
              <w:rPr/>
            </w:pPr>
            <w:r>
              <w:rPr/>
              <w:t> </w:t>
            </w:r>
          </w:p>
        </w:tc>
        <w:tc>
          <w:tcPr>
            <w:tcW w:w="247" w:type="dxa"/>
            <w:tcBorders/>
            <w:shd w:fill="auto" w:val="clear"/>
            <w:vAlign w:val="center"/>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283"/>
              <w:rPr/>
            </w:pPr>
            <w:r>
              <w:rPr/>
              <w:t> </w:t>
            </w:r>
          </w:p>
        </w:tc>
        <w:tc>
          <w:tcPr>
            <w:tcW w:w="641" w:type="dxa"/>
            <w:tcBorders/>
            <w:shd w:fill="auto" w:val="clear"/>
            <w:vAlign w:val="bottom"/>
          </w:tcPr>
          <w:p>
            <w:pPr>
              <w:pStyle w:val="TableContents"/>
              <w:pBdr>
                <w:top w:val="double" w:sz="6"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Other data:</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638"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sz w:val="4"/>
                <w:szCs w:val="4"/>
              </w:rPr>
            </w:pPr>
            <w:r>
              <w:rPr>
                <w:sz w:val="4"/>
                <w:szCs w:val="4"/>
              </w:rPr>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sz w:val="4"/>
                <w:szCs w:val="4"/>
              </w:rPr>
            </w:pPr>
            <w:r>
              <w:rPr>
                <w:sz w:val="4"/>
                <w:szCs w:val="4"/>
              </w:rPr>
            </w:r>
          </w:p>
        </w:tc>
        <w:tc>
          <w:tcPr>
            <w:tcW w:w="641"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merchandise sales</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43.4</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jewelry scrapping sales</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total sales</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38.5</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pawn loan balance per pawn store at period end</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247"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234" w:type="dxa"/>
            <w:tcBorders/>
            <w:shd w:fill="CCEEFF" w:val="clear"/>
            <w:vAlign w:val="bottom"/>
          </w:tcPr>
          <w:p>
            <w:pPr>
              <w:pStyle w:val="TableContents"/>
              <w:spacing w:before="0" w:after="283"/>
              <w:rPr/>
            </w:pPr>
            <w:r>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Average yield on pawn loan portfolio (a)</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60" w:type="dxa"/>
            <w:tcBorders/>
            <w:shd w:fill="CCEEFF" w:val="clear"/>
          </w:tcPr>
          <w:p>
            <w:pPr>
              <w:pStyle w:val="TableContents"/>
              <w:spacing w:before="0" w:after="283"/>
              <w:rPr>
                <w:rFonts w:ascii="Times New Roman" w:hAnsi="Times New Roman"/>
                <w:sz w:val="20"/>
              </w:rPr>
            </w:pPr>
            <w:r>
              <w:rPr>
                <w:rFonts w:ascii="Times New Roman" w:hAnsi="Times New Roman"/>
                <w:sz w:val="20"/>
              </w:rPr>
              <w:t>Pawn loan redemption rate</w:t>
            </w:r>
          </w:p>
        </w:tc>
        <w:tc>
          <w:tcPr>
            <w:tcW w:w="6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6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160"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 as a percentage of consumer loan fees</w:t>
            </w:r>
          </w:p>
        </w:tc>
        <w:tc>
          <w:tcPr>
            <w:tcW w:w="62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4" w:type="dxa"/>
            <w:tcBorders/>
            <w:shd w:fill="auto"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Average yield on pawn loan portfolio is calculated as pawn service charge revenues for the period divided by the average pawn loan balance during the period. </w:t>
            </w:r>
          </w:p>
        </w:tc>
      </w:tr>
    </w:tbl>
    <w:p>
      <w:pPr>
        <w:pStyle w:val="TextBody"/>
        <w:spacing w:before="180" w:after="0"/>
        <w:rPr>
          <w:rFonts w:ascii="Times New Roman" w:hAnsi="Times New Roman"/>
          <w:sz w:val="20"/>
        </w:rPr>
      </w:pPr>
      <w:r>
        <w:rPr>
          <w:rFonts w:ascii="Times New Roman" w:hAnsi="Times New Roman"/>
          <w:sz w:val="20"/>
        </w:rPr>
        <w:t xml:space="preserve">The average exchange rate used to translate Latin Americas current quarter results from Mexican pesos to U.S. dollars was 13.0:1, 8% weaker than the prior year quarters rate of 12.1:1. Total revenues increased 110% in U.S. dollars and 120% in peso terms. Operating expenses increased 153% in U.S. dollars and 172% increase in peso terms. In the current quarter, we opened 13 de novo stores and on January 30, 2012, we acquired 60% interest in Crediamigo, a specialty consumer finance company headquartered in Mexico City, with 45 locations throughout Mexico for approximately $60.1 million. Crediamigo was included in our results for two months of the current quarter.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Latin America segment total revenues increased $14.0 million, or 110%, in the current quarter to $26.7 million. Same store total revenues increased $1.2 million, or 9%, and new and acquired stores contributed $12.8 million. The overall increase in total revenues was mostly due to a $4.3 million increase in merchandise and jewelry scrapping sales, a $2.2 million increase in pawn service charges and the inclusion of $7.4 million Crediamigo consumer loan fees. </w:t>
      </w:r>
    </w:p>
    <w:p>
      <w:pPr>
        <w:pStyle w:val="TextBody"/>
        <w:spacing w:before="180" w:after="0"/>
        <w:rPr>
          <w:rFonts w:ascii="Times New Roman" w:hAnsi="Times New Roman"/>
          <w:sz w:val="20"/>
        </w:rPr>
      </w:pPr>
      <w:r>
        <w:rPr>
          <w:rFonts w:ascii="Times New Roman" w:hAnsi="Times New Roman"/>
          <w:sz w:val="20"/>
        </w:rPr>
        <w:t xml:space="preserve">Latin Americas pawn service charge revenues increased $2.2 million, or 61%, in the current quarter to $5.9 million. Same store pawn service charges increased approximately $0.7 million, or 20%, and new and acquired stores contributed $1.5 million. The increase was due to a 47% increase in the average pawn loan balance during the current quarter coupled with a 17 percentage point increase in the pawn yield. The yield increased primarily due to a 4 percentage point increase in the loan redemption rate as we continued to focus on loan values. </w:t>
      </w:r>
    </w:p>
    <w:p>
      <w:pPr>
        <w:pStyle w:val="TextBody"/>
        <w:spacing w:before="180" w:after="0"/>
        <w:rPr>
          <w:rFonts w:ascii="Times New Roman" w:hAnsi="Times New Roman"/>
          <w:sz w:val="20"/>
        </w:rPr>
      </w:pPr>
      <w:r>
        <w:rPr>
          <w:rFonts w:ascii="Times New Roman" w:hAnsi="Times New Roman"/>
          <w:sz w:val="20"/>
        </w:rPr>
        <w:t xml:space="preserve">Merchandise gross profit increased $1.9 million, or 87%, from the prior year quarter to $4.1 million. The increase was due to a $1.2 million, or 23%, same store sales increase and $2.9 million in sales from new and acquired stores coupled with a 2.3 percentage point increase in gross margins to 43.4%. </w:t>
      </w:r>
    </w:p>
    <w:p>
      <w:pPr>
        <w:pStyle w:val="TextBody"/>
        <w:spacing w:before="180" w:after="0"/>
        <w:rPr>
          <w:rFonts w:ascii="Times New Roman" w:hAnsi="Times New Roman"/>
          <w:sz w:val="20"/>
        </w:rPr>
      </w:pPr>
      <w:r>
        <w:rPr>
          <w:rFonts w:ascii="Times New Roman" w:hAnsi="Times New Roman"/>
          <w:sz w:val="20"/>
        </w:rPr>
        <w:t xml:space="preserve">Gross profit on jewelry scrapping sales increased $0.4 million, or 74%, from the prior year quarter to $1.0 million. Jewelry scrapping revenues stayed relatively constant at $3.7 million, as the 19% decrease in gold volume was mostly offset by a 23% increase in proceeds realized per gram of gold jewelry scrapped. Same store jewelry scrapping sales decreased $0.8 million, or 23%, and new and acquired stores contributed $0.9 million. Scrap cost of goods decreased $0.3 million or 10%. </w:t>
      </w:r>
    </w:p>
    <w:p>
      <w:pPr>
        <w:pStyle w:val="TextBody"/>
        <w:spacing w:before="180" w:after="0"/>
        <w:rPr>
          <w:rFonts w:ascii="Times New Roman" w:hAnsi="Times New Roman"/>
          <w:sz w:val="20"/>
        </w:rPr>
      </w:pPr>
      <w:r>
        <w:rPr>
          <w:rFonts w:ascii="Times New Roman" w:hAnsi="Times New Roman"/>
          <w:sz w:val="20"/>
        </w:rPr>
        <w:t xml:space="preserve">The Crediamigo acquisition marks our initial entry into the non-secured loan business in Mexico. In the current quarter, bad debt as a percentage of consumer loan fees was 7%. </w:t>
      </w:r>
    </w:p>
    <w:p>
      <w:pPr>
        <w:pStyle w:val="TextBody"/>
        <w:spacing w:before="180" w:after="0"/>
        <w:rPr>
          <w:rFonts w:ascii="Times New Roman" w:hAnsi="Times New Roman"/>
          <w:sz w:val="20"/>
        </w:rPr>
      </w:pPr>
      <w:r>
        <w:rPr>
          <w:rFonts w:ascii="Times New Roman" w:hAnsi="Times New Roman"/>
          <w:sz w:val="20"/>
        </w:rPr>
        <w:t xml:space="preserve">Total operations expense increased to $16.7 million (63% of revenues) in the current quarter from $6.6 million (63% of revenues). The dollar increase was due to a 69%, or $3.4 million, increase in store operations expenses due to higher operating costs resulting from the addition of 58 Empeño Fácil stores since the prior year quarter and $1.3 million related to Crediamigo commissions, a $3.3 million increase in administrative expenses from the prior year quarter to $4.3 million mainly due to Crediamigo administrative expenses and other acquisition costs, a $1.7 million increase in depreciation and amortization from the prior year quarter to $2.4 million, mainly due to depreciation of assets placed in service at new stores and amortization of acquisition related intangible assets, and $1.8 million of interest expense related to Crediamigos debt. </w:t>
      </w:r>
    </w:p>
    <w:p>
      <w:pPr>
        <w:pStyle w:val="TextBody"/>
        <w:spacing w:before="180" w:after="0"/>
        <w:rPr>
          <w:rFonts w:ascii="Times New Roman" w:hAnsi="Times New Roman"/>
          <w:sz w:val="20"/>
        </w:rPr>
      </w:pPr>
      <w:r>
        <w:rPr>
          <w:rFonts w:ascii="Times New Roman" w:hAnsi="Times New Roman"/>
          <w:sz w:val="20"/>
        </w:rPr>
        <w:t xml:space="preserve">In the current quarter, the $11.5 million greater net revenues were mostly offset by the $10.1 million higher operations expense, resulting in a $1.4 million increase in contribution for the Latin America segment. Contribution margin increased 6.0 percentage points to 5% from the prior quarter.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Other International </w:t>
      </w:r>
    </w:p>
    <w:p>
      <w:pPr>
        <w:pStyle w:val="TextBody"/>
        <w:spacing w:before="180" w:after="0"/>
        <w:rPr>
          <w:rFonts w:ascii="Times New Roman" w:hAnsi="Times New Roman"/>
          <w:sz w:val="20"/>
        </w:rPr>
      </w:pPr>
      <w:r>
        <w:rPr>
          <w:rFonts w:ascii="Times New Roman" w:hAnsi="Times New Roman"/>
          <w:sz w:val="20"/>
        </w:rPr>
        <w:t xml:space="preserve">The following table presents selected financial data for the Other International segment: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226"/>
        <w:gridCol w:w="636"/>
        <w:gridCol w:w="141"/>
        <w:gridCol w:w="629"/>
        <w:gridCol w:w="261"/>
        <w:gridCol w:w="595"/>
        <w:gridCol w:w="141"/>
        <w:gridCol w:w="631"/>
        <w:gridCol w:w="128"/>
      </w:tblGrid>
      <w:tr>
        <w:trPr/>
        <w:tc>
          <w:tcPr>
            <w:tcW w:w="622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6226"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pPr>
            <w:r>
              <w:rPr/>
              <w:t>  </w:t>
            </w:r>
          </w:p>
        </w:tc>
        <w:tc>
          <w:tcPr>
            <w:tcW w:w="239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w:t>
            </w:r>
          </w:p>
        </w:tc>
        <w:tc>
          <w:tcPr>
            <w:tcW w:w="128" w:type="dxa"/>
            <w:tcBorders/>
            <w:shd w:fill="auto" w:val="clear"/>
            <w:vAlign w:val="bottom"/>
          </w:tcPr>
          <w:p>
            <w:pPr>
              <w:pStyle w:val="TableContents"/>
              <w:spacing w:before="0" w:after="283"/>
              <w:rPr/>
            </w:pPr>
            <w:r>
              <w:rPr/>
              <w:t> </w:t>
            </w:r>
          </w:p>
        </w:tc>
      </w:tr>
      <w:tr>
        <w:trPr/>
        <w:tc>
          <w:tcPr>
            <w:tcW w:w="6226"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pPr>
            <w:r>
              <w:rPr/>
              <w:t>  </w:t>
            </w:r>
          </w:p>
        </w:tc>
        <w:tc>
          <w:tcPr>
            <w:tcW w:w="770"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2012    </w:t>
            </w:r>
          </w:p>
        </w:tc>
        <w:tc>
          <w:tcPr>
            <w:tcW w:w="26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772"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128" w:type="dxa"/>
            <w:tcBorders/>
            <w:shd w:fill="auto" w:val="clear"/>
            <w:vAlign w:val="bottom"/>
          </w:tcPr>
          <w:p>
            <w:pPr>
              <w:pStyle w:val="TableContents"/>
              <w:spacing w:before="0" w:after="283"/>
              <w:rPr/>
            </w:pPr>
            <w:r>
              <w:rPr/>
              <w:t> </w:t>
            </w:r>
          </w:p>
        </w:tc>
      </w:tr>
      <w:tr>
        <w:trPr/>
        <w:tc>
          <w:tcPr>
            <w:tcW w:w="6226"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pPr>
            <w:r>
              <w:rPr/>
              <w:t>  </w:t>
            </w:r>
          </w:p>
        </w:tc>
        <w:tc>
          <w:tcPr>
            <w:tcW w:w="2398"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8" w:type="dxa"/>
            <w:tcBorders/>
            <w:shd w:fill="auto" w:val="clear"/>
            <w:vAlign w:val="bottom"/>
          </w:tcPr>
          <w:p>
            <w:pPr>
              <w:pStyle w:val="TableContents"/>
              <w:spacing w:before="0" w:after="283"/>
              <w:rPr/>
            </w:pPr>
            <w:r>
              <w:rPr/>
              <w:t> </w:t>
            </w:r>
          </w:p>
        </w:tc>
      </w:tr>
      <w:tr>
        <w:trPr/>
        <w:tc>
          <w:tcPr>
            <w:tcW w:w="622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63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26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6226" w:type="dxa"/>
            <w:tcBorders/>
            <w:shd w:fill="auto" w:val="clear"/>
            <w:vAlign w:val="bottom"/>
          </w:tcPr>
          <w:p>
            <w:pPr>
              <w:pStyle w:val="TableContents"/>
              <w:spacing w:before="0" w:after="283"/>
              <w:rPr>
                <w:sz w:val="4"/>
                <w:szCs w:val="4"/>
              </w:rPr>
            </w:pPr>
            <w:r>
              <w:rPr>
                <w:sz w:val="4"/>
                <w:szCs w:val="4"/>
              </w:rPr>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629" w:type="dxa"/>
            <w:tcBorders/>
            <w:shd w:fill="auto" w:val="clear"/>
            <w:vAlign w:val="bottom"/>
          </w:tcPr>
          <w:p>
            <w:pPr>
              <w:pStyle w:val="TableContents"/>
              <w:pBdr>
                <w:top w:val="single" w:sz="2" w:space="1" w:color="000000"/>
              </w:pBdr>
              <w:spacing w:before="0" w:after="283"/>
              <w:rPr/>
            </w:pPr>
            <w:r>
              <w:rPr/>
              <w:t> </w:t>
            </w:r>
          </w:p>
        </w:tc>
        <w:tc>
          <w:tcPr>
            <w:tcW w:w="261" w:type="dxa"/>
            <w:tcBorders/>
            <w:shd w:fill="auto" w:val="clear"/>
            <w:vAlign w:val="center"/>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631"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226"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26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6226"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63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26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6226" w:type="dxa"/>
            <w:tcBorders/>
            <w:shd w:fill="auto" w:val="clear"/>
            <w:vAlign w:val="bottom"/>
          </w:tcPr>
          <w:p>
            <w:pPr>
              <w:pStyle w:val="TableContents"/>
              <w:spacing w:before="0" w:after="283"/>
              <w:rPr>
                <w:sz w:val="4"/>
                <w:szCs w:val="4"/>
              </w:rPr>
            </w:pPr>
            <w:r>
              <w:rPr>
                <w:sz w:val="4"/>
                <w:szCs w:val="4"/>
              </w:rPr>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629" w:type="dxa"/>
            <w:tcBorders/>
            <w:shd w:fill="auto" w:val="clear"/>
            <w:vAlign w:val="bottom"/>
          </w:tcPr>
          <w:p>
            <w:pPr>
              <w:pStyle w:val="TableContents"/>
              <w:pBdr>
                <w:top w:val="single" w:sz="2" w:space="1" w:color="000000"/>
              </w:pBdr>
              <w:spacing w:before="0" w:after="283"/>
              <w:rPr/>
            </w:pPr>
            <w:r>
              <w:rPr/>
              <w:t> </w:t>
            </w:r>
          </w:p>
        </w:tc>
        <w:tc>
          <w:tcPr>
            <w:tcW w:w="261" w:type="dxa"/>
            <w:tcBorders/>
            <w:shd w:fill="auto" w:val="clear"/>
            <w:vAlign w:val="center"/>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631"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226"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26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6226"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63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629"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631"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226" w:type="dxa"/>
            <w:tcBorders/>
            <w:shd w:fill="auto" w:val="clear"/>
            <w:vAlign w:val="bottom"/>
          </w:tcPr>
          <w:p>
            <w:pPr>
              <w:pStyle w:val="TableContents"/>
              <w:spacing w:before="0" w:after="283"/>
              <w:rPr>
                <w:sz w:val="4"/>
                <w:szCs w:val="4"/>
              </w:rPr>
            </w:pPr>
            <w:r>
              <w:rPr>
                <w:sz w:val="4"/>
                <w:szCs w:val="4"/>
              </w:rPr>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629" w:type="dxa"/>
            <w:tcBorders/>
            <w:shd w:fill="auto" w:val="clear"/>
            <w:vAlign w:val="bottom"/>
          </w:tcPr>
          <w:p>
            <w:pPr>
              <w:pStyle w:val="TableContents"/>
              <w:pBdr>
                <w:top w:val="single" w:sz="2" w:space="1" w:color="000000"/>
              </w:pBdr>
              <w:spacing w:before="0" w:after="283"/>
              <w:rPr/>
            </w:pPr>
            <w:r>
              <w:rPr/>
              <w:t> </w:t>
            </w:r>
          </w:p>
        </w:tc>
        <w:tc>
          <w:tcPr>
            <w:tcW w:w="261" w:type="dxa"/>
            <w:tcBorders/>
            <w:shd w:fill="auto" w:val="clear"/>
            <w:vAlign w:val="center"/>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631"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226"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26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6226"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63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6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8" w:type="dxa"/>
            <w:tcBorders/>
            <w:shd w:fill="CCEEFF" w:val="clear"/>
            <w:vAlign w:val="bottom"/>
          </w:tcPr>
          <w:p>
            <w:pPr>
              <w:pStyle w:val="TableContents"/>
              <w:spacing w:before="0" w:after="283"/>
              <w:rPr/>
            </w:pPr>
            <w:r>
              <w:rPr/>
              <w:t>  </w:t>
            </w:r>
          </w:p>
        </w:tc>
      </w:tr>
      <w:tr>
        <w:trPr/>
        <w:tc>
          <w:tcPr>
            <w:tcW w:w="6226"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6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6226"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63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(4,577</w:t>
            </w:r>
          </w:p>
        </w:tc>
        <w:tc>
          <w:tcPr>
            <w:tcW w:w="2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9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226" w:type="dxa"/>
            <w:tcBorders/>
            <w:shd w:fill="auto" w:val="clear"/>
            <w:vAlign w:val="bottom"/>
          </w:tcPr>
          <w:p>
            <w:pPr>
              <w:pStyle w:val="TableContents"/>
              <w:spacing w:before="0" w:after="283"/>
              <w:rPr>
                <w:sz w:val="4"/>
                <w:szCs w:val="4"/>
              </w:rPr>
            </w:pPr>
            <w:r>
              <w:rPr>
                <w:sz w:val="4"/>
                <w:szCs w:val="4"/>
              </w:rPr>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629" w:type="dxa"/>
            <w:tcBorders/>
            <w:shd w:fill="auto" w:val="clear"/>
            <w:vAlign w:val="bottom"/>
          </w:tcPr>
          <w:p>
            <w:pPr>
              <w:pStyle w:val="TableContents"/>
              <w:pBdr>
                <w:top w:val="single" w:sz="2" w:space="1" w:color="000000"/>
              </w:pBdr>
              <w:spacing w:before="0" w:after="283"/>
              <w:rPr/>
            </w:pPr>
            <w:r>
              <w:rPr/>
              <w:t> </w:t>
            </w:r>
          </w:p>
        </w:tc>
        <w:tc>
          <w:tcPr>
            <w:tcW w:w="261" w:type="dxa"/>
            <w:tcBorders/>
            <w:shd w:fill="auto" w:val="clear"/>
            <w:vAlign w:val="center"/>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631"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226"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4,443</w:t>
            </w:r>
          </w:p>
        </w:tc>
        <w:tc>
          <w:tcPr>
            <w:tcW w:w="26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4,664</w:t>
            </w:r>
          </w:p>
        </w:tc>
        <w:tc>
          <w:tcPr>
            <w:tcW w:w="128" w:type="dxa"/>
            <w:tcBorders/>
            <w:shd w:fill="auto" w:val="clear"/>
            <w:vAlign w:val="bottom"/>
          </w:tcPr>
          <w:p>
            <w:pPr>
              <w:pStyle w:val="TableContents"/>
              <w:spacing w:before="0" w:after="283"/>
              <w:rPr/>
            </w:pPr>
            <w:r>
              <w:rPr/>
              <w:t>  </w:t>
            </w:r>
          </w:p>
        </w:tc>
      </w:tr>
      <w:tr>
        <w:trPr/>
        <w:tc>
          <w:tcPr>
            <w:tcW w:w="6226" w:type="dxa"/>
            <w:tcBorders/>
            <w:shd w:fill="auto" w:val="clear"/>
            <w:vAlign w:val="bottom"/>
          </w:tcPr>
          <w:p>
            <w:pPr>
              <w:pStyle w:val="TableContents"/>
              <w:spacing w:before="0" w:after="283"/>
              <w:rPr>
                <w:sz w:val="4"/>
                <w:szCs w:val="4"/>
              </w:rPr>
            </w:pPr>
            <w:r>
              <w:rPr>
                <w:sz w:val="4"/>
                <w:szCs w:val="4"/>
              </w:rPr>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283"/>
              <w:rPr/>
            </w:pPr>
            <w:r>
              <w:rPr/>
              <w:t> </w:t>
            </w:r>
          </w:p>
        </w:tc>
        <w:tc>
          <w:tcPr>
            <w:tcW w:w="629" w:type="dxa"/>
            <w:tcBorders/>
            <w:shd w:fill="auto" w:val="clear"/>
            <w:vAlign w:val="bottom"/>
          </w:tcPr>
          <w:p>
            <w:pPr>
              <w:pStyle w:val="TableContents"/>
              <w:pBdr>
                <w:top w:val="double" w:sz="6" w:space="1" w:color="000000"/>
              </w:pBdr>
              <w:spacing w:before="0" w:after="283"/>
              <w:rPr/>
            </w:pPr>
            <w:r>
              <w:rPr/>
              <w:t> </w:t>
            </w:r>
          </w:p>
        </w:tc>
        <w:tc>
          <w:tcPr>
            <w:tcW w:w="261" w:type="dxa"/>
            <w:tcBorders/>
            <w:shd w:fill="auto" w:val="clear"/>
            <w:vAlign w:val="center"/>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283"/>
              <w:rPr/>
            </w:pPr>
            <w:r>
              <w:rPr/>
              <w:t> </w:t>
            </w:r>
          </w:p>
        </w:tc>
        <w:tc>
          <w:tcPr>
            <w:tcW w:w="631"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6226" w:type="dxa"/>
            <w:tcBorders/>
            <w:shd w:fill="CCEEFF" w:val="clear"/>
          </w:tcPr>
          <w:p>
            <w:pPr>
              <w:pStyle w:val="TableContents"/>
              <w:spacing w:before="0" w:after="283"/>
              <w:rPr>
                <w:rFonts w:ascii="Times New Roman" w:hAnsi="Times New Roman"/>
                <w:sz w:val="20"/>
              </w:rPr>
            </w:pPr>
            <w:r>
              <w:rPr>
                <w:rFonts w:ascii="Times New Roman" w:hAnsi="Times New Roman"/>
                <w:sz w:val="20"/>
              </w:rPr>
              <w:t>Other data:</w:t>
            </w:r>
          </w:p>
        </w:tc>
        <w:tc>
          <w:tcPr>
            <w:tcW w:w="63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629" w:type="dxa"/>
            <w:tcBorders/>
            <w:shd w:fill="CCEEFF" w:val="clear"/>
            <w:vAlign w:val="bottom"/>
          </w:tcPr>
          <w:p>
            <w:pPr>
              <w:pStyle w:val="TableContents"/>
              <w:spacing w:before="0" w:after="283"/>
              <w:rPr>
                <w:sz w:val="4"/>
                <w:szCs w:val="4"/>
              </w:rPr>
            </w:pPr>
            <w:r>
              <w:rPr>
                <w:sz w:val="4"/>
                <w:szCs w:val="4"/>
              </w:rPr>
            </w:r>
          </w:p>
        </w:tc>
        <w:tc>
          <w:tcPr>
            <w:tcW w:w="261"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631"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6226"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 as a percent of consumer loan fees</w:t>
            </w:r>
          </w:p>
        </w:tc>
        <w:tc>
          <w:tcPr>
            <w:tcW w:w="63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2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9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28"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 the first quarter of 2012, we began offering consumer loans online in the U.K. In the current quarter, consumer loan fees were $0.1 million with bad debt as a percentage of fees at 62%. </w:t>
      </w:r>
    </w:p>
    <w:p>
      <w:pPr>
        <w:pStyle w:val="TextBody"/>
        <w:spacing w:before="180" w:after="0"/>
        <w:rPr>
          <w:rFonts w:ascii="Times New Roman" w:hAnsi="Times New Roman"/>
          <w:sz w:val="20"/>
        </w:rPr>
      </w:pPr>
      <w:r>
        <w:rPr>
          <w:rFonts w:ascii="Times New Roman" w:hAnsi="Times New Roman"/>
          <w:sz w:val="20"/>
        </w:rPr>
        <w:t xml:space="preserve">Our equity in the net income of unconsolidated affiliates decreased 2% from the prior year quarter to $4.6 million, reflecting a relatively strong first half from Albemarle &amp; Bond offset by a slightly weaker first half from Cash Converters International due to a series of one-time costs. </w:t>
      </w:r>
    </w:p>
    <w:p>
      <w:pPr>
        <w:pStyle w:val="TextBody"/>
        <w:spacing w:before="180" w:after="0"/>
        <w:rPr>
          <w:rFonts w:ascii="Times New Roman" w:hAnsi="Times New Roman"/>
          <w:sz w:val="20"/>
        </w:rPr>
      </w:pPr>
      <w:r>
        <w:rPr>
          <w:rFonts w:ascii="Times New Roman" w:hAnsi="Times New Roman"/>
          <w:sz w:val="20"/>
        </w:rPr>
        <w:t xml:space="preserve">In the current quarter, operations expenses were $0.2 million, mainly due to fees paid for the generation of online leads. </w:t>
      </w:r>
    </w:p>
    <w:p>
      <w:pPr>
        <w:pStyle w:val="TextBody"/>
        <w:spacing w:before="360" w:after="0"/>
        <w:jc w:val="center"/>
        <w:rPr>
          <w:rFonts w:ascii="Times New Roman" w:hAnsi="Times New Roman"/>
          <w:b/>
          <w:sz w:val="20"/>
        </w:rPr>
      </w:pPr>
      <w:r>
        <w:rPr>
          <w:rFonts w:ascii="Times New Roman" w:hAnsi="Times New Roman"/>
          <w:b/>
          <w:sz w:val="20"/>
        </w:rPr>
        <w:t xml:space="preserve">Other Items </w:t>
      </w:r>
    </w:p>
    <w:p>
      <w:pPr>
        <w:pStyle w:val="TextBody"/>
        <w:spacing w:before="180" w:after="0"/>
        <w:rPr>
          <w:rFonts w:ascii="Times New Roman" w:hAnsi="Times New Roman"/>
          <w:sz w:val="20"/>
        </w:rPr>
      </w:pPr>
      <w:r>
        <w:rPr>
          <w:rFonts w:ascii="Times New Roman" w:hAnsi="Times New Roman"/>
          <w:sz w:val="20"/>
        </w:rPr>
        <w:t xml:space="preserve">The following table reconciles our consolidated store operating income discussed above to net income, including items that affect our consolidated financial results but are not allocated among segments: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500"/>
        <w:gridCol w:w="516"/>
        <w:gridCol w:w="138"/>
        <w:gridCol w:w="657"/>
        <w:gridCol w:w="132"/>
        <w:gridCol w:w="524"/>
        <w:gridCol w:w="138"/>
        <w:gridCol w:w="660"/>
        <w:gridCol w:w="123"/>
      </w:tblGrid>
      <w:tr>
        <w:trPr/>
        <w:tc>
          <w:tcPr>
            <w:tcW w:w="650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6500"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224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w:t>
            </w:r>
          </w:p>
        </w:tc>
        <w:tc>
          <w:tcPr>
            <w:tcW w:w="123" w:type="dxa"/>
            <w:tcBorders/>
            <w:shd w:fill="auto"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795"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2012    </w:t>
            </w:r>
          </w:p>
        </w:tc>
        <w:tc>
          <w:tcPr>
            <w:tcW w:w="132"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798"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123" w:type="dxa"/>
            <w:tcBorders/>
            <w:shd w:fill="auto"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2249"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3" w:type="dxa"/>
            <w:tcBorders/>
            <w:shd w:fill="auto" w:val="clear"/>
            <w:vAlign w:val="bottom"/>
          </w:tcPr>
          <w:p>
            <w:pPr>
              <w:pStyle w:val="TableContents"/>
              <w:spacing w:before="0" w:after="283"/>
              <w:rPr/>
            </w:pPr>
            <w:r>
              <w:rPr/>
              <w:t> </w:t>
            </w:r>
          </w:p>
        </w:tc>
      </w:tr>
      <w:tr>
        <w:trPr/>
        <w:tc>
          <w:tcPr>
            <w:tcW w:w="6500"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51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70,637</w:t>
            </w:r>
          </w:p>
        </w:tc>
        <w:tc>
          <w:tcPr>
            <w:tcW w:w="132"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60,693</w:t>
            </w:r>
          </w:p>
        </w:tc>
        <w:tc>
          <w:tcPr>
            <w:tcW w:w="123" w:type="dxa"/>
            <w:tcBorders/>
            <w:shd w:fill="CCEEFF" w:val="clear"/>
            <w:vAlign w:val="bottom"/>
          </w:tcPr>
          <w:p>
            <w:pPr>
              <w:pStyle w:val="TableContents"/>
              <w:spacing w:before="0" w:after="283"/>
              <w:rPr/>
            </w:pPr>
            <w:r>
              <w:rPr/>
              <w:t>  </w:t>
            </w:r>
          </w:p>
        </w:tc>
      </w:tr>
      <w:tr>
        <w:trPr/>
        <w:tc>
          <w:tcPr>
            <w:tcW w:w="6500"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 expenses</w:t>
            </w:r>
          </w:p>
        </w:tc>
        <w:tc>
          <w:tcPr>
            <w:tcW w:w="51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11,593</w:t>
            </w:r>
          </w:p>
        </w:tc>
        <w:tc>
          <w:tcPr>
            <w:tcW w:w="132"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10,220</w:t>
            </w:r>
          </w:p>
        </w:tc>
        <w:tc>
          <w:tcPr>
            <w:tcW w:w="123" w:type="dxa"/>
            <w:tcBorders/>
            <w:shd w:fill="auto" w:val="clear"/>
            <w:vAlign w:val="bottom"/>
          </w:tcPr>
          <w:p>
            <w:pPr>
              <w:pStyle w:val="TableContents"/>
              <w:spacing w:before="0" w:after="283"/>
              <w:rPr/>
            </w:pPr>
            <w:r>
              <w:rPr/>
              <w:t>  </w:t>
            </w:r>
          </w:p>
        </w:tc>
      </w:tr>
      <w:tr>
        <w:trPr/>
        <w:tc>
          <w:tcPr>
            <w:tcW w:w="650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1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1,324</w:t>
            </w:r>
          </w:p>
        </w:tc>
        <w:tc>
          <w:tcPr>
            <w:tcW w:w="132"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903</w:t>
            </w:r>
          </w:p>
        </w:tc>
        <w:tc>
          <w:tcPr>
            <w:tcW w:w="123" w:type="dxa"/>
            <w:tcBorders/>
            <w:shd w:fill="CCEEFF" w:val="clear"/>
            <w:vAlign w:val="bottom"/>
          </w:tcPr>
          <w:p>
            <w:pPr>
              <w:pStyle w:val="TableContents"/>
              <w:spacing w:before="0" w:after="283"/>
              <w:rPr/>
            </w:pPr>
            <w:r>
              <w:rPr/>
              <w:t>  </w:t>
            </w:r>
          </w:p>
        </w:tc>
      </w:tr>
      <w:tr>
        <w:trPr/>
        <w:tc>
          <w:tcPr>
            <w:tcW w:w="6500"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51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477</w:t>
            </w:r>
          </w:p>
        </w:tc>
        <w:tc>
          <w:tcPr>
            <w:tcW w:w="132"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w:t>
            </w:r>
          </w:p>
        </w:tc>
        <w:tc>
          <w:tcPr>
            <w:tcW w:w="123" w:type="dxa"/>
            <w:tcBorders/>
            <w:shd w:fill="auto"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283"/>
              <w:rPr>
                <w:sz w:val="4"/>
                <w:szCs w:val="4"/>
              </w:rPr>
            </w:pPr>
            <w:r>
              <w:rPr>
                <w:sz w:val="4"/>
                <w:szCs w:val="4"/>
              </w:rPr>
            </w:r>
          </w:p>
        </w:tc>
        <w:tc>
          <w:tcPr>
            <w:tcW w:w="51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6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500" w:type="dxa"/>
            <w:tcBorders/>
            <w:shd w:fill="CCEEFF" w:val="clear"/>
          </w:tcPr>
          <w:p>
            <w:pPr>
              <w:pStyle w:val="TableContents"/>
              <w:spacing w:before="0" w:after="283"/>
              <w:rPr>
                <w:rFonts w:ascii="Times New Roman" w:hAnsi="Times New Roman"/>
                <w:sz w:val="20"/>
              </w:rPr>
            </w:pPr>
            <w:r>
              <w:rPr>
                <w:rFonts w:ascii="Times New Roman" w:hAnsi="Times New Roman"/>
                <w:sz w:val="20"/>
              </w:rPr>
              <w:t>Consolidated income before income taxes</w:t>
            </w:r>
          </w:p>
        </w:tc>
        <w:tc>
          <w:tcPr>
            <w:tcW w:w="51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57,243</w:t>
            </w:r>
          </w:p>
        </w:tc>
        <w:tc>
          <w:tcPr>
            <w:tcW w:w="132"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49,282</w:t>
            </w:r>
          </w:p>
        </w:tc>
        <w:tc>
          <w:tcPr>
            <w:tcW w:w="123" w:type="dxa"/>
            <w:tcBorders/>
            <w:shd w:fill="CCEEFF" w:val="clear"/>
            <w:vAlign w:val="bottom"/>
          </w:tcPr>
          <w:p>
            <w:pPr>
              <w:pStyle w:val="TableContents"/>
              <w:spacing w:before="0" w:after="283"/>
              <w:rPr/>
            </w:pPr>
            <w:r>
              <w:rPr/>
              <w:t>  </w:t>
            </w:r>
          </w:p>
        </w:tc>
      </w:tr>
      <w:tr>
        <w:trPr/>
        <w:tc>
          <w:tcPr>
            <w:tcW w:w="650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51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19,870</w:t>
            </w:r>
          </w:p>
        </w:tc>
        <w:tc>
          <w:tcPr>
            <w:tcW w:w="132"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17,444</w:t>
            </w:r>
          </w:p>
        </w:tc>
        <w:tc>
          <w:tcPr>
            <w:tcW w:w="123" w:type="dxa"/>
            <w:tcBorders/>
            <w:shd w:fill="auto"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283"/>
              <w:rPr>
                <w:sz w:val="4"/>
                <w:szCs w:val="4"/>
              </w:rPr>
            </w:pPr>
            <w:r>
              <w:rPr>
                <w:sz w:val="4"/>
                <w:szCs w:val="4"/>
              </w:rPr>
            </w:r>
          </w:p>
        </w:tc>
        <w:tc>
          <w:tcPr>
            <w:tcW w:w="51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6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50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51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37,373</w:t>
            </w:r>
          </w:p>
        </w:tc>
        <w:tc>
          <w:tcPr>
            <w:tcW w:w="132"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23" w:type="dxa"/>
            <w:tcBorders/>
            <w:shd w:fill="CCEEFF" w:val="clear"/>
            <w:vAlign w:val="bottom"/>
          </w:tcPr>
          <w:p>
            <w:pPr>
              <w:pStyle w:val="TableContents"/>
              <w:spacing w:before="0" w:after="283"/>
              <w:rPr/>
            </w:pPr>
            <w:r>
              <w:rPr/>
              <w:t>  </w:t>
            </w:r>
          </w:p>
        </w:tc>
      </w:tr>
      <w:tr>
        <w:trPr/>
        <w:tc>
          <w:tcPr>
            <w:tcW w:w="6500"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51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32"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283"/>
              <w:rPr>
                <w:sz w:val="4"/>
                <w:szCs w:val="4"/>
              </w:rPr>
            </w:pPr>
            <w:r>
              <w:rPr>
                <w:sz w:val="4"/>
                <w:szCs w:val="4"/>
              </w:rPr>
            </w:r>
          </w:p>
        </w:tc>
        <w:tc>
          <w:tcPr>
            <w:tcW w:w="51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single" w:sz="2" w:space="1" w:color="000000"/>
              </w:pBdr>
              <w:spacing w:before="0" w:after="283"/>
              <w:rPr/>
            </w:pPr>
            <w:r>
              <w:rPr/>
              <w:t> </w:t>
            </w:r>
          </w:p>
        </w:tc>
        <w:tc>
          <w:tcPr>
            <w:tcW w:w="66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650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51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37,261</w:t>
            </w:r>
          </w:p>
        </w:tc>
        <w:tc>
          <w:tcPr>
            <w:tcW w:w="132"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31,838</w:t>
            </w:r>
          </w:p>
        </w:tc>
        <w:tc>
          <w:tcPr>
            <w:tcW w:w="123"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283"/>
              <w:rPr>
                <w:sz w:val="4"/>
                <w:szCs w:val="4"/>
              </w:rPr>
            </w:pPr>
            <w:r>
              <w:rPr>
                <w:sz w:val="4"/>
                <w:szCs w:val="4"/>
              </w:rPr>
            </w:r>
          </w:p>
        </w:tc>
        <w:tc>
          <w:tcPr>
            <w:tcW w:w="51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657"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pBdr>
                <w:top w:val="double" w:sz="6" w:space="1" w:color="000000"/>
              </w:pBdr>
              <w:spacing w:before="0" w:after="283"/>
              <w:rPr/>
            </w:pPr>
            <w:r>
              <w:rPr/>
              <w:t> </w:t>
            </w:r>
          </w:p>
        </w:tc>
        <w:tc>
          <w:tcPr>
            <w:tcW w:w="660"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Corporate expenses increased $2.0 million, or 17%, to $13.4 million as a result of a 66% increase in interest expense due to greater utilization of our revolver and a 13% increase in administrative expenses primarily due to higher professional fees. </w:t>
      </w:r>
    </w:p>
    <w:p>
      <w:pPr>
        <w:pStyle w:val="TextBody"/>
        <w:spacing w:before="180" w:after="0"/>
        <w:rPr>
          <w:rFonts w:ascii="Times New Roman" w:hAnsi="Times New Roman"/>
          <w:sz w:val="20"/>
        </w:rPr>
      </w:pPr>
      <w:r>
        <w:rPr>
          <w:rFonts w:ascii="Times New Roman" w:hAnsi="Times New Roman"/>
          <w:sz w:val="20"/>
        </w:rPr>
        <w:t xml:space="preserve">Consolidated income before taxes increased $8.0 million, or 16%, to $57.2 million due to an $8.7 million and $1.4 million increase in contribution from the U.S. &amp; Canada and Latin America segments, partially offset by a small decrease in contribution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from the Other International segment and a $2.0 million increase in corporate expenses. After a $2.4 million, or 14%, increase in income taxes and a $0.1 million of net income attributable to the noncontrolling interest, net income attributable to EZCORP, Inc. increased $5.4 million, or 17%, to $37.3 million. </w:t>
      </w:r>
    </w:p>
    <w:p>
      <w:pPr>
        <w:pStyle w:val="TextBody"/>
        <w:spacing w:before="270" w:after="0"/>
        <w:rPr>
          <w:rFonts w:ascii="Times New Roman" w:hAnsi="Times New Roman"/>
          <w:sz w:val="20"/>
          <w:u w:val="single"/>
        </w:rPr>
      </w:pPr>
      <w:r>
        <w:rPr>
          <w:rFonts w:ascii="Times New Roman" w:hAnsi="Times New Roman"/>
          <w:sz w:val="20"/>
          <w:u w:val="single"/>
        </w:rPr>
        <w:t xml:space="preserve">Six Months Ended March 31, 2012 vs. Six Months Ended March 31, 2011 </w:t>
      </w:r>
    </w:p>
    <w:p>
      <w:pPr>
        <w:pStyle w:val="TextBody"/>
        <w:spacing w:before="90" w:after="0"/>
        <w:rPr>
          <w:rFonts w:ascii="Times New Roman" w:hAnsi="Times New Roman"/>
          <w:sz w:val="20"/>
        </w:rPr>
      </w:pPr>
      <w:r>
        <w:rPr>
          <w:rFonts w:ascii="Times New Roman" w:hAnsi="Times New Roman"/>
          <w:sz w:val="20"/>
        </w:rPr>
        <w:t xml:space="preserve">The following discussion compares our results of operations for the six-month period ended March 31, 2012 to the six-month period ended March 31, 2011. It should be read with the accompanying unaudited financial statements and related notes. </w:t>
      </w:r>
    </w:p>
    <w:p>
      <w:pPr>
        <w:pStyle w:val="TextBody"/>
        <w:spacing w:before="180" w:after="0"/>
        <w:rPr>
          <w:rFonts w:ascii="Times New Roman" w:hAnsi="Times New Roman"/>
          <w:sz w:val="20"/>
        </w:rPr>
      </w:pPr>
      <w:r>
        <w:rPr>
          <w:rFonts w:ascii="Times New Roman" w:hAnsi="Times New Roman"/>
          <w:sz w:val="20"/>
        </w:rPr>
        <w:t xml:space="preserve">In the current six-month period, consolidated total revenues increased 17%, or $73.1 million, to $505.2 million, compared to the prior six-month period. Same store total revenues increased $12.6 million, or 3%, and new and acquired stores contributed $60.5 million. Net income attributable to EZCORP, Inc. increased 29% to $76.6 million. </w:t>
      </w:r>
    </w:p>
    <w:p>
      <w:pPr>
        <w:pStyle w:val="TextBody"/>
        <w:spacing w:before="360" w:after="0"/>
        <w:jc w:val="center"/>
        <w:rPr>
          <w:rFonts w:ascii="Times New Roman" w:hAnsi="Times New Roman"/>
          <w:b/>
          <w:sz w:val="20"/>
        </w:rPr>
      </w:pPr>
      <w:r>
        <w:rPr>
          <w:rFonts w:ascii="Times New Roman" w:hAnsi="Times New Roman"/>
          <w:b/>
          <w:sz w:val="20"/>
        </w:rPr>
        <w:t xml:space="preserve">U.S. &amp; Canada </w:t>
      </w:r>
    </w:p>
    <w:p>
      <w:pPr>
        <w:pStyle w:val="TextBody"/>
        <w:spacing w:before="180" w:after="0"/>
        <w:rPr>
          <w:rFonts w:ascii="Times New Roman" w:hAnsi="Times New Roman"/>
          <w:sz w:val="20"/>
        </w:rPr>
      </w:pPr>
      <w:r>
        <w:rPr>
          <w:rFonts w:ascii="Times New Roman" w:hAnsi="Times New Roman"/>
          <w:sz w:val="20"/>
        </w:rPr>
        <w:t xml:space="preserve">The following table presents selected financial data for the U.S. &amp; Canada segment: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803"/>
        <w:gridCol w:w="539"/>
        <w:gridCol w:w="158"/>
        <w:gridCol w:w="888"/>
        <w:gridCol w:w="230"/>
        <w:gridCol w:w="491"/>
        <w:gridCol w:w="158"/>
        <w:gridCol w:w="888"/>
        <w:gridCol w:w="233"/>
      </w:tblGrid>
      <w:tr>
        <w:trPr/>
        <w:tc>
          <w:tcPr>
            <w:tcW w:w="580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58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81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w:t>
            </w:r>
          </w:p>
        </w:tc>
        <w:tc>
          <w:tcPr>
            <w:tcW w:w="233" w:type="dxa"/>
            <w:tcBorders/>
            <w:shd w:fill="auto" w:val="clear"/>
            <w:vAlign w:val="bottom"/>
          </w:tcPr>
          <w:p>
            <w:pPr>
              <w:pStyle w:val="TableContents"/>
              <w:spacing w:before="0" w:after="283"/>
              <w:rPr/>
            </w:pPr>
            <w:r>
              <w:rPr/>
              <w:t> </w:t>
            </w:r>
          </w:p>
        </w:tc>
      </w:tr>
      <w:tr>
        <w:trPr/>
        <w:tc>
          <w:tcPr>
            <w:tcW w:w="58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1046"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 xml:space="preserve">2012         </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046"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 xml:space="preserve">2011         </w:t>
            </w:r>
          </w:p>
        </w:tc>
        <w:tc>
          <w:tcPr>
            <w:tcW w:w="233" w:type="dxa"/>
            <w:tcBorders/>
            <w:shd w:fill="auto" w:val="clear"/>
            <w:vAlign w:val="bottom"/>
          </w:tcPr>
          <w:p>
            <w:pPr>
              <w:pStyle w:val="TableContents"/>
              <w:spacing w:before="0" w:after="283"/>
              <w:rPr/>
            </w:pPr>
            <w:r>
              <w:rPr/>
              <w:t> </w:t>
            </w:r>
          </w:p>
        </w:tc>
      </w:tr>
      <w:tr>
        <w:trPr/>
        <w:tc>
          <w:tcPr>
            <w:tcW w:w="5803"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2813"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233" w:type="dxa"/>
            <w:tcBorders/>
            <w:shd w:fill="auto" w:val="clear"/>
            <w:vAlign w:val="bottom"/>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162,050</w:t>
            </w:r>
          </w:p>
        </w:tc>
        <w:tc>
          <w:tcPr>
            <w:tcW w:w="230"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138,725</w:t>
            </w:r>
          </w:p>
        </w:tc>
        <w:tc>
          <w:tcPr>
            <w:tcW w:w="233" w:type="dxa"/>
            <w:tcBorders/>
            <w:shd w:fill="CCEEFF" w:val="clear"/>
            <w:vAlign w:val="bottom"/>
          </w:tcPr>
          <w:p>
            <w:pPr>
              <w:pStyle w:val="TableContents"/>
              <w:spacing w:before="0" w:after="283"/>
              <w:rPr/>
            </w:pPr>
            <w:r>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102,280</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91,554</w:t>
            </w:r>
          </w:p>
        </w:tc>
        <w:tc>
          <w:tcPr>
            <w:tcW w:w="233" w:type="dxa"/>
            <w:tcBorders/>
            <w:shd w:fill="auto" w:val="clear"/>
            <w:vAlign w:val="bottom"/>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104,875</w:t>
            </w:r>
          </w:p>
        </w:tc>
        <w:tc>
          <w:tcPr>
            <w:tcW w:w="230"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89,509</w:t>
            </w:r>
          </w:p>
        </w:tc>
        <w:tc>
          <w:tcPr>
            <w:tcW w:w="233" w:type="dxa"/>
            <w:tcBorders/>
            <w:shd w:fill="CCEEFF" w:val="clear"/>
            <w:vAlign w:val="bottom"/>
          </w:tcPr>
          <w:p>
            <w:pPr>
              <w:pStyle w:val="TableContents"/>
              <w:spacing w:before="0" w:after="283"/>
              <w:rPr/>
            </w:pPr>
            <w:r>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87,818</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86,782</w:t>
            </w:r>
          </w:p>
        </w:tc>
        <w:tc>
          <w:tcPr>
            <w:tcW w:w="233" w:type="dxa"/>
            <w:tcBorders/>
            <w:shd w:fill="auto" w:val="clear"/>
            <w:vAlign w:val="bottom"/>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Other revenues</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1,795</w:t>
            </w:r>
          </w:p>
        </w:tc>
        <w:tc>
          <w:tcPr>
            <w:tcW w:w="230"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w:t>
            </w:r>
          </w:p>
        </w:tc>
        <w:tc>
          <w:tcPr>
            <w:tcW w:w="233" w:type="dxa"/>
            <w:tcBorders/>
            <w:shd w:fill="CCEEFF" w:val="clear"/>
            <w:vAlign w:val="bottom"/>
          </w:tcPr>
          <w:p>
            <w:pPr>
              <w:pStyle w:val="TableContents"/>
              <w:spacing w:before="0" w:after="283"/>
              <w:rPr/>
            </w:pPr>
            <w:r>
              <w:rPr/>
              <w:t>  </w:t>
            </w:r>
          </w:p>
        </w:tc>
      </w:tr>
      <w:tr>
        <w:trPr/>
        <w:tc>
          <w:tcPr>
            <w:tcW w:w="5803" w:type="dxa"/>
            <w:tcBorders/>
            <w:shd w:fill="auto" w:val="clear"/>
            <w:vAlign w:val="bottom"/>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pBdr>
                <w:top w:val="single" w:sz="2" w:space="1" w:color="000000"/>
              </w:pBdr>
              <w:spacing w:before="0" w:after="283"/>
              <w:rPr/>
            </w:pPr>
            <w:r>
              <w:rPr/>
              <w:t> </w:t>
            </w:r>
          </w:p>
        </w:tc>
        <w:tc>
          <w:tcPr>
            <w:tcW w:w="888"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pBdr>
                <w:top w:val="single" w:sz="2" w:space="1" w:color="000000"/>
              </w:pBdr>
              <w:spacing w:before="0" w:after="283"/>
              <w:rPr/>
            </w:pPr>
            <w:r>
              <w:rPr/>
              <w:t> </w:t>
            </w:r>
          </w:p>
        </w:tc>
        <w:tc>
          <w:tcPr>
            <w:tcW w:w="888"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458,818</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406,948</w:t>
            </w:r>
          </w:p>
        </w:tc>
        <w:tc>
          <w:tcPr>
            <w:tcW w:w="233" w:type="dxa"/>
            <w:tcBorders/>
            <w:shd w:fill="auto" w:val="clear"/>
            <w:vAlign w:val="bottom"/>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93,950</w:t>
            </w:r>
          </w:p>
        </w:tc>
        <w:tc>
          <w:tcPr>
            <w:tcW w:w="230"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79,681</w:t>
            </w:r>
          </w:p>
        </w:tc>
        <w:tc>
          <w:tcPr>
            <w:tcW w:w="233" w:type="dxa"/>
            <w:tcBorders/>
            <w:shd w:fill="CCEEFF" w:val="clear"/>
            <w:vAlign w:val="bottom"/>
          </w:tcPr>
          <w:p>
            <w:pPr>
              <w:pStyle w:val="TableContents"/>
              <w:spacing w:before="0" w:after="283"/>
              <w:rPr/>
            </w:pPr>
            <w:r>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62,687</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58,465</w:t>
            </w:r>
          </w:p>
        </w:tc>
        <w:tc>
          <w:tcPr>
            <w:tcW w:w="233" w:type="dxa"/>
            <w:tcBorders/>
            <w:shd w:fill="auto" w:val="clear"/>
            <w:vAlign w:val="bottom"/>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230"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16,768</w:t>
            </w:r>
          </w:p>
        </w:tc>
        <w:tc>
          <w:tcPr>
            <w:tcW w:w="233" w:type="dxa"/>
            <w:tcBorders/>
            <w:shd w:fill="CCEEFF" w:val="clear"/>
            <w:vAlign w:val="bottom"/>
          </w:tcPr>
          <w:p>
            <w:pPr>
              <w:pStyle w:val="TableContents"/>
              <w:spacing w:before="0" w:after="283"/>
              <w:rPr/>
            </w:pPr>
            <w:r>
              <w:rPr/>
              <w:t>  </w:t>
            </w:r>
          </w:p>
        </w:tc>
      </w:tr>
      <w:tr>
        <w:trPr/>
        <w:tc>
          <w:tcPr>
            <w:tcW w:w="5803" w:type="dxa"/>
            <w:tcBorders/>
            <w:shd w:fill="auto" w:val="clear"/>
            <w:vAlign w:val="bottom"/>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pBdr>
                <w:top w:val="single" w:sz="2" w:space="1" w:color="000000"/>
              </w:pBdr>
              <w:spacing w:before="0" w:after="283"/>
              <w:rPr/>
            </w:pPr>
            <w:r>
              <w:rPr/>
              <w:t> </w:t>
            </w:r>
          </w:p>
        </w:tc>
        <w:tc>
          <w:tcPr>
            <w:tcW w:w="888"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pBdr>
                <w:top w:val="single" w:sz="2" w:space="1" w:color="000000"/>
              </w:pBdr>
              <w:spacing w:before="0" w:after="283"/>
              <w:rPr/>
            </w:pPr>
            <w:r>
              <w:rPr/>
              <w:t> </w:t>
            </w:r>
          </w:p>
        </w:tc>
        <w:tc>
          <w:tcPr>
            <w:tcW w:w="888"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285,413</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252,034</w:t>
            </w:r>
          </w:p>
        </w:tc>
        <w:tc>
          <w:tcPr>
            <w:tcW w:w="233" w:type="dxa"/>
            <w:tcBorders/>
            <w:shd w:fill="auto" w:val="clear"/>
            <w:vAlign w:val="bottom"/>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sz w:val="4"/>
                <w:szCs w:val="4"/>
              </w:rPr>
            </w:pPr>
            <w:r>
              <w:rPr>
                <w:sz w:val="4"/>
                <w:szCs w:val="4"/>
              </w:rPr>
            </w:r>
          </w:p>
        </w:tc>
        <w:tc>
          <w:tcPr>
            <w:tcW w:w="888"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sz w:val="4"/>
                <w:szCs w:val="4"/>
              </w:rPr>
            </w:pPr>
            <w:r>
              <w:rPr>
                <w:sz w:val="4"/>
                <w:szCs w:val="4"/>
              </w:rPr>
            </w:r>
          </w:p>
        </w:tc>
        <w:tc>
          <w:tcPr>
            <w:tcW w:w="888"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sz w:val="4"/>
                <w:szCs w:val="4"/>
              </w:rPr>
            </w:pPr>
            <w:r>
              <w:rPr>
                <w:sz w:val="4"/>
                <w:szCs w:val="4"/>
              </w:rPr>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137,215</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121,422</w:t>
            </w:r>
          </w:p>
        </w:tc>
        <w:tc>
          <w:tcPr>
            <w:tcW w:w="233" w:type="dxa"/>
            <w:tcBorders/>
            <w:shd w:fill="auto" w:val="clear"/>
            <w:vAlign w:val="bottom"/>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11,871</w:t>
            </w:r>
          </w:p>
        </w:tc>
        <w:tc>
          <w:tcPr>
            <w:tcW w:w="230"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9,810</w:t>
            </w:r>
          </w:p>
        </w:tc>
        <w:tc>
          <w:tcPr>
            <w:tcW w:w="233" w:type="dxa"/>
            <w:tcBorders/>
            <w:shd w:fill="CCEEFF" w:val="clear"/>
            <w:vAlign w:val="bottom"/>
          </w:tcPr>
          <w:p>
            <w:pPr>
              <w:pStyle w:val="TableContents"/>
              <w:spacing w:before="0" w:after="283"/>
              <w:rPr/>
            </w:pPr>
            <w:r>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6,771</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5,602</w:t>
            </w:r>
          </w:p>
        </w:tc>
        <w:tc>
          <w:tcPr>
            <w:tcW w:w="233" w:type="dxa"/>
            <w:tcBorders/>
            <w:shd w:fill="auto" w:val="clear"/>
            <w:vAlign w:val="bottom"/>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Gain on sale or disposal of assets</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3" w:type="dxa"/>
            <w:tcBorders/>
            <w:shd w:fill="CCEEFF" w:val="clear"/>
            <w:vAlign w:val="bottom"/>
          </w:tcPr>
          <w:p>
            <w:pPr>
              <w:pStyle w:val="TableContents"/>
              <w:spacing w:before="0" w:after="283"/>
              <w:rPr/>
            </w:pPr>
            <w:r>
              <w:rPr/>
              <w:t>  </w:t>
            </w:r>
          </w:p>
        </w:tc>
      </w:tr>
      <w:tr>
        <w:trPr/>
        <w:tc>
          <w:tcPr>
            <w:tcW w:w="5803" w:type="dxa"/>
            <w:tcBorders/>
            <w:shd w:fill="auto" w:val="clear"/>
            <w:vAlign w:val="bottom"/>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pBdr>
                <w:top w:val="single" w:sz="2" w:space="1" w:color="000000"/>
              </w:pBdr>
              <w:spacing w:before="0" w:after="283"/>
              <w:rPr/>
            </w:pPr>
            <w:r>
              <w:rPr/>
              <w:t> </w:t>
            </w:r>
          </w:p>
        </w:tc>
        <w:tc>
          <w:tcPr>
            <w:tcW w:w="888"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pBdr>
                <w:top w:val="single" w:sz="2" w:space="1" w:color="000000"/>
              </w:pBdr>
              <w:spacing w:before="0" w:after="283"/>
              <w:rPr/>
            </w:pPr>
            <w:r>
              <w:rPr/>
              <w:t> </w:t>
            </w:r>
          </w:p>
        </w:tc>
        <w:tc>
          <w:tcPr>
            <w:tcW w:w="888"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129,996</w:t>
            </w:r>
          </w:p>
        </w:tc>
        <w:tc>
          <w:tcPr>
            <w:tcW w:w="230"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115,369</w:t>
            </w:r>
          </w:p>
        </w:tc>
        <w:tc>
          <w:tcPr>
            <w:tcW w:w="233" w:type="dxa"/>
            <w:tcBorders/>
            <w:shd w:fill="auto" w:val="clear"/>
            <w:vAlign w:val="bottom"/>
          </w:tcPr>
          <w:p>
            <w:pPr>
              <w:pStyle w:val="TableContents"/>
              <w:spacing w:before="0" w:after="283"/>
              <w:rPr/>
            </w:pPr>
            <w:r>
              <w:rPr/>
              <w:t>  </w:t>
            </w:r>
          </w:p>
        </w:tc>
      </w:tr>
      <w:tr>
        <w:trPr/>
        <w:tc>
          <w:tcPr>
            <w:tcW w:w="5803" w:type="dxa"/>
            <w:tcBorders/>
            <w:shd w:fill="auto" w:val="clear"/>
            <w:vAlign w:val="bottom"/>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pBdr>
                <w:top w:val="double" w:sz="6" w:space="1" w:color="000000"/>
              </w:pBdr>
              <w:spacing w:before="0" w:after="283"/>
              <w:rPr/>
            </w:pPr>
            <w:r>
              <w:rPr/>
              <w:t> </w:t>
            </w:r>
          </w:p>
        </w:tc>
        <w:tc>
          <w:tcPr>
            <w:tcW w:w="888" w:type="dxa"/>
            <w:tcBorders/>
            <w:shd w:fill="auto" w:val="clear"/>
            <w:vAlign w:val="bottom"/>
          </w:tcPr>
          <w:p>
            <w:pPr>
              <w:pStyle w:val="TableContents"/>
              <w:pBdr>
                <w:top w:val="double" w:sz="6"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pBdr>
                <w:top w:val="double" w:sz="6" w:space="1" w:color="000000"/>
              </w:pBdr>
              <w:spacing w:before="0" w:after="283"/>
              <w:rPr/>
            </w:pPr>
            <w:r>
              <w:rPr/>
              <w:t> </w:t>
            </w:r>
          </w:p>
        </w:tc>
        <w:tc>
          <w:tcPr>
            <w:tcW w:w="888" w:type="dxa"/>
            <w:tcBorders/>
            <w:shd w:fill="auto" w:val="clear"/>
            <w:vAlign w:val="bottom"/>
          </w:tcPr>
          <w:p>
            <w:pPr>
              <w:pStyle w:val="TableContents"/>
              <w:pBdr>
                <w:top w:val="double" w:sz="6"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Other data:</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sz w:val="4"/>
                <w:szCs w:val="4"/>
              </w:rPr>
            </w:pPr>
            <w:r>
              <w:rPr>
                <w:sz w:val="4"/>
                <w:szCs w:val="4"/>
              </w:rPr>
            </w:r>
          </w:p>
        </w:tc>
        <w:tc>
          <w:tcPr>
            <w:tcW w:w="888"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sz w:val="4"/>
                <w:szCs w:val="4"/>
              </w:rPr>
            </w:pPr>
            <w:r>
              <w:rPr>
                <w:sz w:val="4"/>
                <w:szCs w:val="4"/>
              </w:rPr>
            </w:r>
          </w:p>
        </w:tc>
        <w:tc>
          <w:tcPr>
            <w:tcW w:w="888"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sz w:val="4"/>
                <w:szCs w:val="4"/>
              </w:rPr>
            </w:pPr>
            <w:r>
              <w:rPr>
                <w:sz w:val="4"/>
                <w:szCs w:val="4"/>
              </w:rPr>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merchandise sales</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jewelry scrapping sales</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total sales</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40.7</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pawn loan balance per pawn store at period end</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w:t>
            </w:r>
          </w:p>
        </w:tc>
        <w:tc>
          <w:tcPr>
            <w:tcW w:w="230"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w:t>
            </w:r>
          </w:p>
        </w:tc>
        <w:tc>
          <w:tcPr>
            <w:tcW w:w="233" w:type="dxa"/>
            <w:tcBorders/>
            <w:shd w:fill="CCEEFF" w:val="clear"/>
            <w:vAlign w:val="bottom"/>
          </w:tcPr>
          <w:p>
            <w:pPr>
              <w:pStyle w:val="TableContents"/>
              <w:spacing w:before="0" w:after="283"/>
              <w:rPr/>
            </w:pPr>
            <w:r>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Average yield on pawn loan portfolio (a)</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803" w:type="dxa"/>
            <w:tcBorders/>
            <w:shd w:fill="CCEEFF" w:val="clear"/>
          </w:tcPr>
          <w:p>
            <w:pPr>
              <w:pStyle w:val="TableContents"/>
              <w:spacing w:before="0" w:after="283"/>
              <w:rPr>
                <w:rFonts w:ascii="Times New Roman" w:hAnsi="Times New Roman"/>
                <w:sz w:val="20"/>
              </w:rPr>
            </w:pPr>
            <w:r>
              <w:rPr>
                <w:rFonts w:ascii="Times New Roman" w:hAnsi="Times New Roman"/>
                <w:sz w:val="20"/>
              </w:rPr>
              <w:t>Pawn loan redemption rate</w:t>
            </w:r>
          </w:p>
        </w:tc>
        <w:tc>
          <w:tcPr>
            <w:tcW w:w="539"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91"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803"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 as a percentage of consumer loan fees</w:t>
            </w:r>
          </w:p>
        </w:tc>
        <w:tc>
          <w:tcPr>
            <w:tcW w:w="539"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9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Average yield on pawn loan portfolio is calculated as pawn service charge revenues for the period divided by the average pawn loan balance during the period.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U.S. &amp; Canada segment total revenues increased $51.9 million, or 13%, from the prior six-month period to $458.8 million. Same store total revenues increased $9.6 million, or 2%, and new and acquired stores net of closed stores contributed $42.3 million. In the current six-month period, we acquired 17 pawn stores and seven retail stores in the U.S. and 15 financial services stores in the U.S. and one retail store in Canada for $62.2 million. As part of these acquisitions, we began operations in the states of Pennsylvania, Virginia and Hawaii, bringing the total number of states in which we operate at March 31, 2012 to 23. </w:t>
      </w:r>
    </w:p>
    <w:p>
      <w:pPr>
        <w:pStyle w:val="TextBody"/>
        <w:spacing w:before="180" w:after="0"/>
        <w:rPr>
          <w:rFonts w:ascii="Times New Roman" w:hAnsi="Times New Roman"/>
          <w:sz w:val="20"/>
        </w:rPr>
      </w:pPr>
      <w:r>
        <w:rPr>
          <w:rFonts w:ascii="Times New Roman" w:hAnsi="Times New Roman"/>
          <w:sz w:val="20"/>
        </w:rPr>
        <w:t xml:space="preserve">Our current six-month period pawn service charge revenue increased 17%, or $15.4 million, from the prior six-month period to $104.9 million. Same store pawn service charges increased $7.1 million, or 8%, with new and acquired stores net of closed stores contributing $8.3 million. The same store improvement was due to an 8% increase in average same store pawn loan balance. </w:t>
      </w:r>
    </w:p>
    <w:p>
      <w:pPr>
        <w:pStyle w:val="TextBody"/>
        <w:spacing w:before="180" w:after="0"/>
        <w:rPr>
          <w:rFonts w:ascii="Times New Roman" w:hAnsi="Times New Roman"/>
          <w:sz w:val="20"/>
        </w:rPr>
      </w:pPr>
      <w:r>
        <w:rPr>
          <w:rFonts w:ascii="Times New Roman" w:hAnsi="Times New Roman"/>
          <w:sz w:val="20"/>
        </w:rPr>
        <w:t xml:space="preserve">The current six-month period merchandise sales gross profit increased $9.1 million, or 15%, from the prior six-month period to $68.1 million. This was due to $21.9 million in sales from new and acquired stores net of closed stores, a 1%, or $1.4 million increase in same store sales, partially offset by a 0.6 percentage point decrease in gross margins. The decrease in gross margins is primarily due to a shift in sales mix from jewelry sales to general merchandise. On a same store basis, general merchandise sales were up 7% while jewelry sales were down 14%. </w:t>
      </w:r>
    </w:p>
    <w:p>
      <w:pPr>
        <w:pStyle w:val="TextBody"/>
        <w:spacing w:before="180" w:after="0"/>
        <w:rPr>
          <w:rFonts w:ascii="Times New Roman" w:hAnsi="Times New Roman"/>
          <w:sz w:val="20"/>
        </w:rPr>
      </w:pPr>
      <w:r>
        <w:rPr>
          <w:rFonts w:ascii="Times New Roman" w:hAnsi="Times New Roman"/>
          <w:sz w:val="20"/>
        </w:rPr>
        <w:t xml:space="preserve">Gross profit on jewelry scrapping sales increased $6.5 million, or 20%, from the prior six-month period to $39.6 million. Jewelry scrapping revenues increased $10.7 million, or 12%, due to a 19% increase in proceeds realized per gram of gold jewelry scrapped partially offset by an 11% decrease in gold volume. Same store jewelry scrapping sales remained relatively constant at $91.9 million and new and acquired stores contributed $10.4 million. Jewelry scrapping sales include the sale of approximately $5.6 million of loose diamonds removed from scrap jewelry in the current period and $1.4 million in the prior year period. Scrap cost of goods increased $4.2 million, or 7% as a result of the higher average cost per gram of jewelry scrapped, partially offset by the decrease in volume. </w:t>
      </w:r>
    </w:p>
    <w:p>
      <w:pPr>
        <w:pStyle w:val="TextBody"/>
        <w:spacing w:before="180" w:after="0"/>
        <w:rPr>
          <w:rFonts w:ascii="Times New Roman" w:hAnsi="Times New Roman"/>
          <w:sz w:val="20"/>
        </w:rPr>
      </w:pPr>
      <w:r>
        <w:rPr>
          <w:rFonts w:ascii="Times New Roman" w:hAnsi="Times New Roman"/>
          <w:sz w:val="20"/>
        </w:rPr>
        <w:t xml:space="preserve">The current six-month periods consumer loan fees increased 1%, or $1.0 million. Same store consumer loan fees remained relatively flat, with new and acquired stores net of closed stores contributing $1.3 million. Consumer loan bad debt as a percentage of fees remained flat at 19%. </w:t>
      </w:r>
    </w:p>
    <w:p>
      <w:pPr>
        <w:pStyle w:val="TextBody"/>
        <w:spacing w:before="180" w:after="0"/>
        <w:rPr>
          <w:rFonts w:ascii="Times New Roman" w:hAnsi="Times New Roman"/>
          <w:sz w:val="20"/>
        </w:rPr>
      </w:pPr>
      <w:r>
        <w:rPr>
          <w:rFonts w:ascii="Times New Roman" w:hAnsi="Times New Roman"/>
          <w:sz w:val="20"/>
        </w:rPr>
        <w:t xml:space="preserve">Total operations expense increased to $155.4 million (34% of revenues) in the current six-month period from $136.7 million (34% of revenues) in the prior six-month period. The dollar increase was due to a 13%, or $15.8 million, increase in store operations expenses due to higher operating costs resulting from new and acquired stores, a 21%, or $2.1 million increase in administrative expenses from the prior year period to $11.9 million mainly due to increased labor, benefits and additional investments made in infrastructure to support our growth, a 21%, or $1.2 million increase in depreciation and amortization from the prior year period to $6.8 million, mainly due to assets placed in service at new and acquired stores, and a $0.2 million gain on the gold collar and other minor items. </w:t>
      </w:r>
    </w:p>
    <w:p>
      <w:pPr>
        <w:pStyle w:val="TextBody"/>
        <w:spacing w:before="180" w:after="0"/>
        <w:rPr>
          <w:rFonts w:ascii="Times New Roman" w:hAnsi="Times New Roman"/>
          <w:sz w:val="20"/>
        </w:rPr>
      </w:pPr>
      <w:r>
        <w:rPr>
          <w:rFonts w:ascii="Times New Roman" w:hAnsi="Times New Roman"/>
          <w:sz w:val="20"/>
        </w:rPr>
        <w:t xml:space="preserve">In the current six-month period, the $15.6 million increase in total sales gross profit, the $15.4 million increase in pawn service charges, the $1.0 million higher consumer loan contribution, a $1.4 million increase in other revenues and the $18.8 million higher operations expense, resulted in an $14.6 million overall increase in contribution from the U.S. &amp; Canada segment. Contribution margin remained constant at 28%.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Latin America </w:t>
      </w:r>
    </w:p>
    <w:p>
      <w:pPr>
        <w:pStyle w:val="TextBody"/>
        <w:spacing w:before="180" w:after="0"/>
        <w:rPr>
          <w:rFonts w:ascii="Times New Roman" w:hAnsi="Times New Roman"/>
          <w:sz w:val="20"/>
        </w:rPr>
      </w:pPr>
      <w:r>
        <w:rPr>
          <w:rFonts w:ascii="Times New Roman" w:hAnsi="Times New Roman"/>
          <w:sz w:val="20"/>
        </w:rPr>
        <w:t xml:space="preserve">The following table presents selected financial data for the Latin America segment after translation to U.S. dollars from its functional currency of the Mexican peso: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518"/>
        <w:gridCol w:w="509"/>
        <w:gridCol w:w="125"/>
        <w:gridCol w:w="592"/>
        <w:gridCol w:w="230"/>
        <w:gridCol w:w="463"/>
        <w:gridCol w:w="125"/>
        <w:gridCol w:w="592"/>
        <w:gridCol w:w="234"/>
      </w:tblGrid>
      <w:tr>
        <w:trPr/>
        <w:tc>
          <w:tcPr>
            <w:tcW w:w="651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6518"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12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w:t>
            </w:r>
          </w:p>
        </w:tc>
        <w:tc>
          <w:tcPr>
            <w:tcW w:w="234" w:type="dxa"/>
            <w:tcBorders/>
            <w:shd w:fill="auto" w:val="clear"/>
            <w:vAlign w:val="bottom"/>
          </w:tcPr>
          <w:p>
            <w:pPr>
              <w:pStyle w:val="TableContents"/>
              <w:spacing w:before="0" w:after="283"/>
              <w:rPr/>
            </w:pPr>
            <w:r>
              <w:rPr/>
              <w:t> </w:t>
            </w:r>
          </w:p>
        </w:tc>
      </w:tr>
      <w:tr>
        <w:trPr/>
        <w:tc>
          <w:tcPr>
            <w:tcW w:w="6518"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717"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2012    </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717"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234" w:type="dxa"/>
            <w:tcBorders/>
            <w:shd w:fill="auto" w:val="clear"/>
            <w:vAlign w:val="bottom"/>
          </w:tcPr>
          <w:p>
            <w:pPr>
              <w:pStyle w:val="TableContents"/>
              <w:spacing w:before="0" w:after="283"/>
              <w:rPr/>
            </w:pPr>
            <w:r>
              <w:rPr/>
              <w:t> </w:t>
            </w:r>
          </w:p>
        </w:tc>
      </w:tr>
      <w:tr>
        <w:trPr/>
        <w:tc>
          <w:tcPr>
            <w:tcW w:w="6518"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127"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234" w:type="dxa"/>
            <w:tcBorders/>
            <w:shd w:fill="auto" w:val="clear"/>
            <w:vAlign w:val="bottom"/>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19,841</w:t>
            </w:r>
          </w:p>
        </w:tc>
        <w:tc>
          <w:tcPr>
            <w:tcW w:w="23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10,928</w:t>
            </w:r>
          </w:p>
        </w:tc>
        <w:tc>
          <w:tcPr>
            <w:tcW w:w="234" w:type="dxa"/>
            <w:tcBorders/>
            <w:shd w:fill="CCEEFF" w:val="clear"/>
            <w:vAlign w:val="bottom"/>
          </w:tcPr>
          <w:p>
            <w:pPr>
              <w:pStyle w:val="TableContents"/>
              <w:spacing w:before="0" w:after="283"/>
              <w:rPr/>
            </w:pPr>
            <w:r>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7,298</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7,106</w:t>
            </w:r>
          </w:p>
        </w:tc>
        <w:tc>
          <w:tcPr>
            <w:tcW w:w="234" w:type="dxa"/>
            <w:tcBorders/>
            <w:shd w:fill="auto" w:val="clear"/>
            <w:vAlign w:val="bottom"/>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11,361</w:t>
            </w:r>
          </w:p>
        </w:tc>
        <w:tc>
          <w:tcPr>
            <w:tcW w:w="23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7,070</w:t>
            </w:r>
          </w:p>
        </w:tc>
        <w:tc>
          <w:tcPr>
            <w:tcW w:w="234" w:type="dxa"/>
            <w:tcBorders/>
            <w:shd w:fill="CCEEFF" w:val="clear"/>
            <w:vAlign w:val="bottom"/>
          </w:tcPr>
          <w:p>
            <w:pPr>
              <w:pStyle w:val="TableContents"/>
              <w:spacing w:before="0" w:after="283"/>
              <w:rPr/>
            </w:pPr>
            <w:r>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7,383</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4" w:type="dxa"/>
            <w:tcBorders/>
            <w:shd w:fill="auto" w:val="clear"/>
            <w:vAlign w:val="bottom"/>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Other revenues</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23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234" w:type="dxa"/>
            <w:tcBorders/>
            <w:shd w:fill="CCEEFF" w:val="clear"/>
            <w:vAlign w:val="bottom"/>
          </w:tcPr>
          <w:p>
            <w:pPr>
              <w:pStyle w:val="TableContents"/>
              <w:spacing w:before="0" w:after="283"/>
              <w:rPr/>
            </w:pPr>
            <w:r>
              <w:rPr/>
              <w:t>  </w:t>
            </w:r>
          </w:p>
        </w:tc>
      </w:tr>
      <w:tr>
        <w:trPr/>
        <w:tc>
          <w:tcPr>
            <w:tcW w:w="6518"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46,127</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25,132</w:t>
            </w:r>
          </w:p>
        </w:tc>
        <w:tc>
          <w:tcPr>
            <w:tcW w:w="234" w:type="dxa"/>
            <w:tcBorders/>
            <w:shd w:fill="auto" w:val="clear"/>
            <w:vAlign w:val="bottom"/>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10,326</w:t>
            </w:r>
          </w:p>
        </w:tc>
        <w:tc>
          <w:tcPr>
            <w:tcW w:w="23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6,269</w:t>
            </w:r>
          </w:p>
        </w:tc>
        <w:tc>
          <w:tcPr>
            <w:tcW w:w="234" w:type="dxa"/>
            <w:tcBorders/>
            <w:shd w:fill="CCEEFF" w:val="clear"/>
            <w:vAlign w:val="bottom"/>
          </w:tcPr>
          <w:p>
            <w:pPr>
              <w:pStyle w:val="TableContents"/>
              <w:spacing w:before="0" w:after="283"/>
              <w:rPr/>
            </w:pPr>
            <w:r>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5,047</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5,715</w:t>
            </w:r>
          </w:p>
        </w:tc>
        <w:tc>
          <w:tcPr>
            <w:tcW w:w="234" w:type="dxa"/>
            <w:tcBorders/>
            <w:shd w:fill="auto" w:val="clear"/>
            <w:vAlign w:val="bottom"/>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w:t>
            </w:r>
          </w:p>
        </w:tc>
        <w:tc>
          <w:tcPr>
            <w:tcW w:w="23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4" w:type="dxa"/>
            <w:tcBorders/>
            <w:shd w:fill="CCEEFF" w:val="clear"/>
            <w:vAlign w:val="bottom"/>
          </w:tcPr>
          <w:p>
            <w:pPr>
              <w:pStyle w:val="TableContents"/>
              <w:spacing w:before="0" w:after="283"/>
              <w:rPr/>
            </w:pPr>
            <w:r>
              <w:rPr/>
              <w:t>  </w:t>
            </w:r>
          </w:p>
        </w:tc>
      </w:tr>
      <w:tr>
        <w:trPr/>
        <w:tc>
          <w:tcPr>
            <w:tcW w:w="6518"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30,246</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13,148</w:t>
            </w:r>
          </w:p>
        </w:tc>
        <w:tc>
          <w:tcPr>
            <w:tcW w:w="234" w:type="dxa"/>
            <w:tcBorders/>
            <w:shd w:fill="auto" w:val="clear"/>
            <w:vAlign w:val="bottom"/>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14,209</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9,127</w:t>
            </w:r>
          </w:p>
        </w:tc>
        <w:tc>
          <w:tcPr>
            <w:tcW w:w="234" w:type="dxa"/>
            <w:tcBorders/>
            <w:shd w:fill="auto" w:val="clear"/>
            <w:vAlign w:val="bottom"/>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5,629</w:t>
            </w:r>
          </w:p>
        </w:tc>
        <w:tc>
          <w:tcPr>
            <w:tcW w:w="23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2,016</w:t>
            </w:r>
          </w:p>
        </w:tc>
        <w:tc>
          <w:tcPr>
            <w:tcW w:w="234" w:type="dxa"/>
            <w:tcBorders/>
            <w:shd w:fill="CCEEFF" w:val="clear"/>
            <w:vAlign w:val="bottom"/>
          </w:tcPr>
          <w:p>
            <w:pPr>
              <w:pStyle w:val="TableContents"/>
              <w:spacing w:before="0" w:after="283"/>
              <w:rPr/>
            </w:pPr>
            <w:r>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3,174</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1,281</w:t>
            </w:r>
          </w:p>
        </w:tc>
        <w:tc>
          <w:tcPr>
            <w:tcW w:w="234" w:type="dxa"/>
            <w:tcBorders/>
            <w:shd w:fill="auto" w:val="clear"/>
            <w:vAlign w:val="bottom"/>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sale or disposal of assets</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3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34" w:type="dxa"/>
            <w:tcBorders/>
            <w:shd w:fill="CCEEFF" w:val="clear"/>
            <w:vAlign w:val="bottom"/>
          </w:tcPr>
          <w:p>
            <w:pPr>
              <w:pStyle w:val="TableContents"/>
              <w:spacing w:before="0" w:after="283"/>
              <w:rPr/>
            </w:pPr>
            <w:r>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1,733</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34" w:type="dxa"/>
            <w:tcBorders/>
            <w:shd w:fill="auto" w:val="clear"/>
            <w:vAlign w:val="bottom"/>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23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34" w:type="dxa"/>
            <w:tcBorders/>
            <w:shd w:fill="CCEEFF" w:val="clear"/>
            <w:vAlign w:val="bottom"/>
          </w:tcPr>
          <w:p>
            <w:pPr>
              <w:pStyle w:val="TableContents"/>
              <w:spacing w:before="0" w:after="283"/>
              <w:rPr/>
            </w:pPr>
            <w:r>
              <w:rPr/>
              <w:t>  </w:t>
            </w:r>
          </w:p>
        </w:tc>
      </w:tr>
      <w:tr>
        <w:trPr/>
        <w:tc>
          <w:tcPr>
            <w:tcW w:w="6518"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2"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5,484</w:t>
            </w:r>
          </w:p>
        </w:tc>
        <w:tc>
          <w:tcPr>
            <w:tcW w:w="23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720</w:t>
            </w:r>
          </w:p>
        </w:tc>
        <w:tc>
          <w:tcPr>
            <w:tcW w:w="234" w:type="dxa"/>
            <w:tcBorders/>
            <w:shd w:fill="auto" w:val="clear"/>
            <w:vAlign w:val="bottom"/>
          </w:tcPr>
          <w:p>
            <w:pPr>
              <w:pStyle w:val="TableContents"/>
              <w:spacing w:before="0" w:after="283"/>
              <w:rPr/>
            </w:pPr>
            <w:r>
              <w:rPr/>
              <w:t>  </w:t>
            </w:r>
          </w:p>
        </w:tc>
      </w:tr>
      <w:tr>
        <w:trPr/>
        <w:tc>
          <w:tcPr>
            <w:tcW w:w="6518"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2" w:type="dxa"/>
            <w:tcBorders/>
            <w:shd w:fill="auto" w:val="clear"/>
            <w:vAlign w:val="bottom"/>
          </w:tcPr>
          <w:p>
            <w:pPr>
              <w:pStyle w:val="TableContents"/>
              <w:pBdr>
                <w:top w:val="double" w:sz="6"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2" w:type="dxa"/>
            <w:tcBorders/>
            <w:shd w:fill="auto" w:val="clear"/>
            <w:vAlign w:val="bottom"/>
          </w:tcPr>
          <w:p>
            <w:pPr>
              <w:pStyle w:val="TableContents"/>
              <w:pBdr>
                <w:top w:val="double" w:sz="6"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Other data:</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merchandise sales</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jewelry scrapping sales</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total sales</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pawn loan balance per pawn store at period end</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230" w:type="dxa"/>
            <w:tcBorders/>
            <w:shd w:fill="CCEEFF" w:val="clear"/>
            <w:vAlign w:val="bottom"/>
          </w:tcPr>
          <w:p>
            <w:pPr>
              <w:pStyle w:val="TableContents"/>
              <w:spacing w:before="0" w:after="283"/>
              <w:rPr/>
            </w:pPr>
            <w:r>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234" w:type="dxa"/>
            <w:tcBorders/>
            <w:shd w:fill="CCEEFF" w:val="clear"/>
            <w:vAlign w:val="bottom"/>
          </w:tcPr>
          <w:p>
            <w:pPr>
              <w:pStyle w:val="TableContents"/>
              <w:spacing w:before="0" w:after="283"/>
              <w:rPr/>
            </w:pPr>
            <w:r>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Average yield on pawn loan portfolio (a)</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18" w:type="dxa"/>
            <w:tcBorders/>
            <w:shd w:fill="CCEEFF" w:val="clear"/>
          </w:tcPr>
          <w:p>
            <w:pPr>
              <w:pStyle w:val="TableContents"/>
              <w:spacing w:before="0" w:after="283"/>
              <w:rPr>
                <w:rFonts w:ascii="Times New Roman" w:hAnsi="Times New Roman"/>
                <w:sz w:val="20"/>
              </w:rPr>
            </w:pPr>
            <w:r>
              <w:rPr>
                <w:rFonts w:ascii="Times New Roman" w:hAnsi="Times New Roman"/>
                <w:sz w:val="20"/>
              </w:rPr>
              <w:t>Pawn loan redemption rate</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18" w:type="dxa"/>
            <w:tcBorders/>
            <w:shd w:fill="auto" w:val="clear"/>
          </w:tcPr>
          <w:p>
            <w:pPr>
              <w:pStyle w:val="TableContents"/>
              <w:spacing w:before="0" w:after="283"/>
              <w:rPr>
                <w:rFonts w:ascii="Times New Roman" w:hAnsi="Times New Roman"/>
                <w:sz w:val="20"/>
              </w:rPr>
            </w:pPr>
            <w:r>
              <w:rPr>
                <w:rFonts w:ascii="Times New Roman" w:hAnsi="Times New Roman"/>
                <w:sz w:val="20"/>
              </w:rPr>
              <w:t>Consumer loan bad debt as a percentage of consumer loan fees</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234" w:type="dxa"/>
            <w:tcBorders/>
            <w:shd w:fill="auto"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Average yield on pawn loan portfolio is calculated as pawn service charge revenues for the period divided by the average pawn loan balance during the period. </w:t>
            </w:r>
          </w:p>
        </w:tc>
      </w:tr>
    </w:tbl>
    <w:p>
      <w:pPr>
        <w:pStyle w:val="TextBody"/>
        <w:spacing w:before="180" w:after="0"/>
        <w:rPr>
          <w:rFonts w:ascii="Times New Roman" w:hAnsi="Times New Roman"/>
          <w:sz w:val="20"/>
        </w:rPr>
      </w:pPr>
      <w:r>
        <w:rPr>
          <w:rFonts w:ascii="Times New Roman" w:hAnsi="Times New Roman"/>
          <w:sz w:val="20"/>
        </w:rPr>
        <w:t xml:space="preserve">The average exchange rate used to translate Latin Americas current quarter results from Mexican pesos to U.S. dollars was 13.3 to 1, 10% weaker than the prior years rate of 12.1 to 1. Total revenues increased 84% in U.S. dollars and 96% in peso terms. Operating expenses increased 99% in U.S. dollars and 119% increase in peso terms. In the current six-month period, we opened 27 de novo stores and on January 30, 2012 acquired 60% interest in Crediamigo, a specialty consumer finance company headquartered in Mexico City, with 45 locations throughout the country for approximately $60.1 million. Crediamigo was included in our results for two months of the six-month period. </w:t>
      </w:r>
    </w:p>
    <w:p>
      <w:pPr>
        <w:pStyle w:val="TextBody"/>
        <w:spacing w:before="180" w:after="0"/>
        <w:rPr>
          <w:rFonts w:ascii="Times New Roman" w:hAnsi="Times New Roman"/>
          <w:sz w:val="20"/>
        </w:rPr>
      </w:pPr>
      <w:r>
        <w:rPr>
          <w:rFonts w:ascii="Times New Roman" w:hAnsi="Times New Roman"/>
          <w:sz w:val="20"/>
        </w:rPr>
        <w:t xml:space="preserve">The Latin America segment total revenues increased $21.0 million, or 84%, in the current six-month period to $46.1 million. Same store total revenues increased $3.0 million, or 12%, and new and acquired stores contributed $18.0 million. The overall increase in total revenues was mostly due to a $9.1 million increase in merchandise and jewelry scrapping sales, a $4.3 million increase in pawn service charges and the $7.4 million Crediamigo consumer loan fees.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Latin Americas pawn service charge revenues increased $4.3 million, or 61%, in the current six-month period to $11.4 million. Same store pawn service charges increased approximately $1.4 million, or 20%, and new and acquired stores contributed $2.9 million. The increase was due to a 48% increase in the average pawn loan balance during the period coupled with a 16 percentage point increase in the pawn yield. The yield increased primarily due to a 4 percentage point increase in the loan redemption rate as we continued to focus on loan values. </w:t>
      </w:r>
    </w:p>
    <w:p>
      <w:pPr>
        <w:pStyle w:val="TextBody"/>
        <w:spacing w:before="180" w:after="0"/>
        <w:rPr>
          <w:rFonts w:ascii="Times New Roman" w:hAnsi="Times New Roman"/>
          <w:sz w:val="20"/>
        </w:rPr>
      </w:pPr>
      <w:r>
        <w:rPr>
          <w:rFonts w:ascii="Times New Roman" w:hAnsi="Times New Roman"/>
          <w:sz w:val="20"/>
        </w:rPr>
        <w:t xml:space="preserve">Merchandise gross profit increased $4.9 million, or 104%, from the prior year period to $9.5 million. The increase was due to a $3.0 million, or 28%, same store sales increase and $5.9 million in sales from new and acquired stores coupled with a 5.4 percentage point increase in gross margins to 48.0%. </w:t>
      </w:r>
    </w:p>
    <w:p>
      <w:pPr>
        <w:pStyle w:val="TextBody"/>
        <w:spacing w:before="180" w:after="0"/>
        <w:rPr>
          <w:rFonts w:ascii="Times New Roman" w:hAnsi="Times New Roman"/>
          <w:sz w:val="20"/>
        </w:rPr>
      </w:pPr>
      <w:r>
        <w:rPr>
          <w:rFonts w:ascii="Times New Roman" w:hAnsi="Times New Roman"/>
          <w:sz w:val="20"/>
        </w:rPr>
        <w:t xml:space="preserve">Gross profit on jewelry scrapping sales increased $0.9 million, or 62%, from the prior year six-month period to $2.3 million. Jewelry scrapping revenues increased slightly to $7.3 million, as the 19% decrease in gold volume was offset by a 23% increase in proceeds realized per gram of gold jewelry scrapped. Same store jewelry scrapping sales decreased $1.6 million, or 22%, and new and acquired stores contributed $1.8 million. As a result of the lower volume, scrap cost of goods decreased $0.7 million or 12%. </w:t>
      </w:r>
    </w:p>
    <w:p>
      <w:pPr>
        <w:pStyle w:val="TextBody"/>
        <w:spacing w:before="180" w:after="0"/>
        <w:rPr>
          <w:rFonts w:ascii="Times New Roman" w:hAnsi="Times New Roman"/>
          <w:sz w:val="20"/>
        </w:rPr>
      </w:pPr>
      <w:r>
        <w:rPr>
          <w:rFonts w:ascii="Times New Roman" w:hAnsi="Times New Roman"/>
          <w:sz w:val="20"/>
        </w:rPr>
        <w:t xml:space="preserve">The Crediamigo acquisition marks our initial entry into the non-secure loan business in Mexico. In the current six-month period, consumer loan fees were $7.4 million with bad debt as a percentage of consumer loan fees at 7%. </w:t>
      </w:r>
    </w:p>
    <w:p>
      <w:pPr>
        <w:pStyle w:val="TextBody"/>
        <w:spacing w:before="180" w:after="0"/>
        <w:rPr>
          <w:rFonts w:ascii="Times New Roman" w:hAnsi="Times New Roman"/>
          <w:sz w:val="20"/>
        </w:rPr>
      </w:pPr>
      <w:r>
        <w:rPr>
          <w:rFonts w:ascii="Times New Roman" w:hAnsi="Times New Roman"/>
          <w:sz w:val="20"/>
        </w:rPr>
        <w:t xml:space="preserve">Total operations expense increased to $24.8 million (54% of revenues) in the current six-month period from $12.4 million (49% of revenues). The dollar increase was due to a 56%, or $5.1 million, increase in store operations expenses due to higher operating costs resulting from the addition of 58 Empeño Fácil stores since the end of the prior six-month period and $1.3 million related to Crediamigo commissions, a $3.6 million increase in administrative expenses from the prior year quarter to $5.6 million mainly due to Crediamigo administrative expenses and other acquisition costs, a $1.9 million increase in depreciation and amortization from the prior year quarter to $3.2 million, mainly due to depreciation of assets placed in service at new stores and amortization of acquisition related intangible assets and a $1.7 million increase in net interest expense related to Crediamigos debt. The decrease as a percentage of revenues is due to expense management improvements as stores mature and become profitable. </w:t>
      </w:r>
    </w:p>
    <w:p>
      <w:pPr>
        <w:pStyle w:val="TextBody"/>
        <w:spacing w:before="180" w:after="0"/>
        <w:rPr>
          <w:rFonts w:ascii="Times New Roman" w:hAnsi="Times New Roman"/>
          <w:sz w:val="20"/>
        </w:rPr>
      </w:pPr>
      <w:r>
        <w:rPr>
          <w:rFonts w:ascii="Times New Roman" w:hAnsi="Times New Roman"/>
          <w:sz w:val="20"/>
        </w:rPr>
        <w:t xml:space="preserve">In the current six-month period, the $17.1 million greater net revenues were greatly offset by the $12.3 million higher operations expense, resulting in a $4.8 million increase in contribution for the Latin America segment. Contribution margin increased 9.0 percentage points to 12%. </w:t>
      </w:r>
    </w:p>
    <w:p>
      <w:pPr>
        <w:pStyle w:val="TextBody"/>
        <w:spacing w:before="360" w:after="0"/>
        <w:jc w:val="center"/>
        <w:rPr>
          <w:rFonts w:ascii="Times New Roman" w:hAnsi="Times New Roman"/>
          <w:b/>
          <w:sz w:val="20"/>
        </w:rPr>
      </w:pPr>
      <w:r>
        <w:rPr>
          <w:rFonts w:ascii="Times New Roman" w:hAnsi="Times New Roman"/>
          <w:b/>
          <w:sz w:val="20"/>
        </w:rPr>
        <w:t xml:space="preserve">Other International </w:t>
      </w:r>
    </w:p>
    <w:p>
      <w:pPr>
        <w:pStyle w:val="TextBody"/>
        <w:spacing w:before="180" w:after="0"/>
        <w:rPr>
          <w:rFonts w:ascii="Times New Roman" w:hAnsi="Times New Roman"/>
          <w:sz w:val="20"/>
        </w:rPr>
      </w:pPr>
      <w:r>
        <w:rPr>
          <w:rFonts w:ascii="Times New Roman" w:hAnsi="Times New Roman"/>
          <w:sz w:val="20"/>
        </w:rPr>
        <w:t xml:space="preserve">The following table presents selected financial data for the Other International segment: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498"/>
        <w:gridCol w:w="580"/>
        <w:gridCol w:w="130"/>
        <w:gridCol w:w="572"/>
        <w:gridCol w:w="239"/>
        <w:gridCol w:w="536"/>
        <w:gridCol w:w="130"/>
        <w:gridCol w:w="574"/>
        <w:gridCol w:w="129"/>
      </w:tblGrid>
      <w:tr>
        <w:trPr/>
        <w:tc>
          <w:tcPr>
            <w:tcW w:w="649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498"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rPr/>
            </w:pPr>
            <w:r>
              <w:rPr/>
              <w:t>  </w:t>
            </w:r>
          </w:p>
        </w:tc>
        <w:tc>
          <w:tcPr>
            <w:tcW w:w="218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w:t>
            </w:r>
          </w:p>
        </w:tc>
        <w:tc>
          <w:tcPr>
            <w:tcW w:w="129" w:type="dxa"/>
            <w:tcBorders/>
            <w:shd w:fill="auto" w:val="clear"/>
            <w:vAlign w:val="bottom"/>
          </w:tcPr>
          <w:p>
            <w:pPr>
              <w:pStyle w:val="TableContents"/>
              <w:spacing w:before="0" w:after="283"/>
              <w:rPr/>
            </w:pPr>
            <w:r>
              <w:rPr/>
              <w:t> </w:t>
            </w:r>
          </w:p>
        </w:tc>
      </w:tr>
      <w:tr>
        <w:trPr/>
        <w:tc>
          <w:tcPr>
            <w:tcW w:w="6498"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rPr/>
            </w:pPr>
            <w:r>
              <w:rPr/>
              <w:t>  </w:t>
            </w:r>
          </w:p>
        </w:tc>
        <w:tc>
          <w:tcPr>
            <w:tcW w:w="702"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2012    </w:t>
            </w:r>
          </w:p>
        </w:tc>
        <w:tc>
          <w:tcPr>
            <w:tcW w:w="239"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704"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129" w:type="dxa"/>
            <w:tcBorders/>
            <w:shd w:fill="auto" w:val="clear"/>
            <w:vAlign w:val="bottom"/>
          </w:tcPr>
          <w:p>
            <w:pPr>
              <w:pStyle w:val="TableContents"/>
              <w:spacing w:before="0" w:after="283"/>
              <w:rPr/>
            </w:pPr>
            <w:r>
              <w:rPr/>
              <w:t> </w:t>
            </w:r>
          </w:p>
        </w:tc>
      </w:tr>
      <w:tr>
        <w:trPr/>
        <w:tc>
          <w:tcPr>
            <w:tcW w:w="6498"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rPr/>
            </w:pPr>
            <w:r>
              <w:rPr/>
              <w:t>  </w:t>
            </w:r>
          </w:p>
        </w:tc>
        <w:tc>
          <w:tcPr>
            <w:tcW w:w="2181"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9" w:type="dxa"/>
            <w:tcBorders/>
            <w:shd w:fill="auto" w:val="clear"/>
            <w:vAlign w:val="bottom"/>
          </w:tcPr>
          <w:p>
            <w:pPr>
              <w:pStyle w:val="TableContents"/>
              <w:spacing w:before="0" w:after="283"/>
              <w:rPr/>
            </w:pPr>
            <w:r>
              <w:rPr/>
              <w:t> </w:t>
            </w:r>
          </w:p>
        </w:tc>
      </w:tr>
      <w:tr>
        <w:trPr/>
        <w:tc>
          <w:tcPr>
            <w:tcW w:w="6498"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fees</w:t>
            </w:r>
          </w:p>
        </w:tc>
        <w:tc>
          <w:tcPr>
            <w:tcW w:w="58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239"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6498" w:type="dxa"/>
            <w:tcBorders/>
            <w:shd w:fill="auto" w:val="clear"/>
            <w:vAlign w:val="bottom"/>
          </w:tcPr>
          <w:p>
            <w:pPr>
              <w:pStyle w:val="TableContents"/>
              <w:spacing w:before="0" w:after="283"/>
              <w:rPr>
                <w:sz w:val="4"/>
                <w:szCs w:val="4"/>
              </w:rPr>
            </w:pPr>
            <w:r>
              <w:rPr>
                <w:sz w:val="4"/>
                <w:szCs w:val="4"/>
              </w:rPr>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72" w:type="dxa"/>
            <w:tcBorders/>
            <w:shd w:fill="auto" w:val="clear"/>
            <w:vAlign w:val="bottom"/>
          </w:tcPr>
          <w:p>
            <w:pPr>
              <w:pStyle w:val="TableContents"/>
              <w:pBdr>
                <w:top w:val="single" w:sz="2" w:space="1" w:color="000000"/>
              </w:pBdr>
              <w:spacing w:before="0" w:after="283"/>
              <w:rPr/>
            </w:pPr>
            <w:r>
              <w:rPr/>
              <w:t> </w:t>
            </w:r>
          </w:p>
        </w:tc>
        <w:tc>
          <w:tcPr>
            <w:tcW w:w="239" w:type="dxa"/>
            <w:tcBorders/>
            <w:shd w:fill="auto" w:val="clear"/>
            <w:vAlign w:val="center"/>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74"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498"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239"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6498"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w:t>
            </w:r>
          </w:p>
        </w:tc>
        <w:tc>
          <w:tcPr>
            <w:tcW w:w="58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239"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6498" w:type="dxa"/>
            <w:tcBorders/>
            <w:shd w:fill="auto" w:val="clear"/>
            <w:vAlign w:val="bottom"/>
          </w:tcPr>
          <w:p>
            <w:pPr>
              <w:pStyle w:val="TableContents"/>
              <w:spacing w:before="0" w:after="283"/>
              <w:rPr>
                <w:sz w:val="4"/>
                <w:szCs w:val="4"/>
              </w:rPr>
            </w:pPr>
            <w:r>
              <w:rPr>
                <w:sz w:val="4"/>
                <w:szCs w:val="4"/>
              </w:rPr>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72" w:type="dxa"/>
            <w:tcBorders/>
            <w:shd w:fill="auto" w:val="clear"/>
            <w:vAlign w:val="bottom"/>
          </w:tcPr>
          <w:p>
            <w:pPr>
              <w:pStyle w:val="TableContents"/>
              <w:pBdr>
                <w:top w:val="single" w:sz="2" w:space="1" w:color="000000"/>
              </w:pBdr>
              <w:spacing w:before="0" w:after="283"/>
              <w:rPr/>
            </w:pPr>
            <w:r>
              <w:rPr/>
              <w:t> </w:t>
            </w:r>
          </w:p>
        </w:tc>
        <w:tc>
          <w:tcPr>
            <w:tcW w:w="239" w:type="dxa"/>
            <w:tcBorders/>
            <w:shd w:fill="auto" w:val="clear"/>
            <w:vAlign w:val="center"/>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74"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498"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649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58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72"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sz w:val="4"/>
                <w:szCs w:val="4"/>
              </w:rPr>
            </w:pPr>
            <w:r>
              <w:rPr>
                <w:sz w:val="4"/>
                <w:szCs w:val="4"/>
              </w:rPr>
            </w:r>
          </w:p>
        </w:tc>
        <w:tc>
          <w:tcPr>
            <w:tcW w:w="53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6498"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operations</w:t>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w:t>
            </w:r>
          </w:p>
        </w:tc>
        <w:tc>
          <w:tcPr>
            <w:tcW w:w="239"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6498"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w:t>
            </w:r>
          </w:p>
        </w:tc>
        <w:tc>
          <w:tcPr>
            <w:tcW w:w="58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422</w:t>
            </w:r>
          </w:p>
        </w:tc>
        <w:tc>
          <w:tcPr>
            <w:tcW w:w="239"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9" w:type="dxa"/>
            <w:tcBorders/>
            <w:shd w:fill="CCEEFF" w:val="clear"/>
            <w:vAlign w:val="bottom"/>
          </w:tcPr>
          <w:p>
            <w:pPr>
              <w:pStyle w:val="TableContents"/>
              <w:spacing w:before="0" w:after="283"/>
              <w:rPr/>
            </w:pPr>
            <w:r>
              <w:rPr/>
              <w:t>  </w:t>
            </w:r>
          </w:p>
        </w:tc>
      </w:tr>
      <w:tr>
        <w:trPr/>
        <w:tc>
          <w:tcPr>
            <w:tcW w:w="649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239"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6498"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58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3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8"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8" w:type="dxa"/>
            <w:tcBorders/>
            <w:shd w:fill="auto" w:val="clear"/>
            <w:vAlign w:val="bottom"/>
          </w:tcPr>
          <w:p>
            <w:pPr>
              <w:pStyle w:val="TableContents"/>
              <w:spacing w:before="0" w:after="283"/>
              <w:rPr>
                <w:sz w:val="4"/>
                <w:szCs w:val="4"/>
              </w:rPr>
            </w:pPr>
            <w:r>
              <w:rPr>
                <w:sz w:val="4"/>
                <w:szCs w:val="4"/>
              </w:rPr>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72" w:type="dxa"/>
            <w:tcBorders/>
            <w:shd w:fill="auto" w:val="clear"/>
            <w:vAlign w:val="bottom"/>
          </w:tcPr>
          <w:p>
            <w:pPr>
              <w:pStyle w:val="TableContents"/>
              <w:pBdr>
                <w:top w:val="single" w:sz="2" w:space="1" w:color="000000"/>
              </w:pBdr>
              <w:spacing w:before="0" w:after="283"/>
              <w:rPr/>
            </w:pPr>
            <w:r>
              <w:rPr/>
              <w:t> </w:t>
            </w:r>
          </w:p>
        </w:tc>
        <w:tc>
          <w:tcPr>
            <w:tcW w:w="239" w:type="dxa"/>
            <w:tcBorders/>
            <w:shd w:fill="auto" w:val="clear"/>
            <w:vAlign w:val="center"/>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574"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498"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58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7,989</w:t>
            </w:r>
          </w:p>
        </w:tc>
        <w:tc>
          <w:tcPr>
            <w:tcW w:w="239"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8,067</w:t>
            </w:r>
          </w:p>
        </w:tc>
        <w:tc>
          <w:tcPr>
            <w:tcW w:w="129" w:type="dxa"/>
            <w:tcBorders/>
            <w:shd w:fill="CCEEFF" w:val="clear"/>
            <w:vAlign w:val="bottom"/>
          </w:tcPr>
          <w:p>
            <w:pPr>
              <w:pStyle w:val="TableContents"/>
              <w:spacing w:before="0" w:after="283"/>
              <w:rPr/>
            </w:pPr>
            <w:r>
              <w:rPr/>
              <w:t>  </w:t>
            </w:r>
          </w:p>
        </w:tc>
      </w:tr>
      <w:tr>
        <w:trPr/>
        <w:tc>
          <w:tcPr>
            <w:tcW w:w="6498" w:type="dxa"/>
            <w:tcBorders/>
            <w:shd w:fill="auto" w:val="clear"/>
            <w:vAlign w:val="bottom"/>
          </w:tcPr>
          <w:p>
            <w:pPr>
              <w:pStyle w:val="TableContents"/>
              <w:spacing w:before="0" w:after="283"/>
              <w:rPr>
                <w:sz w:val="4"/>
                <w:szCs w:val="4"/>
              </w:rPr>
            </w:pPr>
            <w:r>
              <w:rPr>
                <w:sz w:val="4"/>
                <w:szCs w:val="4"/>
              </w:rPr>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572" w:type="dxa"/>
            <w:tcBorders/>
            <w:shd w:fill="auto" w:val="clear"/>
            <w:vAlign w:val="bottom"/>
          </w:tcPr>
          <w:p>
            <w:pPr>
              <w:pStyle w:val="TableContents"/>
              <w:pBdr>
                <w:top w:val="double" w:sz="6" w:space="1" w:color="000000"/>
              </w:pBdr>
              <w:spacing w:before="0" w:after="283"/>
              <w:rPr/>
            </w:pPr>
            <w:r>
              <w:rPr/>
              <w:t> </w:t>
            </w:r>
          </w:p>
        </w:tc>
        <w:tc>
          <w:tcPr>
            <w:tcW w:w="239" w:type="dxa"/>
            <w:tcBorders/>
            <w:shd w:fill="auto" w:val="clear"/>
            <w:vAlign w:val="center"/>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574"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6498" w:type="dxa"/>
            <w:tcBorders/>
            <w:shd w:fill="auto" w:val="clear"/>
          </w:tcPr>
          <w:p>
            <w:pPr>
              <w:pStyle w:val="TableContents"/>
              <w:spacing w:before="0" w:after="283"/>
              <w:rPr>
                <w:rFonts w:ascii="Times New Roman" w:hAnsi="Times New Roman"/>
                <w:sz w:val="20"/>
              </w:rPr>
            </w:pPr>
            <w:r>
              <w:rPr>
                <w:rFonts w:ascii="Times New Roman" w:hAnsi="Times New Roman"/>
                <w:sz w:val="20"/>
              </w:rPr>
              <w:t>Other data:</w:t>
            </w:r>
          </w:p>
        </w:tc>
        <w:tc>
          <w:tcPr>
            <w:tcW w:w="58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72"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6498" w:type="dxa"/>
            <w:tcBorders/>
            <w:shd w:fill="CCEEFF" w:val="clear"/>
          </w:tcPr>
          <w:p>
            <w:pPr>
              <w:pStyle w:val="TableContents"/>
              <w:spacing w:before="0" w:after="283"/>
              <w:rPr>
                <w:rFonts w:ascii="Times New Roman" w:hAnsi="Times New Roman"/>
                <w:sz w:val="20"/>
              </w:rPr>
            </w:pPr>
            <w:r>
              <w:rPr>
                <w:rFonts w:ascii="Times New Roman" w:hAnsi="Times New Roman"/>
                <w:sz w:val="20"/>
              </w:rPr>
              <w:t>Consumer loan bad debt as a percent of consumer loan fees</w:t>
            </w:r>
          </w:p>
        </w:tc>
        <w:tc>
          <w:tcPr>
            <w:tcW w:w="58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36"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29"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the first quarter of 2012, we began offering consumer loans online in the U.K. In the current six-month period, consumer loan fees were $0.2 million with bad debt as a percentage of fees at 104.4%. </w:t>
      </w:r>
    </w:p>
    <w:p>
      <w:pPr>
        <w:pStyle w:val="TextBody"/>
        <w:spacing w:before="180" w:after="0"/>
        <w:rPr>
          <w:rFonts w:ascii="Times New Roman" w:hAnsi="Times New Roman"/>
          <w:sz w:val="20"/>
        </w:rPr>
      </w:pPr>
      <w:r>
        <w:rPr>
          <w:rFonts w:ascii="Times New Roman" w:hAnsi="Times New Roman"/>
          <w:sz w:val="20"/>
        </w:rPr>
        <w:t xml:space="preserve">Our equity in the net income of unconsolidated affiliates increased $0.7 million, or 8%, from the prior six-month period to $8.7 million, reflecting a relatively strong first half from Albermarle &amp; Bond offset by a slightly weaker first half from Cash Converters International due to a series of one-time costs. </w:t>
      </w:r>
    </w:p>
    <w:p>
      <w:pPr>
        <w:pStyle w:val="TextBody"/>
        <w:spacing w:before="180" w:after="0"/>
        <w:rPr>
          <w:rFonts w:ascii="Times New Roman" w:hAnsi="Times New Roman"/>
          <w:sz w:val="20"/>
        </w:rPr>
      </w:pPr>
      <w:r>
        <w:rPr>
          <w:rFonts w:ascii="Times New Roman" w:hAnsi="Times New Roman"/>
          <w:sz w:val="20"/>
        </w:rPr>
        <w:t xml:space="preserve">In the current six-month period, operations expenses were $0.7 million, mainly due to fees paid for the generation of online leads and acquisition related costs. </w:t>
      </w:r>
    </w:p>
    <w:p>
      <w:pPr>
        <w:pStyle w:val="TextBody"/>
        <w:spacing w:before="360" w:after="0"/>
        <w:jc w:val="center"/>
        <w:rPr>
          <w:rFonts w:ascii="Times New Roman" w:hAnsi="Times New Roman"/>
          <w:b/>
          <w:sz w:val="20"/>
        </w:rPr>
      </w:pPr>
      <w:r>
        <w:rPr>
          <w:rFonts w:ascii="Times New Roman" w:hAnsi="Times New Roman"/>
          <w:b/>
          <w:sz w:val="20"/>
        </w:rPr>
        <w:t xml:space="preserve">Other Items </w:t>
      </w:r>
    </w:p>
    <w:p>
      <w:pPr>
        <w:pStyle w:val="TextBody"/>
        <w:spacing w:before="180" w:after="0"/>
        <w:rPr>
          <w:rFonts w:ascii="Times New Roman" w:hAnsi="Times New Roman"/>
          <w:sz w:val="20"/>
        </w:rPr>
      </w:pPr>
      <w:r>
        <w:rPr>
          <w:rFonts w:ascii="Times New Roman" w:hAnsi="Times New Roman"/>
          <w:sz w:val="20"/>
        </w:rPr>
        <w:t xml:space="preserve">The following table reconciles our consolidated store operating income discussed above to net income, including items that affect our consolidated financial results but are not allocated among segments: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904"/>
        <w:gridCol w:w="295"/>
        <w:gridCol w:w="125"/>
        <w:gridCol w:w="700"/>
        <w:gridCol w:w="120"/>
        <w:gridCol w:w="295"/>
        <w:gridCol w:w="125"/>
        <w:gridCol w:w="700"/>
        <w:gridCol w:w="124"/>
      </w:tblGrid>
      <w:tr>
        <w:trPr/>
        <w:tc>
          <w:tcPr>
            <w:tcW w:w="690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90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6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March 31,</w:t>
            </w:r>
          </w:p>
        </w:tc>
        <w:tc>
          <w:tcPr>
            <w:tcW w:w="124" w:type="dxa"/>
            <w:tcBorders/>
            <w:shd w:fill="auto" w:val="clear"/>
            <w:vAlign w:val="bottom"/>
          </w:tcPr>
          <w:p>
            <w:pPr>
              <w:pStyle w:val="TableContents"/>
              <w:spacing w:before="0" w:after="283"/>
              <w:rPr/>
            </w:pPr>
            <w:r>
              <w:rPr/>
              <w:t> </w:t>
            </w:r>
          </w:p>
        </w:tc>
      </w:tr>
      <w:tr>
        <w:trPr/>
        <w:tc>
          <w:tcPr>
            <w:tcW w:w="690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2012    </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14"/>
              </w:rPr>
              <w:t>2011    </w:t>
            </w:r>
          </w:p>
        </w:tc>
        <w:tc>
          <w:tcPr>
            <w:tcW w:w="124" w:type="dxa"/>
            <w:tcBorders/>
            <w:shd w:fill="auto" w:val="clear"/>
            <w:vAlign w:val="bottom"/>
          </w:tcPr>
          <w:p>
            <w:pPr>
              <w:pStyle w:val="TableContents"/>
              <w:spacing w:before="0" w:after="283"/>
              <w:rPr/>
            </w:pPr>
            <w:r>
              <w:rPr/>
              <w:t> </w:t>
            </w:r>
          </w:p>
        </w:tc>
      </w:tr>
      <w:tr>
        <w:trPr/>
        <w:tc>
          <w:tcPr>
            <w:tcW w:w="6904"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65"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6904"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contribution</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143,469</w:t>
            </w:r>
          </w:p>
        </w:tc>
        <w:tc>
          <w:tcPr>
            <w:tcW w:w="12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124,156</w:t>
            </w:r>
          </w:p>
        </w:tc>
        <w:tc>
          <w:tcPr>
            <w:tcW w:w="124" w:type="dxa"/>
            <w:tcBorders/>
            <w:shd w:fill="CCEEFF" w:val="clear"/>
            <w:vAlign w:val="bottom"/>
          </w:tcPr>
          <w:p>
            <w:pPr>
              <w:pStyle w:val="TableContents"/>
              <w:spacing w:before="0" w:after="283"/>
              <w:rPr/>
            </w:pPr>
            <w:r>
              <w:rPr/>
              <w:t>  </w:t>
            </w:r>
          </w:p>
        </w:tc>
      </w:tr>
      <w:tr>
        <w:trPr/>
        <w:tc>
          <w:tcPr>
            <w:tcW w:w="6904"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 expenses</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23,142</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29,993</w:t>
            </w:r>
          </w:p>
        </w:tc>
        <w:tc>
          <w:tcPr>
            <w:tcW w:w="124" w:type="dxa"/>
            <w:tcBorders/>
            <w:shd w:fill="auto" w:val="clear"/>
            <w:vAlign w:val="bottom"/>
          </w:tcPr>
          <w:p>
            <w:pPr>
              <w:pStyle w:val="TableContents"/>
              <w:spacing w:before="0" w:after="283"/>
              <w:rPr/>
            </w:pPr>
            <w:r>
              <w:rPr/>
              <w:t>  </w:t>
            </w:r>
          </w:p>
        </w:tc>
      </w:tr>
      <w:tr>
        <w:trPr/>
        <w:tc>
          <w:tcPr>
            <w:tcW w:w="6904"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2,533</w:t>
            </w:r>
          </w:p>
        </w:tc>
        <w:tc>
          <w:tcPr>
            <w:tcW w:w="12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1,762</w:t>
            </w:r>
          </w:p>
        </w:tc>
        <w:tc>
          <w:tcPr>
            <w:tcW w:w="124" w:type="dxa"/>
            <w:tcBorders/>
            <w:shd w:fill="CCEEFF" w:val="clear"/>
            <w:vAlign w:val="bottom"/>
          </w:tcPr>
          <w:p>
            <w:pPr>
              <w:pStyle w:val="TableContents"/>
              <w:spacing w:before="0" w:after="283"/>
              <w:rPr/>
            </w:pPr>
            <w:r>
              <w:rPr/>
              <w:t>  </w:t>
            </w:r>
          </w:p>
        </w:tc>
      </w:tr>
      <w:tr>
        <w:trPr/>
        <w:tc>
          <w:tcPr>
            <w:tcW w:w="690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1,060</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584</w:t>
            </w:r>
          </w:p>
        </w:tc>
        <w:tc>
          <w:tcPr>
            <w:tcW w:w="124" w:type="dxa"/>
            <w:tcBorders/>
            <w:shd w:fill="auto" w:val="clear"/>
            <w:vAlign w:val="bottom"/>
          </w:tcPr>
          <w:p>
            <w:pPr>
              <w:pStyle w:val="TableContents"/>
              <w:spacing w:before="0" w:after="283"/>
              <w:rPr/>
            </w:pPr>
            <w:r>
              <w:rPr/>
              <w:t>  </w:t>
            </w:r>
          </w:p>
        </w:tc>
      </w:tr>
      <w:tr>
        <w:trPr/>
        <w:tc>
          <w:tcPr>
            <w:tcW w:w="6904"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904" w:type="dxa"/>
            <w:tcBorders/>
            <w:shd w:fill="CCEEFF" w:val="clear"/>
          </w:tcPr>
          <w:p>
            <w:pPr>
              <w:pStyle w:val="TableContents"/>
              <w:spacing w:before="0" w:after="283"/>
              <w:rPr>
                <w:rFonts w:ascii="Times New Roman" w:hAnsi="Times New Roman"/>
                <w:sz w:val="20"/>
              </w:rPr>
            </w:pPr>
            <w:r>
              <w:rPr>
                <w:rFonts w:ascii="Times New Roman" w:hAnsi="Times New Roman"/>
                <w:sz w:val="20"/>
              </w:rPr>
              <w:t>Consolidated income before income taxes</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116,734</w:t>
            </w:r>
          </w:p>
        </w:tc>
        <w:tc>
          <w:tcPr>
            <w:tcW w:w="12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91,817</w:t>
            </w:r>
          </w:p>
        </w:tc>
        <w:tc>
          <w:tcPr>
            <w:tcW w:w="124" w:type="dxa"/>
            <w:tcBorders/>
            <w:shd w:fill="CCEEFF" w:val="clear"/>
            <w:vAlign w:val="bottom"/>
          </w:tcPr>
          <w:p>
            <w:pPr>
              <w:pStyle w:val="TableContents"/>
              <w:spacing w:before="0" w:after="283"/>
              <w:rPr/>
            </w:pPr>
            <w:r>
              <w:rPr/>
              <w:t>  </w:t>
            </w:r>
          </w:p>
        </w:tc>
      </w:tr>
      <w:tr>
        <w:trPr/>
        <w:tc>
          <w:tcPr>
            <w:tcW w:w="6904"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40,009</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32,550</w:t>
            </w:r>
          </w:p>
        </w:tc>
        <w:tc>
          <w:tcPr>
            <w:tcW w:w="124" w:type="dxa"/>
            <w:tcBorders/>
            <w:shd w:fill="auto" w:val="clear"/>
            <w:vAlign w:val="bottom"/>
          </w:tcPr>
          <w:p>
            <w:pPr>
              <w:pStyle w:val="TableContents"/>
              <w:spacing w:before="0" w:after="283"/>
              <w:rPr/>
            </w:pPr>
            <w:r>
              <w:rPr/>
              <w:t>  </w:t>
            </w:r>
          </w:p>
        </w:tc>
      </w:tr>
      <w:tr>
        <w:trPr/>
        <w:tc>
          <w:tcPr>
            <w:tcW w:w="6904"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90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76,725</w:t>
            </w:r>
          </w:p>
        </w:tc>
        <w:tc>
          <w:tcPr>
            <w:tcW w:w="12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24" w:type="dxa"/>
            <w:tcBorders/>
            <w:shd w:fill="CCEEFF" w:val="clear"/>
            <w:vAlign w:val="bottom"/>
          </w:tcPr>
          <w:p>
            <w:pPr>
              <w:pStyle w:val="TableContents"/>
              <w:spacing w:before="0" w:after="283"/>
              <w:rPr/>
            </w:pPr>
            <w:r>
              <w:rPr/>
              <w:t>  </w:t>
            </w:r>
          </w:p>
        </w:tc>
      </w:tr>
      <w:tr>
        <w:trPr/>
        <w:tc>
          <w:tcPr>
            <w:tcW w:w="690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attributable to noncontrolling interest</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r>
      <w:tr>
        <w:trPr/>
        <w:tc>
          <w:tcPr>
            <w:tcW w:w="6904"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90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attributable to EZCORP, Inc.</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76,613</w:t>
            </w:r>
          </w:p>
        </w:tc>
        <w:tc>
          <w:tcPr>
            <w:tcW w:w="12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59,267</w:t>
            </w:r>
          </w:p>
        </w:tc>
        <w:tc>
          <w:tcPr>
            <w:tcW w:w="124" w:type="dxa"/>
            <w:tcBorders/>
            <w:shd w:fill="CCEEFF" w:val="clear"/>
            <w:vAlign w:val="bottom"/>
          </w:tcPr>
          <w:p>
            <w:pPr>
              <w:pStyle w:val="TableContents"/>
              <w:spacing w:before="0" w:after="283"/>
              <w:rPr/>
            </w:pPr>
            <w:r>
              <w:rPr/>
              <w:t>  </w:t>
            </w:r>
          </w:p>
        </w:tc>
      </w:tr>
      <w:tr>
        <w:trPr/>
        <w:tc>
          <w:tcPr>
            <w:tcW w:w="6904"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0"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Corporate expenses decreased $5.6 million, or 17%, to $26.7 million as a result of a $6.9 million decrease in administrative expenses to $23.1 million. This decrease is primarily due to a pre-tax charge of $10.9 million related to the retirement of our Chief Executive officer in the prior six-month period. This charge included $3.4 million attributable to a cash payment and $7.5 million attributable to the accelerated vesting of restricted stock. Excluding this charge, administrative expenses increased $4.0 million. In the current six-month period interest expense increased 82% increase due to greater utilization of our revolver and depreciation and amortization increased 44% due to assets placed in service as we continue to invest in the infrastructure to support our growth. </w:t>
      </w:r>
    </w:p>
    <w:p>
      <w:pPr>
        <w:pStyle w:val="TextBody"/>
        <w:spacing w:before="180" w:after="0"/>
        <w:rPr>
          <w:rFonts w:ascii="Times New Roman" w:hAnsi="Times New Roman"/>
          <w:sz w:val="20"/>
        </w:rPr>
      </w:pPr>
      <w:r>
        <w:rPr>
          <w:rFonts w:ascii="Times New Roman" w:hAnsi="Times New Roman"/>
          <w:sz w:val="20"/>
        </w:rPr>
        <w:t xml:space="preserve">Consolidated income before taxes increased $24.9 million, or 27%, to $116.7 million due to a $14.6 million and $4.8 million increase in contribution from the U.S. &amp; Canada and Latin America segments, a $5.6 million decrease in corporate expenses, partially offset by a small decrease in contribution from the other international segment. After a $7.5 million, or 23%, increase in income taxes and a $0.1 million of net income attributable to the noncontrolling interest, net income attributable to EZCORP, Inc. increased $17.3 million, or 29%, to $76.6 million. </w:t>
      </w:r>
    </w:p>
    <w:p>
      <w:pPr>
        <w:pStyle w:val="TextBody"/>
        <w:spacing w:before="270" w:after="0"/>
        <w:rPr>
          <w:rFonts w:ascii="Times New Roman" w:hAnsi="Times New Roman"/>
          <w:b/>
          <w:i/>
          <w:sz w:val="20"/>
        </w:rPr>
      </w:pPr>
      <w:r>
        <w:rPr>
          <w:rFonts w:ascii="Times New Roman" w:hAnsi="Times New Roman"/>
          <w:b/>
          <w:i/>
          <w:sz w:val="20"/>
        </w:rPr>
        <w:t xml:space="preserve">Liquidity and Capital Resources </w:t>
      </w:r>
    </w:p>
    <w:p>
      <w:pPr>
        <w:pStyle w:val="TextBody"/>
        <w:spacing w:before="90" w:after="0"/>
        <w:rPr>
          <w:rFonts w:ascii="Times New Roman" w:hAnsi="Times New Roman"/>
          <w:sz w:val="20"/>
        </w:rPr>
      </w:pPr>
      <w:r>
        <w:rPr>
          <w:rFonts w:ascii="Times New Roman" w:hAnsi="Times New Roman"/>
          <w:sz w:val="20"/>
        </w:rPr>
        <w:t xml:space="preserve">In the current six-month period, our $89.8 million cash flow from operations consisted of (i) net income plus several non-cash items, aggregating to $90.1 million, net of (ii) $0.3 million of normal, recurring changes in operating assets and liabilities. In the prior year six-month period, our $69.9 million cash flow from operations consisted of (i) net income plus several non-cash items, aggregating to $77.6 million, net of (ii) $7.7 million of normal, recurring changes in operating assets and liabilities. The primary differences in cash flow from operations between the current and prior years were the contribution from acquisitions and organic growth throughout our other operations and revenue streams, net of higher taxes paid. </w:t>
      </w:r>
    </w:p>
    <w:p>
      <w:pPr>
        <w:pStyle w:val="TextBody"/>
        <w:spacing w:before="180" w:after="0"/>
        <w:rPr>
          <w:rFonts w:ascii="Times New Roman" w:hAnsi="Times New Roman"/>
          <w:sz w:val="20"/>
        </w:rPr>
      </w:pPr>
      <w:r>
        <w:rPr>
          <w:rFonts w:ascii="Times New Roman" w:hAnsi="Times New Roman"/>
          <w:sz w:val="20"/>
        </w:rPr>
        <w:t xml:space="preserve">The $71.1 million of net cash used in investing activities during the current quarter was funded by cash flow from operations, cash on hand and borrowings on our line of credit facility. We received $4.8 million in dividends from our unconsolidated affiliates. We invested $83.2 million in cash to acquire 39 stores in the U.S., one store in Canada, a 60% interest in Crediamigo and a decision science model for the underwriting of consumer loan. Other significant investments in the period were the $22.2 million in additions property and equipment. Partially offsetting these investments was the $29.5 million of loans made in excess of customer loan repayments and the recovery of principal through the sale of forfeited pawn loan collateral. We also paid $1.1 million of withholding tax upon the net share settlement of restricted stock vesting, net of related tax benefits.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The net effect of these and other smaller cash flows was a $23.5 million increase in cash on hand, providing a $47.5 million ending cash balance.</w:t>
      </w:r>
    </w:p>
    <w:p>
      <w:pPr>
        <w:pStyle w:val="TextBody"/>
        <w:spacing w:before="180" w:after="0"/>
        <w:rPr>
          <w:rFonts w:ascii="Times New Roman" w:hAnsi="Times New Roman"/>
          <w:sz w:val="20"/>
        </w:rPr>
      </w:pPr>
      <w:r>
        <w:rPr>
          <w:rFonts w:ascii="Times New Roman" w:hAnsi="Times New Roman"/>
          <w:sz w:val="20"/>
        </w:rPr>
        <w:t xml:space="preserve">Below is a summary of our cash needs to meet future aggregate contractual obligations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29"/>
        <w:gridCol w:w="201"/>
        <w:gridCol w:w="125"/>
        <w:gridCol w:w="727"/>
        <w:gridCol w:w="120"/>
        <w:gridCol w:w="201"/>
        <w:gridCol w:w="125"/>
        <w:gridCol w:w="594"/>
        <w:gridCol w:w="120"/>
        <w:gridCol w:w="200"/>
        <w:gridCol w:w="125"/>
        <w:gridCol w:w="727"/>
        <w:gridCol w:w="120"/>
        <w:gridCol w:w="201"/>
        <w:gridCol w:w="125"/>
        <w:gridCol w:w="594"/>
        <w:gridCol w:w="120"/>
        <w:gridCol w:w="201"/>
        <w:gridCol w:w="124"/>
        <w:gridCol w:w="594"/>
        <w:gridCol w:w="132"/>
      </w:tblGrid>
      <w:tr>
        <w:trPr/>
        <w:tc>
          <w:tcPr>
            <w:tcW w:w="472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72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2"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970"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Payments due by Period</w:t>
            </w:r>
          </w:p>
        </w:tc>
        <w:tc>
          <w:tcPr>
            <w:tcW w:w="132" w:type="dxa"/>
            <w:tcBorders/>
            <w:shd w:fill="auto" w:val="clear"/>
            <w:vAlign w:val="bottom"/>
          </w:tcPr>
          <w:p>
            <w:pPr>
              <w:pStyle w:val="TableContents"/>
              <w:spacing w:before="0" w:after="283"/>
              <w:rPr/>
            </w:pPr>
            <w:r>
              <w:rPr/>
              <w:t> </w:t>
            </w:r>
          </w:p>
        </w:tc>
      </w:tr>
      <w:tr>
        <w:trPr/>
        <w:tc>
          <w:tcPr>
            <w:tcW w:w="472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Contractual Obligations</w:t>
            </w:r>
          </w:p>
        </w:tc>
        <w:tc>
          <w:tcPr>
            <w:tcW w:w="201"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Less than</w:t>
              <w:br/>
              <w:t>1 year</w:t>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1-3 years</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3-5 years</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More than</w:t>
              <w:br/>
              <w:t>5 years</w:t>
            </w:r>
          </w:p>
        </w:tc>
        <w:tc>
          <w:tcPr>
            <w:tcW w:w="132" w:type="dxa"/>
            <w:tcBorders/>
            <w:shd w:fill="auto"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5143" w:type="dxa"/>
            <w:gridSpan w:val="18"/>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obligations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114,372</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20,533</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81,824</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12,015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729" w:type="dxa"/>
            <w:tcBorders/>
            <w:shd w:fill="auto" w:val="clear"/>
          </w:tcPr>
          <w:p>
            <w:pPr>
              <w:pStyle w:val="TableContents"/>
              <w:spacing w:before="0" w:after="283"/>
              <w:rPr>
                <w:rFonts w:ascii="Times New Roman" w:hAnsi="Times New Roman"/>
                <w:sz w:val="20"/>
              </w:rPr>
            </w:pPr>
            <w:r>
              <w:rPr>
                <w:rFonts w:ascii="Times New Roman" w:hAnsi="Times New Roman"/>
                <w:sz w:val="20"/>
              </w:rPr>
              <w:t>Interest on long-term debt obligations</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37,671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19,936</w:t>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16,430</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lease obligations</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191,296</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50,404</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75,735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39,735</w:t>
            </w:r>
          </w:p>
        </w:tc>
        <w:tc>
          <w:tcPr>
            <w:tcW w:w="12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25,422</w:t>
            </w:r>
          </w:p>
        </w:tc>
        <w:tc>
          <w:tcPr>
            <w:tcW w:w="132" w:type="dxa"/>
            <w:tcBorders/>
            <w:shd w:fill="CCEEFF"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729"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343,339</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90,873</w:t>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173,989</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53,055</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25,422</w:t>
            </w:r>
          </w:p>
        </w:tc>
        <w:tc>
          <w:tcPr>
            <w:tcW w:w="132" w:type="dxa"/>
            <w:tcBorders/>
            <w:shd w:fill="auto"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594"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 addition to the contractual obligations in the table above, we are obligated under letters of credit issued to unaffiliated lenders as part of our credit service operations. At March 31, 2012, our maximum exposure for losses on letters of credit, if all brokered loans defaulted and none was collected, was $21.7 million. Of that total, $4.3 million was secured by titles to customers automobiles. These amounts include principal, interest and insufficient funds fees. </w:t>
      </w:r>
    </w:p>
    <w:p>
      <w:pPr>
        <w:pStyle w:val="TextBody"/>
        <w:spacing w:before="180" w:after="0"/>
        <w:rPr>
          <w:rFonts w:ascii="Times New Roman" w:hAnsi="Times New Roman"/>
          <w:sz w:val="20"/>
        </w:rPr>
      </w:pPr>
      <w:r>
        <w:rPr>
          <w:rFonts w:ascii="Times New Roman" w:hAnsi="Times New Roman"/>
          <w:sz w:val="20"/>
        </w:rPr>
        <w:t xml:space="preserve">In addition to the operating lease obligations in the table above, we are responsible for the maintenance, property taxes and insurance at most of our locations. In the fiscal year ended September 30, 2011, these collectively amounted to $17.4 million. </w:t>
      </w:r>
    </w:p>
    <w:p>
      <w:pPr>
        <w:pStyle w:val="TextBody"/>
        <w:spacing w:before="180" w:after="0"/>
        <w:rPr>
          <w:rFonts w:ascii="Times New Roman" w:hAnsi="Times New Roman"/>
          <w:sz w:val="20"/>
        </w:rPr>
      </w:pPr>
      <w:r>
        <w:rPr>
          <w:rFonts w:ascii="Times New Roman" w:hAnsi="Times New Roman"/>
          <w:sz w:val="20"/>
        </w:rPr>
        <w:t xml:space="preserve">The operating lease obligations in the table above include expected rent for all our store locations through the end of their current lease terms. Of the 441 U.S. EZMONEY financial services stores, 157 adjoin an EZPAWN store. The lease agreements at approximately 95% of the remaining 284 free-standing EZMONEY stores contain provisions that limit our exposure for additional rent to only a few months if laws were enacted that had a significant negative effect on our operations at these stores. </w:t>
      </w:r>
    </w:p>
    <w:p>
      <w:pPr>
        <w:pStyle w:val="TextBody"/>
        <w:spacing w:before="180" w:after="0"/>
        <w:rPr>
          <w:rFonts w:ascii="Times New Roman" w:hAnsi="Times New Roman"/>
          <w:sz w:val="20"/>
        </w:rPr>
      </w:pPr>
      <w:r>
        <w:rPr>
          <w:rFonts w:ascii="Times New Roman" w:hAnsi="Times New Roman"/>
          <w:sz w:val="20"/>
        </w:rPr>
        <w:t xml:space="preserve">In the remaining six months of the fiscal year ending September 30, 2012, we plan to open approximately 56 new stores for an aggregate investment of $9.4 million of capital expenditures plus the funding of working capital and start-up losses related to these store openings. We believe new stores will create a drag on earnings and liquidity until their second year of operations. </w:t>
      </w:r>
    </w:p>
    <w:p>
      <w:pPr>
        <w:pStyle w:val="TextBody"/>
        <w:spacing w:before="180" w:after="0"/>
        <w:rPr>
          <w:rFonts w:ascii="Times New Roman" w:hAnsi="Times New Roman"/>
          <w:sz w:val="20"/>
        </w:rPr>
      </w:pPr>
      <w:r>
        <w:rPr>
          <w:rFonts w:ascii="Times New Roman" w:hAnsi="Times New Roman"/>
          <w:sz w:val="20"/>
        </w:rPr>
        <w:t xml:space="preserve">On May 10, 2011, we entered into a new senior secured credit agreement with a syndication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all other outstanding debt. The new credit facility increases our available credit and provides greater flexibility to make investments and acquisitions both domestically and internationally. Terms of the credit agreement require, among other things, that we meet certain financial covenants. We were in compliance with all covenants at March 31, 2012 and expect to remain in compliance based on our expected future performance. At March 31, 2012, we had borrowed $30.0 million, leaving $145.0 million available on the facility. </w:t>
      </w:r>
    </w:p>
    <w:p>
      <w:pPr>
        <w:pStyle w:val="TextBody"/>
        <w:spacing w:before="180" w:after="0"/>
        <w:rPr>
          <w:rFonts w:ascii="Times New Roman" w:hAnsi="Times New Roman"/>
          <w:sz w:val="20"/>
        </w:rPr>
      </w:pPr>
      <w:r>
        <w:rPr>
          <w:rFonts w:ascii="Times New Roman" w:hAnsi="Times New Roman"/>
          <w:sz w:val="20"/>
        </w:rPr>
        <w:t xml:space="preserve">We anticipate that cash flow from operations, cash on hand and availability under our revolving credit facility will be adequate to fund our contractual obligations, planned store growth, capital expenditures and working capital requirements during the coming year. </w:t>
      </w:r>
    </w:p>
    <w:p>
      <w:pPr>
        <w:pStyle w:val="TextBody"/>
        <w:spacing w:before="180" w:after="0"/>
        <w:rPr>
          <w:rFonts w:ascii="Times New Roman" w:hAnsi="Times New Roman"/>
          <w:sz w:val="20"/>
        </w:rPr>
      </w:pPr>
      <w:r>
        <w:rPr>
          <w:rFonts w:ascii="Times New Roman" w:hAnsi="Times New Roman"/>
          <w:sz w:val="20"/>
        </w:rPr>
        <w:t xml:space="preserve">We have an effective shelf Registration Statement on Form S-4 covering an aggregate of 2.0 million shares of our Class A Common Stock that we may offer from time to time in connection with future acquisitions of businesses, assets or securities. We have issued an aggregate of approximately 843,000 shares of Class A Common Stock in connection with several acquisitions of pawn stores, leaving approximately 1.2 million shares covered by the registration statement and available for issuance in future acquisitions. </w:t>
      </w:r>
    </w:p>
    <w:p>
      <w:pPr>
        <w:pStyle w:val="TextBody"/>
        <w:spacing w:before="180" w:after="0"/>
        <w:rPr>
          <w:rFonts w:ascii="Times New Roman" w:hAnsi="Times New Roman"/>
          <w:sz w:val="20"/>
        </w:rPr>
      </w:pPr>
      <w:r>
        <w:rPr>
          <w:rFonts w:ascii="Times New Roman" w:hAnsi="Times New Roman"/>
          <w:sz w:val="20"/>
        </w:rPr>
        <w:t xml:space="preserve">On February 3, 2012, we filed with the United States Securities and Exchange Commission a shelf registration statement on Form S-3 registering the offer and sale of an indeterminate amount of a variety of securities, including debt securities (and related guarantees), equity securities, warrants to purchase debt or equity securities, stock purchase contracts and stock purchase units. The proceeds of any offering and sale under that registration statement will be used for general corporate purposes, including debt reduction or refinancing, acquisitions, capital expenditures and working capital. Unless otherwise indicated in connection with a particular offering of debt securities, each of our domestic subsidiaries will fully and unconditionally guarantee on a joint and several basis our payment obligations under such debt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Off-Balance Sheet Arrangements </w:t>
      </w:r>
    </w:p>
    <w:p>
      <w:pPr>
        <w:pStyle w:val="TextBody"/>
        <w:spacing w:before="90" w:after="0"/>
        <w:rPr>
          <w:rFonts w:ascii="Times New Roman" w:hAnsi="Times New Roman"/>
          <w:sz w:val="20"/>
        </w:rPr>
      </w:pPr>
      <w:r>
        <w:rPr>
          <w:rFonts w:ascii="Times New Roman" w:hAnsi="Times New Roman"/>
          <w:sz w:val="20"/>
        </w:rPr>
        <w:t xml:space="preserve">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 </w:t>
      </w:r>
    </w:p>
    <w:p>
      <w:pPr>
        <w:pStyle w:val="TextBody"/>
        <w:spacing w:before="180" w:after="0"/>
        <w:rPr>
          <w:rFonts w:ascii="Times New Roman" w:hAnsi="Times New Roman"/>
          <w:sz w:val="20"/>
        </w:rPr>
      </w:pPr>
      <w:r>
        <w:rPr>
          <w:rFonts w:ascii="Times New Roman" w:hAnsi="Times New Roman"/>
          <w:sz w:val="20"/>
        </w:rPr>
        <w:t xml:space="preserve">We include an allowance for Expected LOC Losses in Accounts payable and other accrued expenses on our balance sheet. At March 31, 2012, the allowance for Expected LOC Losses was $1.4 million. At that date, our maximum exposure for losses on letters of credit, if all brokered loans defaulted and none were collected, was $21.7 million. This amount includes principal, interest and insufficient funds fees. </w:t>
      </w:r>
    </w:p>
    <w:p>
      <w:pPr>
        <w:pStyle w:val="TextBody"/>
        <w:spacing w:before="180" w:after="0"/>
        <w:rPr>
          <w:rFonts w:ascii="Times New Roman" w:hAnsi="Times New Roman"/>
          <w:sz w:val="20"/>
        </w:rPr>
      </w:pPr>
      <w:r>
        <w:rPr>
          <w:rFonts w:ascii="Times New Roman" w:hAnsi="Times New Roman"/>
          <w:sz w:val="20"/>
        </w:rPr>
        <w:t xml:space="preserve">We have no other off-balance sheet arrangements. </w:t>
      </w:r>
    </w:p>
    <w:p>
      <w:pPr>
        <w:pStyle w:val="TextBody"/>
        <w:spacing w:before="270" w:after="0"/>
        <w:rPr>
          <w:rFonts w:ascii="Times New Roman" w:hAnsi="Times New Roman"/>
          <w:b/>
          <w:i/>
          <w:sz w:val="20"/>
        </w:rPr>
      </w:pPr>
      <w:r>
        <w:rPr>
          <w:rFonts w:ascii="Times New Roman" w:hAnsi="Times New Roman"/>
          <w:b/>
          <w:i/>
          <w:sz w:val="20"/>
        </w:rPr>
        <w:t xml:space="preserve">Seasonality </w:t>
      </w:r>
    </w:p>
    <w:p>
      <w:pPr>
        <w:pStyle w:val="TextBody"/>
        <w:spacing w:before="90" w:after="0"/>
        <w:rPr>
          <w:rFonts w:ascii="Times New Roman" w:hAnsi="Times New Roman"/>
          <w:sz w:val="20"/>
        </w:rPr>
      </w:pPr>
      <w:r>
        <w:rPr>
          <w:rFonts w:ascii="Times New Roman" w:hAnsi="Times New Roman"/>
          <w:sz w:val="20"/>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 </w:t>
      </w:r>
    </w:p>
    <w:p>
      <w:pPr>
        <w:pStyle w:val="TextBody"/>
        <w:spacing w:before="180" w:after="0"/>
        <w:rPr>
          <w:rFonts w:ascii="Times New Roman" w:hAnsi="Times New Roman"/>
          <w:sz w:val="20"/>
        </w:rPr>
      </w:pPr>
      <w:r>
        <w:rPr>
          <w:rFonts w:ascii="Times New Roman" w:hAnsi="Times New Roman"/>
          <w:sz w:val="20"/>
        </w:rPr>
        <w:t xml:space="preserve">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fiscal quarters and lowest in the second fiscal quarter due primarily to the impact of tax refunds. </w:t>
      </w:r>
    </w:p>
    <w:p>
      <w:pPr>
        <w:pStyle w:val="TextBody"/>
        <w:spacing w:before="180" w:after="0"/>
        <w:rPr>
          <w:rFonts w:ascii="Times New Roman" w:hAnsi="Times New Roman"/>
          <w:sz w:val="20"/>
        </w:rPr>
      </w:pPr>
      <w:r>
        <w:rPr>
          <w:rFonts w:ascii="Times New Roman" w:hAnsi="Times New Roman"/>
          <w:sz w:val="20"/>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U.S. income tax refund season. </w:t>
      </w:r>
    </w:p>
    <w:p>
      <w:pPr>
        <w:pStyle w:val="TextBody"/>
        <w:spacing w:before="270" w:after="0"/>
        <w:rPr>
          <w:rFonts w:ascii="Times New Roman" w:hAnsi="Times New Roman"/>
          <w:b/>
          <w:i/>
          <w:sz w:val="20"/>
        </w:rPr>
      </w:pPr>
      <w:r>
        <w:rPr>
          <w:rFonts w:ascii="Times New Roman" w:hAnsi="Times New Roman"/>
          <w:b/>
          <w:i/>
          <w:sz w:val="20"/>
        </w:rPr>
        <w:t xml:space="preserve">Use of Estimates and Assumptions </w:t>
      </w:r>
    </w:p>
    <w:p>
      <w:pPr>
        <w:pStyle w:val="TextBody"/>
        <w:spacing w:before="90" w:after="0"/>
        <w:rPr>
          <w:rFonts w:ascii="Times New Roman" w:hAnsi="Times New Roman"/>
          <w:sz w:val="20"/>
        </w:rPr>
      </w:pPr>
      <w:r>
        <w:rPr>
          <w:rFonts w:ascii="Times New Roman" w:hAnsi="Times New Roman"/>
          <w:sz w:val="20"/>
        </w:rPr>
        <w:t xml:space="preserve">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Item 3.</w:t>
      </w:r>
      <w:bookmarkStart w:id="11" w:name="toc328034_10"/>
      <w:bookmarkEnd w:id="11"/>
      <w:r>
        <w:rPr>
          <w:rFonts w:ascii="Times New Roman" w:hAnsi="Times New Roman"/>
          <w:b/>
          <w:sz w:val="20"/>
        </w:rPr>
        <w:t xml:space="preserve"> Quantitative and Qualitative Disclosures About Market Risk </w:t>
      </w:r>
    </w:p>
    <w:p>
      <w:pPr>
        <w:pStyle w:val="TextBody"/>
        <w:spacing w:before="90" w:after="0"/>
        <w:rPr>
          <w:rFonts w:ascii="Times New Roman" w:hAnsi="Times New Roman"/>
          <w:sz w:val="20"/>
        </w:rPr>
      </w:pPr>
      <w:r>
        <w:rPr>
          <w:rFonts w:ascii="Times New Roman" w:hAnsi="Times New Roman"/>
          <w:sz w:val="20"/>
        </w:rPr>
        <w:t xml:space="preserve">We are exposed to market risk related to interest rates, gold values and changes in foreign currency exchange rates. </w:t>
      </w:r>
    </w:p>
    <w:p>
      <w:pPr>
        <w:pStyle w:val="TextBody"/>
        <w:spacing w:before="180" w:after="0"/>
        <w:rPr>
          <w:rFonts w:ascii="Times New Roman" w:hAnsi="Times New Roman"/>
          <w:sz w:val="20"/>
        </w:rPr>
      </w:pPr>
      <w:r>
        <w:rPr>
          <w:rFonts w:ascii="Times New Roman" w:hAnsi="Times New Roman"/>
          <w:sz w:val="20"/>
        </w:rPr>
        <w:t xml:space="preserve">Our earnings are affected by changes in interest rates as our debt has a variable rate. If interest rates average 50 basis points more than our current rate in the remaining six months of the fiscal year ending September 30, 2012, our interest expense during that period would increase by approximately $75,000. This amount is determined by considering the impact of the hypothetical interest rate change on our variable-rate debt at March 31, 2012. </w:t>
      </w:r>
    </w:p>
    <w:p>
      <w:pPr>
        <w:pStyle w:val="TextBody"/>
        <w:spacing w:before="180" w:after="0"/>
        <w:rPr>
          <w:rFonts w:ascii="Times New Roman" w:hAnsi="Times New Roman"/>
          <w:sz w:val="20"/>
        </w:rPr>
      </w:pPr>
      <w:r>
        <w:rPr>
          <w:rFonts w:ascii="Times New Roman" w:hAnsi="Times New Roman"/>
          <w:sz w:val="20"/>
        </w:rPr>
        <w:t xml:space="preserve">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In the first quarter of fiscal 2012, we began using derivative financial instruments, in order to manage our commodity price risk associated with the forecasted sales of gold scrap. These derivatives are not designated as hedges as they do not meet the hedge accounting requirements of the Derivatives and Hedging topic of the FASB codification, and changes in their fair value are recorded directly in earnings. For further discussion, you should read Part I, Item 1ARisk Factors of our Annual Report on Form 10-K for the year ended September 30, 2011. </w:t>
      </w:r>
    </w:p>
    <w:p>
      <w:pPr>
        <w:pStyle w:val="TextBody"/>
        <w:spacing w:before="180" w:after="0"/>
        <w:rPr>
          <w:rFonts w:ascii="Times New Roman" w:hAnsi="Times New Roman"/>
          <w:sz w:val="20"/>
        </w:rPr>
      </w:pPr>
      <w:r>
        <w:rPr>
          <w:rFonts w:ascii="Times New Roman" w:hAnsi="Times New Roman"/>
          <w:sz w:val="20"/>
        </w:rPr>
        <w:t xml:space="preserve">Our earnings and financial position are affected by foreign exchange rate fluctuations related to our equity investments in Albemarle &amp; Bond and Cash Converters International, our Empeño Fácil pawn operations and Crediamigo operations in Mexico, and our operations in Canada. Albemarle &amp; Bond's functional currency is the British pound, Cash Converters International functional currency is the Australian dollar, Empeño Fácil and Crediamigos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 </w:t>
      </w:r>
    </w:p>
    <w:p>
      <w:pPr>
        <w:pStyle w:val="TextBody"/>
        <w:spacing w:before="180" w:after="0"/>
        <w:rPr>
          <w:rFonts w:ascii="Times New Roman" w:hAnsi="Times New Roman"/>
          <w:sz w:val="20"/>
        </w:rPr>
      </w:pPr>
      <w:r>
        <w:rPr>
          <w:rFonts w:ascii="Times New Roman" w:hAnsi="Times New Roman"/>
          <w:sz w:val="20"/>
        </w:rPr>
        <w:t xml:space="preserve">The translation adjustment from Albemarle &amp; Bond representing the weakening in the British pound during the quarter ended December 31, 2011 (included in our March 31, 2012 results on a three-month lag) was a $0.3 million decrease to stockholders equity. On March 31, 2012, the British pound strengthened to £1.00 to $1.5987 U.S. from $1.5453 at December 31, 2011. </w:t>
      </w:r>
    </w:p>
    <w:p>
      <w:pPr>
        <w:pStyle w:val="TextBody"/>
        <w:spacing w:before="180" w:after="0"/>
        <w:rPr>
          <w:rFonts w:ascii="Times New Roman" w:hAnsi="Times New Roman"/>
          <w:sz w:val="20"/>
        </w:rPr>
      </w:pPr>
      <w:r>
        <w:rPr>
          <w:rFonts w:ascii="Times New Roman" w:hAnsi="Times New Roman"/>
          <w:sz w:val="20"/>
        </w:rPr>
        <w:t xml:space="preserve">The translation adjustment from Cash Converters International representing the strengthening in the Australian dollar during the quarter ended December 31, 2011 (included in our March 31, 2012 results on a three-month lag) was a $0.5 million increase to stockholders equity. On March 31, 2012, the Australian dollar strengthened to $1.00 Australian dollar to $1.0385 U.S. from $1.0174 at December 31, 2011. </w:t>
      </w:r>
    </w:p>
    <w:p>
      <w:pPr>
        <w:pStyle w:val="TextBody"/>
        <w:spacing w:before="180" w:after="0"/>
        <w:rPr>
          <w:rFonts w:ascii="Times New Roman" w:hAnsi="Times New Roman"/>
          <w:sz w:val="20"/>
        </w:rPr>
      </w:pPr>
      <w:r>
        <w:rPr>
          <w:rFonts w:ascii="Times New Roman" w:hAnsi="Times New Roman"/>
          <w:sz w:val="20"/>
        </w:rPr>
        <w:t xml:space="preserve">The translation adjustment from Latin America representing the weakening of the Mexican peso during the quarter ended March 31, 2012 was a $5.2 million increase to stockholders equity. We have currently assumed permanent reinvestment of earnings and capital in Mexico. Accumulated translation gains or losses related to any future repatriation of earnings or capital would impact our earnings in the period of repatriation. On March 31, 2012, the peso strengthened to $1.00 Mexican peso to $0.0778 U.S. from $0.0715 at December 31, 2011. </w:t>
      </w:r>
    </w:p>
    <w:p>
      <w:pPr>
        <w:pStyle w:val="TextBody"/>
        <w:spacing w:before="180" w:after="0"/>
        <w:rPr>
          <w:rFonts w:ascii="Times New Roman" w:hAnsi="Times New Roman"/>
          <w:sz w:val="20"/>
        </w:rPr>
      </w:pPr>
      <w:r>
        <w:rPr>
          <w:rFonts w:ascii="Times New Roman" w:hAnsi="Times New Roman"/>
          <w:sz w:val="20"/>
        </w:rPr>
        <w:t xml:space="preserve">The translation adjustment from our Canadian operations representing the strengthening of the Canadian dollar during the quarter ended March 31, 2012 was a $0.3 million increase to stockholders equity. On March 31, 2012, the Canadian dollar strengthened to $1.00 Canadian dollar to $1.0027 U.S. from $0.9804 at December 31, 2011. </w:t>
      </w:r>
    </w:p>
    <w:p>
      <w:pPr>
        <w:pStyle w:val="TextBody"/>
        <w:spacing w:before="180" w:after="0"/>
        <w:rPr>
          <w:rFonts w:ascii="Times New Roman" w:hAnsi="Times New Roman"/>
          <w:sz w:val="20"/>
        </w:rPr>
      </w:pPr>
      <w:r>
        <w:rPr>
          <w:rFonts w:ascii="Times New Roman" w:hAnsi="Times New Roman"/>
          <w:sz w:val="20"/>
        </w:rPr>
        <w:t xml:space="preserve">We cannot predict the future valuation of foreign currencies or how further movements in them could affect our future earnings or financial position. </w:t>
      </w:r>
    </w:p>
    <w:p>
      <w:pPr>
        <w:pStyle w:val="TextBody"/>
        <w:spacing w:before="270" w:after="0"/>
        <w:rPr>
          <w:rFonts w:ascii="Times New Roman" w:hAnsi="Times New Roman"/>
          <w:b/>
          <w:i/>
          <w:sz w:val="20"/>
        </w:rPr>
      </w:pPr>
      <w:r>
        <w:rPr>
          <w:rFonts w:ascii="Times New Roman" w:hAnsi="Times New Roman"/>
          <w:b/>
          <w:i/>
          <w:sz w:val="20"/>
        </w:rPr>
        <w:t xml:space="preserve">Forward-Looking Information </w:t>
      </w:r>
    </w:p>
    <w:p>
      <w:pPr>
        <w:pStyle w:val="TextBody"/>
        <w:spacing w:before="90" w:after="0"/>
        <w:rPr>
          <w:rFonts w:ascii="Times New Roman" w:hAnsi="Times New Roman"/>
          <w:sz w:val="20"/>
        </w:rPr>
      </w:pPr>
      <w:r>
        <w:rPr>
          <w:rFonts w:ascii="Times New Roman" w:hAnsi="Times New Roman"/>
          <w:sz w:val="20"/>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1ARisk Factors of this Quarterly Report and Part I, Item 1ARisk Factors of our Annual Report on Form 10-K for the year ended September 30, 2011. </w:t>
      </w:r>
    </w:p>
    <w:p>
      <w:pPr>
        <w:pStyle w:val="TextBody"/>
        <w:spacing w:before="180" w:after="0"/>
        <w:rPr>
          <w:rFonts w:ascii="Times New Roman" w:hAnsi="Times New Roman"/>
          <w:sz w:val="20"/>
        </w:rPr>
      </w:pPr>
      <w:r>
        <w:rPr>
          <w:rFonts w:ascii="Times New Roman" w:hAnsi="Times New Roman"/>
          <w:sz w:val="20"/>
        </w:rPr>
        <w:t xml:space="preserve">We specifically disclaim any responsibility to publicly update any information contained in a forward-looking statement except as required by law. All forward-looking statements attributable to us are expressly qualified in their entirety by this cautionary statement. </w:t>
      </w:r>
    </w:p>
    <w:p>
      <w:pPr>
        <w:pStyle w:val="TextBody"/>
        <w:spacing w:before="270" w:after="0"/>
        <w:rPr>
          <w:rFonts w:ascii="Times New Roman" w:hAnsi="Times New Roman"/>
          <w:b/>
          <w:i/>
          <w:sz w:val="20"/>
        </w:rPr>
      </w:pPr>
      <w:r>
        <w:rPr>
          <w:rFonts w:ascii="Times New Roman" w:hAnsi="Times New Roman"/>
          <w:b/>
          <w:i/>
          <w:sz w:val="20"/>
        </w:rPr>
        <w:t>Item 4. Contr</w:t>
      </w:r>
      <w:bookmarkStart w:id="12" w:name="toc328034_11"/>
      <w:bookmarkEnd w:id="12"/>
      <w:r>
        <w:rPr>
          <w:rFonts w:ascii="Times New Roman" w:hAnsi="Times New Roman"/>
          <w:b/>
          <w:i/>
          <w:sz w:val="20"/>
        </w:rPr>
        <w:t xml:space="preserve">ols and Procedures </w:t>
      </w:r>
    </w:p>
    <w:p>
      <w:pPr>
        <w:pStyle w:val="TextBody"/>
        <w:spacing w:before="90" w:after="0"/>
        <w:rPr>
          <w:rFonts w:ascii="Times New Roman" w:hAnsi="Times New Roman"/>
          <w:sz w:val="20"/>
        </w:rPr>
      </w:pPr>
      <w:r>
        <w:rPr>
          <w:rFonts w:ascii="Times New Roman" w:hAnsi="Times New Roman"/>
          <w:sz w:val="20"/>
        </w:rPr>
        <w:t xml:space="preserve">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 </w:t>
      </w:r>
    </w:p>
    <w:p>
      <w:pPr>
        <w:pStyle w:val="TextBody"/>
        <w:spacing w:before="270" w:after="0"/>
        <w:rPr>
          <w:rFonts w:ascii="Times New Roman" w:hAnsi="Times New Roman"/>
          <w:b/>
          <w:i/>
          <w:sz w:val="20"/>
        </w:rPr>
      </w:pPr>
      <w:r>
        <w:rPr>
          <w:rFonts w:ascii="Times New Roman" w:hAnsi="Times New Roman"/>
          <w:b/>
          <w:i/>
          <w:sz w:val="20"/>
        </w:rPr>
        <w:t xml:space="preserve">Evaluation of Disclosure Controls and Procedures </w:t>
      </w:r>
    </w:p>
    <w:p>
      <w:pPr>
        <w:pStyle w:val="TextBody"/>
        <w:spacing w:before="90" w:after="0"/>
        <w:rPr>
          <w:rFonts w:ascii="Times New Roman" w:hAnsi="Times New Roman"/>
          <w:sz w:val="20"/>
        </w:rPr>
      </w:pPr>
      <w:r>
        <w:rPr>
          <w:rFonts w:ascii="Times New Roman" w:hAnsi="Times New Roman"/>
          <w:sz w:val="20"/>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March 31, 2012. Based on that evaluation, our Chief Executive Officer and Chief Financial Officer concluded that our disclosure controls and procedures were effective as of March 31, 2012. </w:t>
      </w:r>
    </w:p>
    <w:p>
      <w:pPr>
        <w:pStyle w:val="TextBody"/>
        <w:spacing w:before="270" w:after="0"/>
        <w:rPr>
          <w:rFonts w:ascii="Times New Roman" w:hAnsi="Times New Roman"/>
          <w:b/>
          <w:i/>
          <w:sz w:val="20"/>
        </w:rPr>
      </w:pPr>
      <w:r>
        <w:rPr>
          <w:rFonts w:ascii="Times New Roman" w:hAnsi="Times New Roman"/>
          <w:b/>
          <w:i/>
          <w:sz w:val="20"/>
        </w:rPr>
        <w:t xml:space="preserve">Changes in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There were no changes in our internal control over financial reporting during the first quarter of fiscal 2012 that have materially affected, or are reasonably likely to materially affect, our internal control over financial reporting. </w:t>
      </w:r>
    </w:p>
    <w:p>
      <w:pPr>
        <w:pStyle w:val="TextBody"/>
        <w:spacing w:before="270" w:after="0"/>
        <w:rPr>
          <w:rFonts w:ascii="Times New Roman" w:hAnsi="Times New Roman"/>
          <w:b/>
          <w:i/>
          <w:sz w:val="20"/>
        </w:rPr>
      </w:pPr>
      <w:r>
        <w:rPr>
          <w:rFonts w:ascii="Times New Roman" w:hAnsi="Times New Roman"/>
          <w:b/>
          <w:i/>
          <w:sz w:val="20"/>
        </w:rPr>
        <w:t xml:space="preserve">Inherent Limitations on Internal Controls </w:t>
      </w:r>
    </w:p>
    <w:p>
      <w:pPr>
        <w:pStyle w:val="TextBody"/>
        <w:spacing w:before="90" w:after="0"/>
        <w:rPr>
          <w:rFonts w:ascii="Times New Roman" w:hAnsi="Times New Roman"/>
          <w:sz w:val="20"/>
        </w:rPr>
      </w:pPr>
      <w:r>
        <w:rPr>
          <w:rFonts w:ascii="Times New Roman" w:hAnsi="Times New Roman"/>
          <w:sz w:val="20"/>
        </w:rPr>
        <w:t xml:space="preserve">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Judgments in decision-making can be faulty, and control and process breakdowns can occur because of simple errors or mistakes.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Controls can be circumvented by individuals, acting alone or in collusion with others, or by management override.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design of any system of controls is based in part on certain assumptions about the likelihood of future events, and there can be no assurance that any design will succeed in achieving its stated goals under all potential future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Over time, controls may become inadequate because of changes in conditions or deterioration in the degree of compliance with associated policies or procedures.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design of a control system must reflect the fact that resources are constrained, and the benefits of controls must be considered relative to their costs. </w:t>
            </w:r>
          </w:p>
        </w:tc>
      </w:tr>
    </w:tbl>
    <w:p>
      <w:pPr>
        <w:pStyle w:val="TextBody"/>
        <w:spacing w:before="180" w:after="0"/>
        <w:rPr>
          <w:rFonts w:ascii="Times New Roman" w:hAnsi="Times New Roman"/>
          <w:sz w:val="20"/>
        </w:rPr>
      </w:pPr>
      <w:r>
        <w:rPr>
          <w:rFonts w:ascii="Times New Roman" w:hAnsi="Times New Roman"/>
          <w:sz w:val="20"/>
        </w:rPr>
        <w:t xml:space="preserve">Because of the inherent limitations in all control systems, no evaluation of controls can provide absolute assurance that all control issues and instances of fraud, if any, have been detected.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PA</w:t>
      </w:r>
      <w:bookmarkStart w:id="13" w:name="toc328034_12"/>
      <w:bookmarkEnd w:id="13"/>
      <w:r>
        <w:rPr>
          <w:rFonts w:ascii="Times New Roman" w:hAnsi="Times New Roman"/>
          <w:b/>
          <w:sz w:val="20"/>
        </w:rPr>
        <w:t xml:space="preserve">RT II </w:t>
      </w:r>
    </w:p>
    <w:p>
      <w:pPr>
        <w:pStyle w:val="TextBody"/>
        <w:spacing w:before="90" w:after="0"/>
        <w:rPr>
          <w:rFonts w:ascii="Times New Roman" w:hAnsi="Times New Roman"/>
          <w:b/>
          <w:i/>
          <w:sz w:val="20"/>
        </w:rPr>
      </w:pPr>
      <w:r>
        <w:rPr>
          <w:rFonts w:ascii="Times New Roman" w:hAnsi="Times New Roman"/>
          <w:b/>
          <w:i/>
          <w:sz w:val="20"/>
        </w:rPr>
        <w:t>Item 1. Legal</w:t>
      </w:r>
      <w:bookmarkStart w:id="14" w:name="toc328034_13"/>
      <w:bookmarkEnd w:id="14"/>
      <w:r>
        <w:rPr>
          <w:rFonts w:ascii="Times New Roman" w:hAnsi="Times New Roman"/>
          <w:b/>
          <w:i/>
          <w:sz w:val="20"/>
        </w:rPr>
        <w:t xml:space="preserve"> Proceedings </w:t>
      </w:r>
    </w:p>
    <w:p>
      <w:pPr>
        <w:pStyle w:val="TextBody"/>
        <w:spacing w:before="90" w:after="0"/>
        <w:rPr>
          <w:rFonts w:ascii="Times New Roman" w:hAnsi="Times New Roman"/>
          <w:sz w:val="20"/>
        </w:rPr>
      </w:pPr>
      <w:r>
        <w:rPr>
          <w:rFonts w:ascii="Times New Roman" w:hAnsi="Times New Roman"/>
          <w:sz w:val="20"/>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70" w:after="0"/>
        <w:rPr>
          <w:rFonts w:ascii="Times New Roman" w:hAnsi="Times New Roman"/>
          <w:b/>
          <w:i/>
          <w:sz w:val="20"/>
        </w:rPr>
      </w:pPr>
      <w:r>
        <w:rPr>
          <w:rFonts w:ascii="Times New Roman" w:hAnsi="Times New Roman"/>
          <w:b/>
          <w:i/>
          <w:sz w:val="20"/>
        </w:rPr>
        <w:t>Item 1A. Ri</w:t>
      </w:r>
      <w:bookmarkStart w:id="15" w:name="toc328034_14"/>
      <w:bookmarkEnd w:id="15"/>
      <w:r>
        <w:rPr>
          <w:rFonts w:ascii="Times New Roman" w:hAnsi="Times New Roman"/>
          <w:b/>
          <w:i/>
          <w:sz w:val="20"/>
        </w:rPr>
        <w:t xml:space="preserve">sk Factors </w:t>
      </w:r>
    </w:p>
    <w:p>
      <w:pPr>
        <w:pStyle w:val="TextBody"/>
        <w:spacing w:before="90" w:after="0"/>
        <w:rPr>
          <w:rFonts w:ascii="Times New Roman" w:hAnsi="Times New Roman"/>
          <w:sz w:val="20"/>
        </w:rPr>
      </w:pPr>
      <w:r>
        <w:rPr>
          <w:rFonts w:ascii="Times New Roman" w:hAnsi="Times New Roman"/>
          <w:sz w:val="20"/>
        </w:rPr>
        <w:t xml:space="preserve">Important risk factors that could affect our operations and financial performance, or that could cause results or events to differ from current expectations, are described in Part I, Item 1A, Risk Factors of our Annual Report on Form 10-K for the year ended September 30, 2011. These factors are supplemented by those discussed under Quantitative and Qualitative Disclosures about Market Risk in Part I, Item 3 of this report and in Part II, Item 7A of our Annual Report on Form 10-K for the year ended September 30, 2011. </w:t>
      </w:r>
    </w:p>
    <w:p>
      <w:pPr>
        <w:pStyle w:val="TextBody"/>
        <w:spacing w:before="270" w:after="0"/>
        <w:rPr>
          <w:rFonts w:ascii="Times New Roman" w:hAnsi="Times New Roman"/>
          <w:b/>
          <w:i/>
          <w:sz w:val="20"/>
        </w:rPr>
      </w:pPr>
      <w:r>
        <w:rPr>
          <w:rFonts w:ascii="Times New Roman" w:hAnsi="Times New Roman"/>
          <w:b/>
          <w:i/>
          <w:sz w:val="20"/>
        </w:rPr>
        <w:t xml:space="preserve">Item 2. </w:t>
      </w:r>
      <w:bookmarkStart w:id="16" w:name="toc328034_15"/>
      <w:bookmarkEnd w:id="16"/>
      <w:r>
        <w:rPr>
          <w:rFonts w:ascii="Times New Roman" w:hAnsi="Times New Roman"/>
          <w:b/>
          <w:i/>
          <w:sz w:val="20"/>
        </w:rPr>
        <w:t xml:space="preserve">Unregistered Sales of Equity Securities and Use of Proceeds </w:t>
      </w:r>
    </w:p>
    <w:p>
      <w:pPr>
        <w:pStyle w:val="TextBody"/>
        <w:spacing w:before="90" w:after="0"/>
        <w:rPr>
          <w:rFonts w:ascii="Times New Roman" w:hAnsi="Times New Roman"/>
          <w:sz w:val="20"/>
        </w:rPr>
      </w:pPr>
      <w:r>
        <w:rPr>
          <w:rFonts w:ascii="Times New Roman" w:hAnsi="Times New Roman"/>
          <w:sz w:val="20"/>
        </w:rPr>
        <w:t xml:space="preserve">On April 2, 2012, we issued 108,402 of our Class A Non-voting common stock, par value of $0.01 per share, valued at $3.6 million to the Halbert Group, LLC. as partial compensation for a multi-year consulting arrangement involving our information technology systems. The shares are subject to transfer and vesting restrictions. The shares will vest, and those restrictions will lapse, pro rata on the first, second and third anniversaries of the date of grant, subject to the achievement of performance goals consistent with the IT multi-year plan. These securities were issued in an exempt private placement pursing to regulation D (Rule 506) under the Securities Act of 1933, as well as pursuant to Section 4(5) of such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Item 6. E</w:t>
      </w:r>
      <w:bookmarkStart w:id="17" w:name="toc328034_16"/>
      <w:bookmarkEnd w:id="17"/>
      <w:r>
        <w:rPr>
          <w:rFonts w:ascii="Times New Roman" w:hAnsi="Times New Roman"/>
          <w:b/>
          <w:i/>
          <w:sz w:val="20"/>
        </w:rPr>
        <w:t xml:space="preserv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99"/>
        <w:gridCol w:w="418"/>
        <w:gridCol w:w="8888"/>
      </w:tblGrid>
      <w:tr>
        <w:trPr/>
        <w:tc>
          <w:tcPr>
            <w:tcW w:w="89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8888" w:type="dxa"/>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 No.</w:t>
            </w:r>
          </w:p>
        </w:tc>
        <w:tc>
          <w:tcPr>
            <w:tcW w:w="418" w:type="dxa"/>
            <w:tcBorders/>
            <w:shd w:fill="auto" w:val="clear"/>
            <w:vAlign w:val="bottom"/>
          </w:tcPr>
          <w:p>
            <w:pPr>
              <w:pStyle w:val="TableContents"/>
              <w:spacing w:before="0" w:after="283"/>
              <w:rPr/>
            </w:pPr>
            <w:r>
              <w:rPr/>
              <w:t>  </w:t>
            </w:r>
          </w:p>
        </w:tc>
        <w:tc>
          <w:tcPr>
            <w:tcW w:w="88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 of Exhibit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31.1</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Paul E. Rothamel, Chief Executive Officer, pursuant to Rule 13a-14(a) under the Securities Exchange Act of 1934, as adopted pursuant to Section 302 of the Sarbanes-Oxley Act of 2002</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31.2</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Stephen A. Stamp, Chief Financial Officer, pursuant to Rule 13a-14(a) under the Securities Exchange Act of 1934, as adopted pursuant to Section 302 of the Sarbanes-Oxley Act of 2002</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32.1</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Certifications of Paul E. Rothamel, Chief Executive Officer, and Stephen A. Stamp, Chief Financial Officer , pursuant to 18 U.S.C. Section 1350, as adopted pursuant to Section 906 of the Sarbanes-Oxley Act of 2002</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101.INS*</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Instance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101.SCH*</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Schema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101.CAL*</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Calculation Linkbase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101.LAB*</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Label Linkbase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101.DEF*</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Definition Linkbase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101.PRE*</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Presentation Linkbase Document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Attached as Exhibit 101 to this report are the following formatted in XBRL (Extensible Business Reporting Language): (i) Consolidated Balance Sheets at March 31, 2012, March 31, 2011 and September 30, 2011; (ii) Consolidated Statements of Income for the three and six months ended March 31, 2012 and March 31, 2011; (iii) Consolidated Statements of Comprehensive Income for three and six months ended March 31, 2012 and March 31, 2011 (iv) Consolidated Statements of Cash Flows for the six months ended March 31, 2012 and March 31, 2011; and (v) Notes to Consolidated Financial Statements.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SI</w:t>
      </w:r>
      <w:bookmarkStart w:id="18" w:name="toc328034_17"/>
      <w:bookmarkEnd w:id="18"/>
      <w:r>
        <w:rPr>
          <w:rFonts w:ascii="Times New Roman" w:hAnsi="Times New Roman"/>
          <w:b/>
          <w:sz w:val="20"/>
        </w:rPr>
        <w:t xml:space="preserve">GNATURE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367"/>
        <w:gridCol w:w="102"/>
        <w:gridCol w:w="3368"/>
        <w:gridCol w:w="101"/>
        <w:gridCol w:w="3267"/>
      </w:tblGrid>
      <w:tr>
        <w:trPr/>
        <w:tc>
          <w:tcPr>
            <w:tcW w:w="33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INC.</w:t>
            </w:r>
          </w:p>
        </w:tc>
      </w:tr>
      <w:tr>
        <w:trPr>
          <w:trHeight w:val="24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Date: May 10, 2012</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Stephen A. Stamp</w:t>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Stephen A. Stamp</w:t>
            </w:r>
          </w:p>
          <w:p>
            <w:pPr>
              <w:pStyle w:val="TableContents"/>
              <w:spacing w:before="0" w:after="0"/>
              <w:rPr>
                <w:rFonts w:ascii="Times New Roman" w:hAnsi="Times New Roman"/>
                <w:sz w:val="20"/>
              </w:rPr>
            </w:pPr>
            <w:r>
              <w:rPr>
                <w:rFonts w:ascii="Times New Roman" w:hAnsi="Times New Roman"/>
                <w:sz w:val="20"/>
              </w:rPr>
              <w:t>Senior Vice President and</w:t>
            </w:r>
          </w:p>
          <w:p>
            <w:pPr>
              <w:pStyle w:val="TableContents"/>
              <w:spacing w:before="0" w:after="15"/>
              <w:rPr>
                <w:rFonts w:ascii="Times New Roman" w:hAnsi="Times New Roman"/>
                <w:sz w:val="20"/>
              </w:rPr>
            </w:pPr>
            <w:r>
              <w:rPr>
                <w:rFonts w:ascii="Times New Roman" w:hAnsi="Times New Roman"/>
                <w:sz w:val="20"/>
              </w:rPr>
              <w:t>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oc328034_18"/>
      <w:bookmarkEnd w:id="19"/>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99"/>
        <w:gridCol w:w="418"/>
        <w:gridCol w:w="8888"/>
      </w:tblGrid>
      <w:tr>
        <w:trPr/>
        <w:tc>
          <w:tcPr>
            <w:tcW w:w="89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8888" w:type="dxa"/>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 No.</w:t>
            </w:r>
          </w:p>
        </w:tc>
        <w:tc>
          <w:tcPr>
            <w:tcW w:w="418" w:type="dxa"/>
            <w:tcBorders/>
            <w:shd w:fill="auto" w:val="clear"/>
            <w:vAlign w:val="bottom"/>
          </w:tcPr>
          <w:p>
            <w:pPr>
              <w:pStyle w:val="TableContents"/>
              <w:spacing w:before="0" w:after="283"/>
              <w:rPr/>
            </w:pPr>
            <w:r>
              <w:rPr/>
              <w:t>  </w:t>
            </w:r>
          </w:p>
        </w:tc>
        <w:tc>
          <w:tcPr>
            <w:tcW w:w="88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 of Exhibit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31.1</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Paul E. Rothamel, Chief Executive Officer, pursuant to Rule 13a-14(a) under the Securities Exchange Act of 1934, as adopted pursuant to Section 302 of the Sarbanes-Oxley Act of 2002</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31.2</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Stephen A. Stamp, Chief Financial Officer, pursuant to Rule 13a-14(a) under the Securities Exchange Act of 1934, as adopted pursuant to Section 302 of the Sarbanes-Oxley Act of 2002</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32.1</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Certifications of Paul E. Rothamel, Chief Executive Officer, and Stephen A. Stamp, Chief Financial Officer , pursuant to 18 U.S.C. Section 1350, as adopted pursuant to Section 906 of the Sarbanes-Oxley Act of 2002</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101.INS*</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Instance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101.SCH*</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Schema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101.CAL*</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Calculation Linkbase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101.LAB*</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Label Linkbase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101.DEF*</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Definition Linkbase Document</w:t>
            </w:r>
          </w:p>
        </w:tc>
      </w:tr>
      <w:tr>
        <w:trPr>
          <w:trHeight w:val="120" w:hRule="atLeast"/>
        </w:trPr>
        <w:tc>
          <w:tcPr>
            <w:tcW w:w="899" w:type="dxa"/>
            <w:tcBorders/>
            <w:shd w:fill="auto" w:val="clear"/>
            <w:vAlign w:val="center"/>
          </w:tcPr>
          <w:p>
            <w:pPr>
              <w:pStyle w:val="TableContents"/>
              <w:spacing w:before="0" w:after="283"/>
              <w:rPr>
                <w:sz w:val="4"/>
                <w:szCs w:val="4"/>
              </w:rPr>
            </w:pPr>
            <w:r>
              <w:rPr>
                <w:sz w:val="4"/>
                <w:szCs w:val="4"/>
              </w:rPr>
            </w:r>
          </w:p>
        </w:tc>
        <w:tc>
          <w:tcPr>
            <w:tcW w:w="9306" w:type="dxa"/>
            <w:gridSpan w:val="2"/>
            <w:tcBorders/>
            <w:shd w:fill="auto" w:val="clear"/>
            <w:vAlign w:val="center"/>
          </w:tcPr>
          <w:p>
            <w:pPr>
              <w:pStyle w:val="TableContents"/>
              <w:spacing w:before="0" w:after="283"/>
              <w:rPr>
                <w:sz w:val="4"/>
                <w:szCs w:val="4"/>
              </w:rPr>
            </w:pPr>
            <w:r>
              <w:rPr>
                <w:sz w:val="4"/>
                <w:szCs w:val="4"/>
              </w:rPr>
            </w:r>
          </w:p>
        </w:tc>
      </w:tr>
      <w:tr>
        <w:trPr/>
        <w:tc>
          <w:tcPr>
            <w:tcW w:w="899"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101.PRE*</w:t>
            </w:r>
          </w:p>
        </w:tc>
        <w:tc>
          <w:tcPr>
            <w:tcW w:w="418" w:type="dxa"/>
            <w:tcBorders/>
            <w:shd w:fill="auto" w:val="clear"/>
            <w:vAlign w:val="bottom"/>
          </w:tcPr>
          <w:p>
            <w:pPr>
              <w:pStyle w:val="TableContents"/>
              <w:spacing w:before="0" w:after="283"/>
              <w:rPr/>
            </w:pPr>
            <w:r>
              <w:rPr/>
              <w:t>  </w:t>
            </w:r>
          </w:p>
        </w:tc>
        <w:tc>
          <w:tcPr>
            <w:tcW w:w="8888" w:type="dxa"/>
            <w:tcBorders/>
            <w:shd w:fill="auto" w:val="clear"/>
          </w:tcPr>
          <w:p>
            <w:pPr>
              <w:pStyle w:val="TableContents"/>
              <w:spacing w:before="0" w:after="283"/>
              <w:rPr>
                <w:rFonts w:ascii="Times New Roman" w:hAnsi="Times New Roman"/>
                <w:sz w:val="20"/>
              </w:rPr>
            </w:pPr>
            <w:r>
              <w:rPr>
                <w:rFonts w:ascii="Times New Roman" w:hAnsi="Times New Roman"/>
                <w:sz w:val="20"/>
              </w:rPr>
              <w:t>XBRL Taxonomy Extension Presentation Linkbase Document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Attached as Exhibit 101 to this report are the following formatted in XBRL (Extensible Business Reporting Language): (i) Consolidated Balance Sheets at March 31, 2012, March 31, 2011 and September 30, 2011; (ii) Consolidated Statements of Income for the three and six months ended March 31, 2012 and March 31, 2011; (iii) Consolidated Statements of Comprehensive Income for the three and six months ended March 31, 2012 and March 31, 2011 (iv) Consolidated Statements of Cash Flows for the six months ended March 31, 2012 and March 31, 2011; and (v) Notes to Consolidated Financial Statements.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TextBody"/>
        <w:spacing w:before="0" w:after="0"/>
        <w:jc w:val="right"/>
        <w:rPr>
          <w:rFonts w:ascii="Times New Roman" w:hAnsi="Times New Roman"/>
          <w:b/>
          <w:sz w:val="20"/>
        </w:rPr>
      </w:pPr>
      <w:bookmarkStart w:id="20" w:name="d328034dex311.htm"/>
      <w:bookmarkStart w:id="21" w:name="ksd328034dex311"/>
      <w:bookmarkEnd w:id="20"/>
      <w:bookmarkEnd w:id="21"/>
      <w:r>
        <w:rPr>
          <w:rFonts w:ascii="Times New Roman" w:hAnsi="Times New Roman"/>
          <w:b/>
          <w:sz w:val="20"/>
        </w:rPr>
        <w:t xml:space="preserve">Exhibit 31.1 </w:t>
      </w:r>
    </w:p>
    <w:p>
      <w:pPr>
        <w:pStyle w:val="TextBody"/>
        <w:spacing w:before="180" w:after="0"/>
        <w:jc w:val="center"/>
        <w:rPr>
          <w:rFonts w:ascii="Times New Roman" w:hAnsi="Times New Roman"/>
          <w:b/>
          <w:sz w:val="20"/>
        </w:rPr>
      </w:pPr>
      <w:r>
        <w:rPr>
          <w:rFonts w:ascii="Times New Roman" w:hAnsi="Times New Roman"/>
          <w:b/>
          <w:sz w:val="20"/>
        </w:rPr>
        <w:t xml:space="preserve">Certification of Paul E. Rothamel, 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pursuant to Rule 13a-14(a) under the Securities Exchange Act of 1934,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302 of the Sarbanes-Oxley Act of 2002 </w:t>
      </w:r>
    </w:p>
    <w:p>
      <w:pPr>
        <w:pStyle w:val="TextBody"/>
        <w:spacing w:before="180" w:after="0"/>
        <w:rPr>
          <w:rFonts w:ascii="Times New Roman" w:hAnsi="Times New Roman"/>
          <w:sz w:val="20"/>
        </w:rPr>
      </w:pPr>
      <w:r>
        <w:rPr>
          <w:rFonts w:ascii="Times New Roman" w:hAnsi="Times New Roman"/>
          <w:sz w:val="20"/>
        </w:rPr>
        <w:t xml:space="preserve">I, Paul E. Rothamel,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EZCORP,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65"/>
        <w:gridCol w:w="102"/>
        <w:gridCol w:w="3470"/>
        <w:gridCol w:w="102"/>
        <w:gridCol w:w="3266"/>
      </w:tblGrid>
      <w:tr>
        <w:trPr/>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265" w:type="dxa"/>
            <w:tcBorders/>
            <w:shd w:fill="auto" w:val="clear"/>
          </w:tcPr>
          <w:p>
            <w:pPr>
              <w:pStyle w:val="TableContents"/>
              <w:spacing w:before="0" w:after="283"/>
              <w:rPr>
                <w:rFonts w:ascii="Times New Roman" w:hAnsi="Times New Roman"/>
                <w:sz w:val="20"/>
              </w:rPr>
            </w:pPr>
            <w:r>
              <w:rPr>
                <w:rFonts w:ascii="Times New Roman" w:hAnsi="Times New Roman"/>
                <w:sz w:val="20"/>
              </w:rPr>
              <w:t xml:space="preserve">Date: May 10, 2012 </w:t>
            </w:r>
          </w:p>
        </w:tc>
        <w:tc>
          <w:tcPr>
            <w:tcW w:w="102"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Paul E. Rothamel</w:t>
            </w:r>
          </w:p>
        </w:tc>
      </w:tr>
      <w:tr>
        <w:trPr/>
        <w:tc>
          <w:tcPr>
            <w:tcW w:w="326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Paul E. Rothamel</w:t>
            </w:r>
          </w:p>
        </w:tc>
      </w:tr>
      <w:tr>
        <w:trPr/>
        <w:tc>
          <w:tcPr>
            <w:tcW w:w="326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470"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Chief Executive Officer</w:t>
            </w:r>
          </w:p>
        </w:tc>
      </w:tr>
    </w:tbl>
    <w:p>
      <w:pPr>
        <w:pStyle w:val="TextBody"/>
        <w:spacing w:before="0" w:after="0"/>
        <w:jc w:val="right"/>
        <w:rPr>
          <w:rFonts w:ascii="Times New Roman" w:hAnsi="Times New Roman"/>
          <w:b/>
          <w:sz w:val="20"/>
        </w:rPr>
      </w:pPr>
      <w:r>
        <w:br w:type="page"/>
      </w:r>
      <w:bookmarkStart w:id="22" w:name="d328034dex312.htm"/>
      <w:bookmarkStart w:id="23" w:name="ksd328034dex312"/>
      <w:bookmarkEnd w:id="22"/>
      <w:bookmarkEnd w:id="23"/>
      <w:r>
        <w:rPr>
          <w:rFonts w:ascii="Times New Roman" w:hAnsi="Times New Roman"/>
          <w:b/>
          <w:sz w:val="20"/>
        </w:rPr>
        <w:t xml:space="preserve">Exhibit 31.2 </w:t>
      </w:r>
    </w:p>
    <w:p>
      <w:pPr>
        <w:pStyle w:val="TextBody"/>
        <w:spacing w:before="180" w:after="0"/>
        <w:jc w:val="center"/>
        <w:rPr>
          <w:rFonts w:ascii="Times New Roman" w:hAnsi="Times New Roman"/>
          <w:b/>
          <w:sz w:val="20"/>
        </w:rPr>
      </w:pPr>
      <w:r>
        <w:rPr>
          <w:rFonts w:ascii="Times New Roman" w:hAnsi="Times New Roman"/>
          <w:b/>
          <w:sz w:val="20"/>
        </w:rPr>
        <w:t xml:space="preserve">Certification of Stephen A. Stamp, Chief Financial Officer, </w:t>
      </w:r>
    </w:p>
    <w:p>
      <w:pPr>
        <w:pStyle w:val="TextBody"/>
        <w:spacing w:before="0" w:after="0"/>
        <w:jc w:val="center"/>
        <w:rPr>
          <w:rFonts w:ascii="Times New Roman" w:hAnsi="Times New Roman"/>
          <w:b/>
          <w:sz w:val="20"/>
        </w:rPr>
      </w:pPr>
      <w:r>
        <w:rPr>
          <w:rFonts w:ascii="Times New Roman" w:hAnsi="Times New Roman"/>
          <w:b/>
          <w:sz w:val="20"/>
        </w:rPr>
        <w:t xml:space="preserve">pursuant to Rule 13a-14(a) under the Securities Exchange Act of 1934,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spacing w:before="180" w:after="0"/>
        <w:rPr>
          <w:rFonts w:ascii="Times New Roman" w:hAnsi="Times New Roman"/>
          <w:sz w:val="20"/>
        </w:rPr>
      </w:pPr>
      <w:r>
        <w:rPr>
          <w:rFonts w:ascii="Times New Roman" w:hAnsi="Times New Roman"/>
          <w:sz w:val="20"/>
        </w:rPr>
        <w:t xml:space="preserve">I, Stephen A. Stamp,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EZCORP,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367"/>
        <w:gridCol w:w="102"/>
        <w:gridCol w:w="3368"/>
        <w:gridCol w:w="102"/>
        <w:gridCol w:w="3266"/>
      </w:tblGrid>
      <w:tr>
        <w:trPr/>
        <w:tc>
          <w:tcPr>
            <w:tcW w:w="33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Date: May 10, 2012</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Stephen A. Stamp</w:t>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Stephen A. Stamp</w:t>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 and</w:t>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w:t>
            </w:r>
          </w:p>
        </w:tc>
      </w:tr>
    </w:tbl>
    <w:p>
      <w:pPr>
        <w:pStyle w:val="TextBody"/>
        <w:spacing w:before="0" w:after="0"/>
        <w:jc w:val="right"/>
        <w:rPr>
          <w:rFonts w:ascii="Times New Roman" w:hAnsi="Times New Roman"/>
          <w:b/>
          <w:sz w:val="20"/>
        </w:rPr>
      </w:pPr>
      <w:r>
        <w:br w:type="page"/>
      </w:r>
      <w:bookmarkStart w:id="24" w:name="d328034dex321.htm"/>
      <w:bookmarkStart w:id="25" w:name="ksd328034dex321"/>
      <w:bookmarkEnd w:id="24"/>
      <w:bookmarkEnd w:id="25"/>
      <w:r>
        <w:rPr>
          <w:rFonts w:ascii="Times New Roman" w:hAnsi="Times New Roman"/>
          <w:b/>
          <w:sz w:val="20"/>
        </w:rPr>
        <w:t xml:space="preserve">Exhibit 32.1 </w:t>
      </w:r>
    </w:p>
    <w:p>
      <w:pPr>
        <w:pStyle w:val="TextBody"/>
        <w:spacing w:before="180" w:after="0"/>
        <w:jc w:val="center"/>
        <w:rPr>
          <w:rFonts w:ascii="Times New Roman" w:hAnsi="Times New Roman"/>
          <w:b/>
          <w:sz w:val="20"/>
        </w:rPr>
      </w:pPr>
      <w:r>
        <w:rPr>
          <w:rFonts w:ascii="Times New Roman" w:hAnsi="Times New Roman"/>
          <w:b/>
          <w:sz w:val="20"/>
        </w:rPr>
        <w:t xml:space="preserve">Certifications of Paul E. Rothamel, Chief Executive Officer, and Stephen A. Stamp, Chief Financial Officer, </w:t>
      </w:r>
    </w:p>
    <w:p>
      <w:pPr>
        <w:pStyle w:val="TextBody"/>
        <w:spacing w:before="0" w:after="0"/>
        <w:jc w:val="center"/>
        <w:rPr>
          <w:rFonts w:ascii="Times New Roman" w:hAnsi="Times New Roman"/>
          <w:b/>
          <w:sz w:val="20"/>
        </w:rPr>
      </w:pPr>
      <w:r>
        <w:rPr>
          <w:rFonts w:ascii="Times New Roman" w:hAnsi="Times New Roman"/>
          <w:b/>
          <w:sz w:val="20"/>
        </w:rPr>
        <w:t xml:space="preserve">pursuant to 18 U.S.C. Section 1350, as adopted pursuant to 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The undersigned officers of EZCORP, Inc. hereby certify that (a) EZCORPs Quarterly Report on Form 10-Q for the quarter ended March 31, 2012,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367"/>
        <w:gridCol w:w="102"/>
        <w:gridCol w:w="3368"/>
        <w:gridCol w:w="102"/>
        <w:gridCol w:w="3266"/>
      </w:tblGrid>
      <w:tr>
        <w:trPr/>
        <w:tc>
          <w:tcPr>
            <w:tcW w:w="33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Date: May 10, 2012</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Paul E. Rothamel</w:t>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Paul E. Rothamel</w:t>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Chief Executive Officer</w:t>
            </w:r>
          </w:p>
        </w:tc>
      </w:tr>
      <w:tr>
        <w:trPr>
          <w:trHeight w:val="240" w:hRule="atLeast"/>
        </w:trPr>
        <w:tc>
          <w:tcPr>
            <w:tcW w:w="3367" w:type="dxa"/>
            <w:tcBorders/>
            <w:shd w:fill="auto" w:val="clear"/>
            <w:vAlign w:val="center"/>
          </w:tcPr>
          <w:p>
            <w:pPr>
              <w:pStyle w:val="TableContents"/>
              <w:spacing w:before="0" w:after="283"/>
              <w:rPr>
                <w:sz w:val="4"/>
                <w:szCs w:val="4"/>
              </w:rPr>
            </w:pPr>
            <w:r>
              <w:rPr>
                <w:sz w:val="4"/>
                <w:szCs w:val="4"/>
              </w:rPr>
            </w:r>
          </w:p>
        </w:tc>
        <w:tc>
          <w:tcPr>
            <w:tcW w:w="3470" w:type="dxa"/>
            <w:gridSpan w:val="2"/>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tcPr>
          <w:p>
            <w:pPr>
              <w:pStyle w:val="TableContents"/>
              <w:spacing w:before="0" w:after="283"/>
              <w:rPr>
                <w:rFonts w:ascii="Times New Roman" w:hAnsi="Times New Roman"/>
                <w:sz w:val="20"/>
              </w:rPr>
            </w:pPr>
            <w:r>
              <w:rPr>
                <w:rFonts w:ascii="Times New Roman" w:hAnsi="Times New Roman"/>
                <w:sz w:val="20"/>
              </w:rPr>
              <w:t>Date: May 10, 2012</w:t>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Stephen A. Stamp</w:t>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Stephen A. Stamp</w:t>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 and</w:t>
            </w:r>
          </w:p>
        </w:tc>
      </w:tr>
      <w:tr>
        <w:trPr/>
        <w:tc>
          <w:tcPr>
            <w:tcW w:w="3367"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64</Pages>
  <Words>28287</Words>
  <CharactersWithSpaces>190221</CharactersWithSpaces>
  <Paragraphs>21271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Certifications of the CEO and CFO pursuant to Section 906</dc:title>
</cp:coreProperties>
</file>