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 2022</w:t>
      </w:r>
    </w:p>
    <w:p>
      <w:pPr>
        <w:spacing w:after="0" w:line="8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noted in our Annual Report on Form 10-K for the year ended September 30, 2022 (the “Fiscal 2022 Annual Report”), we own a non-redeemable voting participating preferred equity interest in Founders One, LLC (“Founders”), a private company that has majority ownership in Simple Management Group, Inc. (“SMG”). SMG, through its wholly-owned subsidiaries, owns and operates pawn stores principally in the Caribbean. See Note 5 of Notes to Consolidated Financial Statements included in “Part II, Item 8 — Financial Statements and Supplementary Data” of the Fiscal 2022 Annual Report.</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December 2, 2022, SMG acquired 100% of the issued and outstanding capital stock of FFI Holdings, Inc., which owns 52 pawn stores in Florida and Puerto Rico operating under the name “La Familia Pawn &amp; Jewelry” and other related names, including “La Familia” and “Family Financial.” To assist with the financing of SMG’s acquisition of La Familia, we made the following additional investments in Founders:</w:t>
      </w:r>
    </w:p>
    <w:p>
      <w:pPr>
        <w:spacing w:after="0" w:line="122" w:lineRule="exact"/>
        <w:rPr>
          <w:sz w:val="20"/>
          <w:szCs w:val="20"/>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contributed $15.0 million to Founders as an additional capital contribution associated with our preferred interest. Those proceeds were used by Founders to acquire additional common stock in SMG, increasing Founders’ ownership in SMG to approximately 71%.</w:t>
      </w:r>
    </w:p>
    <w:p>
      <w:pPr>
        <w:spacing w:after="0" w:line="10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loaned $15.0 million to Founders in exchange for a Demand Promissory Note secured by the common interest in Founders held by the other member. Those proceeds, along with the proceeds of additional debt financing from a third-party investor, were loaned by Founders to SMG in exchange for a Subordinated Note.</w:t>
      </w:r>
    </w:p>
    <w:p>
      <w:pPr>
        <w:spacing w:after="0" w:line="122"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SMG used the proceeds from the capital contribution and the subordinated loan from Founders, along with additional debt financing obtained from a third-party senior lender, to complete the La Familia acquisition. SMG now owns and operates a total of 73 pawn stores (42 in the Caribbean and 31 in Florida).</w:t>
      </w:r>
    </w:p>
    <w:p>
      <w:pPr>
        <w:spacing w:after="0" w:line="8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December 5, 2022, the Company issued a press release regarding, among other things, the closing of this transaction. That press release is filed as Exhibit 99.1 to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December 5, 2022, regarding business developments</w:t>
      </w:r>
    </w:p>
    <w:p>
      <w:pPr>
        <w:spacing w:after="0" w:line="2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1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2022</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H. Welch, Jr.</w:t>
            </w:r>
          </w:p>
        </w:tc>
      </w:tr>
      <w:tr>
        <w:trPr>
          <w:trHeight w:val="218"/>
        </w:trPr>
        <w:tc>
          <w:tcPr>
            <w:tcW w:w="4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r>
      <w:tr>
        <w:trPr>
          <w:trHeight w:val="234"/>
        </w:trPr>
        <w:tc>
          <w:tcPr>
            <w:tcW w:w="4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00"/>
          </w:cols>
          <w:pgMar w:left="320" w:top="1049" w:right="379" w:bottom="1440" w:gutter="0" w:footer="0" w:header="0"/>
        </w:sectPr>
      </w:pPr>
    </w:p>
    <w:bookmarkStart w:id="2" w:name="page3"/>
    <w:bookmarkEnd w:id="2"/>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12700</wp:posOffset>
            </wp:positionV>
            <wp:extent cx="1602740"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27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EZCORP INCREASES INVESTMENT IN FLORIDA AND CARIBBEAN;</w:t>
      </w:r>
    </w:p>
    <w:p>
      <w:pPr>
        <w:spacing w:after="0" w:line="1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EXPANDS PAWNBROKING FOOTPRINT TO INCLUDE LUXURY OFFERINGS</w:t>
      </w:r>
    </w:p>
    <w:p>
      <w:pPr>
        <w:spacing w:after="0" w:line="225" w:lineRule="exact"/>
        <w:rPr>
          <w:sz w:val="20"/>
          <w:szCs w:val="20"/>
          <w:color w:val="auto"/>
        </w:rPr>
      </w:pPr>
    </w:p>
    <w:p>
      <w:pPr>
        <w:ind w:right="160"/>
        <w:spacing w:after="0"/>
        <w:rPr>
          <w:sz w:val="20"/>
          <w:szCs w:val="20"/>
          <w:color w:val="auto"/>
        </w:rPr>
      </w:pPr>
      <w:r>
        <w:rPr>
          <w:rFonts w:ascii="Calibri" w:cs="Calibri" w:eastAsia="Calibri" w:hAnsi="Calibri"/>
          <w:sz w:val="20"/>
          <w:szCs w:val="20"/>
          <w:b w:val="1"/>
          <w:bCs w:val="1"/>
          <w:color w:val="auto"/>
        </w:rPr>
        <w:t xml:space="preserve">AUSTIN, Texas--(BUSINESS WIRE) -- </w:t>
      </w:r>
      <w:r>
        <w:rPr>
          <w:rFonts w:ascii="Calibri" w:cs="Calibri" w:eastAsia="Calibri" w:hAnsi="Calibri"/>
          <w:sz w:val="20"/>
          <w:szCs w:val="20"/>
          <w:color w:val="auto"/>
        </w:rPr>
        <w:t>EZCORP, Inc. (NASDAQ: EZPW), a leading provider of pawnbroking services in the United States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Latn America and retailer of pre-owned, name-brand merchandise, today announced two investments that highlight its contnuing initatves to expand its geographic footprint and broaden its pawnbroking oferings.</w:t>
      </w:r>
    </w:p>
    <w:p>
      <w:pPr>
        <w:spacing w:after="0" w:line="186"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The Company recently increased its investment in Founders One, LLC, a private company that owns a majority interest in Simple Management Group, Inc. (SMG). This increased investment (comprised of a $15 million preferred equity contributon and a $15 million loan), along with other third-party fnancing secured by SMG, was used by SMG to acquire 100% of the outstanding capital stock of FFI Holdings, Inc., which owns 52 pawnbroking stores in Florida and Puerto Rico operatng under the “La Familia” or “Family Financial” brand. That acquisiton was completed on December 2, 2022, and with it, SMG now owns and operates a total of 73 pawnbroking stores (42 in the Caribbean and 31 in Florida). Additonal informaton about the Company’s increased investment in Founders One can be found in its Current Report on Form 8-K, dated December 2, 2022, fled with the Securites and Exchange Commission.</w:t>
      </w:r>
    </w:p>
    <w:p>
      <w:pPr>
        <w:spacing w:after="0" w:line="201"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EZCORP also recently acquired a luxury pawnbroking business in Las Vegas operatng under the name “Max Pawn” and established a joint venture with Michael Mack, the former owner of Max Pawn. The joint venture will focus on the luxury goods space in Las Vegas and other selected markets across the U.S. In connecton with the acquisiton, Mr. Mack has joined EZCORP to lead the Company’s new Luxury Pawn Division.</w:t>
      </w:r>
    </w:p>
    <w:p>
      <w:pPr>
        <w:spacing w:after="0" w:line="198" w:lineRule="exact"/>
        <w:rPr>
          <w:sz w:val="20"/>
          <w:szCs w:val="20"/>
          <w:color w:val="auto"/>
        </w:rPr>
      </w:pPr>
    </w:p>
    <w:p>
      <w:pPr>
        <w:ind w:right="40"/>
        <w:spacing w:after="0" w:line="239" w:lineRule="auto"/>
        <w:rPr>
          <w:sz w:val="20"/>
          <w:szCs w:val="20"/>
          <w:color w:val="auto"/>
        </w:rPr>
      </w:pPr>
      <w:r>
        <w:rPr>
          <w:rFonts w:ascii="Calibri" w:cs="Calibri" w:eastAsia="Calibri" w:hAnsi="Calibri"/>
          <w:sz w:val="20"/>
          <w:szCs w:val="20"/>
          <w:color w:val="auto"/>
        </w:rPr>
        <w:t>“We contnue to execute on excitng inorganic strategic opportunites to expand our core pawnbroking business in both existng and new geographic regions. Our increased investment in Founders One gives us enhanced exposure to the strategically important Caribbean region along with increased exposure to the Florida market,” said Lachie Given, Chief Executve Ofcer of EZCORP. “Additonally, our new Luxury Pawn Division will signifcantly enhance our existng pawnbroking oferings by providing dedicated and targeted focus on higher-end products in order to serve more customers, in more places, and in more categories. Together, these new investments strengthen and expand our pawnbroking oferings and broaden the geographic reach of our core pawnbroking business.”</w:t>
      </w:r>
    </w:p>
    <w:p>
      <w:pPr>
        <w:spacing w:after="0" w:line="7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EZCORP</w:t>
      </w:r>
    </w:p>
    <w:p>
      <w:pPr>
        <w:ind w:right="380"/>
        <w:spacing w:after="0" w:line="193" w:lineRule="auto"/>
        <w:rPr>
          <w:sz w:val="20"/>
          <w:szCs w:val="20"/>
          <w:color w:val="auto"/>
        </w:rPr>
      </w:pPr>
      <w:r>
        <w:rPr>
          <w:rFonts w:ascii="Calibri" w:cs="Calibri" w:eastAsia="Calibri" w:hAnsi="Calibri"/>
          <w:sz w:val="20"/>
          <w:szCs w:val="20"/>
          <w:color w:val="auto"/>
        </w:rPr>
        <w:t>Formed in 1989, EZCORP has grown into a leading provider of pawn transactons in the United States and Latn America. We also sell merchandise, primarily collateral forfeited from pawn operatons and pre-owned merchandise purchased from customers. We are dedicated to satsfying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pacing w:after="0" w:line="138"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Follow EZCORP on </w:t>
      </w:r>
      <w:r>
        <w:rPr>
          <w:rFonts w:ascii="Calibri" w:cs="Calibri" w:eastAsia="Calibri" w:hAnsi="Calibri"/>
          <w:sz w:val="20"/>
          <w:szCs w:val="20"/>
          <w:u w:val="single" w:color="auto"/>
          <w:color w:val="0563C1"/>
        </w:rPr>
        <w:t>Instagram</w:t>
      </w:r>
      <w:r>
        <w:rPr>
          <w:rFonts w:ascii="Calibri" w:cs="Calibri" w:eastAsia="Calibri" w:hAnsi="Calibri"/>
          <w:sz w:val="20"/>
          <w:szCs w:val="20"/>
          <w:color w:val="auto"/>
        </w:rPr>
        <w:t xml:space="preserve"> and </w:t>
      </w:r>
      <w:r>
        <w:rPr>
          <w:rFonts w:ascii="Calibri" w:cs="Calibri" w:eastAsia="Calibri" w:hAnsi="Calibri"/>
          <w:sz w:val="20"/>
          <w:szCs w:val="20"/>
          <w:u w:val="single" w:color="auto"/>
          <w:color w:val="0563C1"/>
        </w:rPr>
        <w:t>LinkedIn</w:t>
      </w:r>
      <w:r>
        <w:rPr>
          <w:rFonts w:ascii="Calibri" w:cs="Calibri" w:eastAsia="Calibri" w:hAnsi="Calibri"/>
          <w:sz w:val="20"/>
          <w:szCs w:val="20"/>
          <w:color w:val="auto"/>
        </w:rPr>
        <w:t>.</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ind w:right="340"/>
        <w:spacing w:after="0" w:line="194" w:lineRule="auto"/>
        <w:rPr>
          <w:sz w:val="20"/>
          <w:szCs w:val="20"/>
          <w:color w:val="auto"/>
        </w:rPr>
      </w:pPr>
      <w:r>
        <w:rPr>
          <w:rFonts w:ascii="Calibri" w:cs="Calibri" w:eastAsia="Calibri" w:hAnsi="Calibri"/>
          <w:sz w:val="20"/>
          <w:szCs w:val="20"/>
          <w:color w:val="auto"/>
        </w:rPr>
        <w:t>This announcement contains certain forward-looking statements regarding the company’s strategy, initatves and expected performance. These statements are based on the Company’s current expectatons as to the outcome and tming of future events. All statements, other than statements of historical facts, including all statements regarding the company's strategy, initatves and future</w:t>
      </w:r>
    </w:p>
    <w:p>
      <w:pPr>
        <w:sectPr>
          <w:pgSz w:w="11900" w:h="16838" w:orient="portrait"/>
          <w:cols w:equalWidth="0" w:num="1">
            <w:col w:w="11240"/>
          </w:cols>
          <w:pgMar w:left="320" w:top="1374" w:right="339" w:bottom="1440" w:gutter="0" w:footer="0" w:header="0"/>
        </w:sectPr>
      </w:pPr>
    </w:p>
    <w:bookmarkStart w:id="3" w:name="page4"/>
    <w:bookmarkEnd w:id="3"/>
    <w:p>
      <w:pPr>
        <w:spacing w:after="0" w:line="161" w:lineRule="exact"/>
        <w:rPr>
          <w:sz w:val="20"/>
          <w:szCs w:val="20"/>
          <w:color w:val="auto"/>
        </w:rPr>
      </w:pPr>
    </w:p>
    <w:p>
      <w:pPr>
        <w:spacing w:after="0" w:line="199" w:lineRule="auto"/>
        <w:rPr>
          <w:sz w:val="20"/>
          <w:szCs w:val="20"/>
          <w:color w:val="auto"/>
        </w:rPr>
      </w:pPr>
      <w:r>
        <w:rPr>
          <w:rFonts w:ascii="Calibri" w:cs="Calibri" w:eastAsia="Calibri" w:hAnsi="Calibri"/>
          <w:sz w:val="20"/>
          <w:szCs w:val="20"/>
          <w:color w:val="auto"/>
        </w:rPr>
        <w:t>performance, that address actvites or results that the company plans, expects, believes, projects, estmates or antcipates, will, should or may occur in the future, including future fnancial or operatng results, are forward-looking statements. Actual results for future periods may difer materially from those expressed or implied by these forward-looking statements due to a number of uncertaintes and other factors, including operatng risks, liquidity risks, legislatve or regulatory developments, market factors, current or future litgaton and risks associated with the COVID-19 pandemic. For a discussion of these and other factors afectng the Company’s business and prospects, see the Company’s annual, quarterly and other reports fled with the Securites and Exchange Commission. The Company undertakes no obligaton to update or revise forward-looking statements to refect changed assumptons, the occurrence of unantcipated events or changes to future operatng results over tme.</w:t>
      </w:r>
    </w:p>
    <w:p>
      <w:pPr>
        <w:spacing w:after="0" w:line="16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199" w:lineRule="auto"/>
        <w:rPr>
          <w:sz w:val="20"/>
          <w:szCs w:val="20"/>
          <w:color w:val="auto"/>
        </w:rPr>
      </w:pPr>
      <w:r>
        <w:rPr>
          <w:rFonts w:ascii="Calibri" w:cs="Calibri" w:eastAsia="Calibri" w:hAnsi="Calibri"/>
          <w:sz w:val="20"/>
          <w:szCs w:val="20"/>
          <w:color w:val="auto"/>
        </w:rPr>
        <w:t>EZCORP</w:t>
      </w:r>
    </w:p>
    <w:p>
      <w:pPr>
        <w:spacing w:after="0" w:line="191" w:lineRule="auto"/>
        <w:rPr>
          <w:sz w:val="20"/>
          <w:szCs w:val="20"/>
          <w:color w:val="auto"/>
        </w:rPr>
      </w:pPr>
      <w:r>
        <w:rPr>
          <w:rFonts w:ascii="Calibri" w:cs="Calibri" w:eastAsia="Calibri" w:hAnsi="Calibri"/>
          <w:sz w:val="20"/>
          <w:szCs w:val="20"/>
          <w:color w:val="auto"/>
        </w:rPr>
        <w:t>Emily Metcalfe – Senior Manager, Corporate Communicatons</w:t>
      </w:r>
    </w:p>
    <w:p>
      <w:pPr>
        <w:spacing w:after="0" w:line="193" w:lineRule="auto"/>
        <w:rPr>
          <w:sz w:val="20"/>
          <w:szCs w:val="20"/>
          <w:color w:val="auto"/>
        </w:rPr>
      </w:pPr>
      <w:r>
        <w:rPr>
          <w:rFonts w:ascii="Calibri" w:cs="Calibri" w:eastAsia="Calibri" w:hAnsi="Calibri"/>
          <w:sz w:val="20"/>
          <w:szCs w:val="20"/>
          <w:color w:val="auto"/>
        </w:rPr>
        <w:t>Phone: 512.673.9444</w:t>
      </w:r>
    </w:p>
    <w:p>
      <w:pPr>
        <w:spacing w:after="0" w:line="200" w:lineRule="auto"/>
        <w:rPr>
          <w:sz w:val="20"/>
          <w:szCs w:val="20"/>
          <w:color w:val="auto"/>
        </w:rPr>
      </w:pPr>
      <w:r>
        <w:rPr>
          <w:rFonts w:ascii="Calibri" w:cs="Calibri" w:eastAsia="Calibri" w:hAnsi="Calibri"/>
          <w:sz w:val="20"/>
          <w:szCs w:val="20"/>
          <w:color w:val="auto"/>
        </w:rPr>
        <w:t xml:space="preserve">Email: </w:t>
      </w:r>
      <w:r>
        <w:rPr>
          <w:rFonts w:ascii="Calibri" w:cs="Calibri" w:eastAsia="Calibri" w:hAnsi="Calibri"/>
          <w:sz w:val="20"/>
          <w:szCs w:val="20"/>
          <w:u w:val="single" w:color="auto"/>
          <w:color w:val="0563C1"/>
        </w:rPr>
        <w:t>media@ezcorp .com</w:t>
      </w:r>
    </w:p>
    <w:p>
      <w:pPr>
        <w:spacing w:after="0" w:line="16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Contact</w:t>
      </w:r>
    </w:p>
    <w:p>
      <w:pPr>
        <w:spacing w:after="0" w:line="193" w:lineRule="auto"/>
        <w:rPr>
          <w:sz w:val="20"/>
          <w:szCs w:val="20"/>
          <w:color w:val="auto"/>
        </w:rPr>
      </w:pPr>
      <w:r>
        <w:rPr>
          <w:rFonts w:ascii="Calibri" w:cs="Calibri" w:eastAsia="Calibri" w:hAnsi="Calibri"/>
          <w:sz w:val="20"/>
          <w:szCs w:val="20"/>
          <w:color w:val="auto"/>
        </w:rPr>
        <w:t xml:space="preserve">Email: </w:t>
      </w:r>
      <w:r>
        <w:rPr>
          <w:rFonts w:ascii="Calibri" w:cs="Calibri" w:eastAsia="Calibri" w:hAnsi="Calibri"/>
          <w:sz w:val="20"/>
          <w:szCs w:val="20"/>
          <w:u w:val="single" w:color="auto"/>
          <w:color w:val="0054A3"/>
        </w:rPr>
        <w:t>Investor_Relatons@ezcorp.com</w:t>
      </w:r>
    </w:p>
    <w:p>
      <w:pPr>
        <w:spacing w:after="0" w:line="199" w:lineRule="auto"/>
        <w:rPr>
          <w:sz w:val="20"/>
          <w:szCs w:val="20"/>
          <w:color w:val="auto"/>
        </w:rPr>
      </w:pPr>
      <w:r>
        <w:rPr>
          <w:rFonts w:ascii="Calibri" w:cs="Calibri" w:eastAsia="Calibri" w:hAnsi="Calibri"/>
          <w:sz w:val="20"/>
          <w:szCs w:val="20"/>
          <w:color w:val="auto"/>
        </w:rPr>
        <w:t>Phone: 512.314.2220</w:t>
      </w:r>
    </w:p>
    <w:p>
      <w:pPr>
        <w:spacing w:after="0" w:line="40" w:lineRule="exact"/>
        <w:rPr>
          <w:sz w:val="20"/>
          <w:szCs w:val="20"/>
          <w:color w:val="auto"/>
        </w:rPr>
      </w:pPr>
    </w:p>
    <w:p>
      <w:pPr>
        <w:spacing w:after="0"/>
        <w:rPr>
          <w:sz w:val="20"/>
          <w:szCs w:val="20"/>
          <w:color w:val="auto"/>
        </w:rPr>
      </w:pPr>
      <w:r>
        <w:rPr>
          <w:rFonts w:ascii="Calibri" w:cs="Calibri" w:eastAsia="Calibri" w:hAnsi="Calibri"/>
          <w:sz w:val="20"/>
          <w:szCs w:val="20"/>
          <w:color w:val="auto"/>
        </w:rPr>
        <w:t>Jean Marie Young</w:t>
      </w:r>
    </w:p>
    <w:p>
      <w:pPr>
        <w:spacing w:after="0" w:line="191" w:lineRule="auto"/>
        <w:rPr>
          <w:sz w:val="20"/>
          <w:szCs w:val="20"/>
          <w:color w:val="auto"/>
        </w:rPr>
      </w:pPr>
      <w:r>
        <w:rPr>
          <w:rFonts w:ascii="Calibri" w:cs="Calibri" w:eastAsia="Calibri" w:hAnsi="Calibri"/>
          <w:sz w:val="20"/>
          <w:szCs w:val="20"/>
          <w:color w:val="auto"/>
        </w:rPr>
        <w:t>Managing Director, Three Part Advisors</w:t>
      </w:r>
    </w:p>
    <w:p>
      <w:pPr>
        <w:spacing w:after="0" w:line="193" w:lineRule="auto"/>
        <w:rPr>
          <w:sz w:val="20"/>
          <w:szCs w:val="20"/>
          <w:color w:val="auto"/>
        </w:rPr>
      </w:pPr>
      <w:r>
        <w:rPr>
          <w:rFonts w:ascii="Calibri" w:cs="Calibri" w:eastAsia="Calibri" w:hAnsi="Calibri"/>
          <w:sz w:val="20"/>
          <w:szCs w:val="20"/>
          <w:color w:val="auto"/>
        </w:rPr>
        <w:t>Three Part Advisors</w:t>
      </w:r>
    </w:p>
    <w:p>
      <w:pPr>
        <w:spacing w:after="0" w:line="199" w:lineRule="auto"/>
        <w:rPr>
          <w:sz w:val="20"/>
          <w:szCs w:val="20"/>
          <w:color w:val="auto"/>
        </w:rPr>
      </w:pPr>
      <w:r>
        <w:rPr>
          <w:rFonts w:ascii="Calibri" w:cs="Calibri" w:eastAsia="Calibri" w:hAnsi="Calibri"/>
          <w:sz w:val="20"/>
          <w:szCs w:val="20"/>
          <w:color w:val="auto"/>
        </w:rPr>
        <w:t xml:space="preserve">Email: </w:t>
      </w:r>
      <w:r>
        <w:rPr>
          <w:rFonts w:ascii="Calibri" w:cs="Calibri" w:eastAsia="Calibri" w:hAnsi="Calibri"/>
          <w:sz w:val="20"/>
          <w:szCs w:val="20"/>
          <w:color w:val="0054A3"/>
        </w:rPr>
        <w:t>jyoung@threepa.com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-20955</wp:posOffset>
            </wp:positionV>
            <wp:extent cx="1132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spacing w:after="0" w:line="200" w:lineRule="auto"/>
        <w:rPr>
          <w:sz w:val="20"/>
          <w:szCs w:val="20"/>
          <w:color w:val="auto"/>
        </w:rPr>
      </w:pPr>
      <w:r>
        <w:rPr>
          <w:rFonts w:ascii="Calibri" w:cs="Calibri" w:eastAsia="Calibri" w:hAnsi="Calibri"/>
          <w:sz w:val="20"/>
          <w:szCs w:val="20"/>
          <w:color w:val="auto"/>
        </w:rPr>
        <w:t>Phone: 631.418.4339</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2022-12-05T08:05:05Z</dcterms:created>
  <dcterms:modified xsi:type="dcterms:W3CDTF">2022-12-05T08:05:05Z</dcterms:modified>
</cp:coreProperties>
</file>