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r>
        <w:rPr/>
      </w:r>
      <w:bookmarkStart w:id="0" w:name="s4AB3BD19CAAA4E1CCB606FA02D1B3755"/>
      <w:bookmarkStart w:id="1" w:name="ezcorp-20131001sx3asr.htm"/>
      <w:bookmarkStart w:id="2" w:name="ksezcorp20131001sx3asr"/>
      <w:bookmarkStart w:id="3" w:name="s4AB3BD19CAAA4E1CCB606FA02D1B3755"/>
      <w:bookmarkStart w:id="4" w:name="ezcorp-20131001sx3asr.htm"/>
      <w:bookmarkStart w:id="5" w:name="ksezcorp20131001sx3asr"/>
      <w:bookmarkEnd w:id="3"/>
      <w:bookmarkEnd w:id="4"/>
      <w:bookmarkEnd w:id="5"/>
    </w:p>
    <w:p>
      <w:pPr>
        <w:pStyle w:val="TextBody"/>
        <w:spacing w:lineRule="auto" w:line="288" w:before="0" w:after="0"/>
        <w:jc w:val="center"/>
        <w:rPr>
          <w:rFonts w:ascii="inherit" w:hAnsi="inherit"/>
          <w:b/>
          <w:sz w:val="17"/>
        </w:rPr>
      </w:pPr>
      <w:r>
        <w:rPr>
          <w:rFonts w:ascii="inherit" w:hAnsi="inherit"/>
          <w:b/>
          <w:sz w:val="17"/>
        </w:rPr>
        <w:t xml:space="preserve">As filed with the Securities and Exchange Commission on October 8, 2013 </w:t>
      </w:r>
    </w:p>
    <w:p>
      <w:pPr>
        <w:pStyle w:val="TextBody"/>
        <w:spacing w:lineRule="auto" w:line="288" w:before="0" w:after="0"/>
        <w:jc w:val="right"/>
        <w:rPr>
          <w:rFonts w:ascii="inherit" w:hAnsi="inherit"/>
          <w:sz w:val="17"/>
        </w:rPr>
      </w:pPr>
      <w:r>
        <w:rPr>
          <w:rFonts w:ascii="inherit" w:hAnsi="inherit"/>
          <w:sz w:val="17"/>
        </w:rPr>
        <w:t>Registration No. 333-</w:t>
      </w:r>
    </w:p>
    <w:tbl>
      <w:tblPr>
        <w:tblW w:w="525" w:type="dxa"/>
        <w:jc w:val="center"/>
        <w:tblInd w:w="0" w:type="dxa"/>
        <w:tblCellMar>
          <w:top w:w="0" w:type="dxa"/>
          <w:left w:w="0" w:type="dxa"/>
          <w:bottom w:w="0" w:type="dxa"/>
          <w:right w:w="0" w:type="dxa"/>
        </w:tblCellMar>
      </w:tblPr>
      <w:tblGrid>
        <w:gridCol w:w="105"/>
        <w:gridCol w:w="105"/>
        <w:gridCol w:w="105"/>
        <w:gridCol w:w="105"/>
        <w:gridCol w:w="105"/>
      </w:tblGrid>
      <w:tr>
        <w:trPr/>
        <w:tc>
          <w:tcPr>
            <w:tcW w:w="525" w:type="dxa"/>
            <w:gridSpan w:val="5"/>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bottom w:val="double" w:sz="6" w:space="0" w:color="000000"/>
            </w:tcBorders>
            <w:shd w:fill="auto" w:val="clear"/>
            <w:tcMar>
              <w:bottom w:w="30" w:type="dxa"/>
            </w:tcMar>
            <w:vAlign w:val="center"/>
          </w:tcPr>
          <w:p>
            <w:pPr>
              <w:pStyle w:val="TableContents"/>
              <w:spacing w:before="0" w:after="0"/>
              <w:ind w:left="0" w:right="0" w:firstLine="30"/>
              <w:rPr/>
            </w:pPr>
            <w:r>
              <w:rPr/>
              <w:t> </w:t>
            </w:r>
          </w:p>
        </w:tc>
        <w:tc>
          <w:tcPr>
            <w:tcW w:w="105" w:type="dxa"/>
            <w:tcBorders>
              <w:bottom w:val="double" w:sz="6" w:space="0" w:color="000000"/>
            </w:tcBorders>
            <w:shd w:fill="auto" w:val="clear"/>
            <w:tcMar>
              <w:bottom w:w="30" w:type="dxa"/>
            </w:tcMar>
            <w:vAlign w:val="center"/>
          </w:tcPr>
          <w:p>
            <w:pPr>
              <w:pStyle w:val="TableContents"/>
              <w:spacing w:before="0" w:after="0"/>
              <w:ind w:left="0" w:right="0" w:firstLine="30"/>
              <w:rPr/>
            </w:pPr>
            <w:r>
              <w:rPr/>
              <w:t> </w:t>
            </w:r>
          </w:p>
        </w:tc>
        <w:tc>
          <w:tcPr>
            <w:tcW w:w="105" w:type="dxa"/>
            <w:tcBorders>
              <w:bottom w:val="double" w:sz="6" w:space="0" w:color="000000"/>
            </w:tcBorders>
            <w:shd w:fill="auto" w:val="clear"/>
            <w:tcMar>
              <w:bottom w:w="30" w:type="dxa"/>
            </w:tcMar>
            <w:vAlign w:val="center"/>
          </w:tcPr>
          <w:p>
            <w:pPr>
              <w:pStyle w:val="TableContents"/>
              <w:spacing w:before="0" w:after="0"/>
              <w:ind w:left="0" w:right="0" w:firstLine="30"/>
              <w:rPr/>
            </w:pPr>
            <w:r>
              <w:rPr/>
              <w:t> </w:t>
            </w:r>
          </w:p>
        </w:tc>
        <w:tc>
          <w:tcPr>
            <w:tcW w:w="105" w:type="dxa"/>
            <w:tcBorders>
              <w:bottom w:val="double" w:sz="6" w:space="0" w:color="000000"/>
            </w:tcBorders>
            <w:shd w:fill="auto" w:val="clear"/>
            <w:tcMar>
              <w:bottom w:w="30" w:type="dxa"/>
            </w:tcMar>
            <w:vAlign w:val="center"/>
          </w:tcPr>
          <w:p>
            <w:pPr>
              <w:pStyle w:val="TableContents"/>
              <w:spacing w:before="0" w:after="0"/>
              <w:ind w:left="0" w:right="0" w:firstLine="30"/>
              <w:rPr/>
            </w:pPr>
            <w:r>
              <w:rPr/>
              <w:t> </w:t>
            </w:r>
          </w:p>
        </w:tc>
        <w:tc>
          <w:tcPr>
            <w:tcW w:w="105" w:type="dxa"/>
            <w:tcBorders>
              <w:bottom w:val="double" w:sz="6" w:space="0" w:color="000000"/>
            </w:tcBorders>
            <w:shd w:fill="auto" w:val="clear"/>
            <w:tcMar>
              <w:bottom w:w="30" w:type="dxa"/>
            </w:tcMar>
            <w:vAlign w:val="center"/>
          </w:tcPr>
          <w:p>
            <w:pPr>
              <w:pStyle w:val="TableContents"/>
              <w:spacing w:before="0" w:after="0"/>
              <w:rPr/>
            </w:pPr>
            <w:r>
              <w:rPr/>
              <w:t> </w:t>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59" w:before="0" w:after="0"/>
        <w:jc w:val="center"/>
        <w:rPr>
          <w:rFonts w:ascii="inherit" w:hAnsi="inherit"/>
          <w:b/>
          <w:sz w:val="23"/>
        </w:rPr>
      </w:pPr>
      <w:r>
        <w:rPr>
          <w:rFonts w:ascii="inherit" w:hAnsi="inherit"/>
          <w:b/>
          <w:sz w:val="23"/>
        </w:rPr>
        <w:t>UNITED STATES</w:t>
      </w:r>
    </w:p>
    <w:p>
      <w:pPr>
        <w:pStyle w:val="TextBody"/>
        <w:spacing w:lineRule="auto" w:line="259" w:before="0" w:after="0"/>
        <w:jc w:val="center"/>
        <w:rPr>
          <w:rFonts w:ascii="inherit" w:hAnsi="inherit"/>
          <w:b/>
          <w:sz w:val="23"/>
        </w:rPr>
      </w:pPr>
      <w:r>
        <w:rPr>
          <w:rFonts w:ascii="inherit" w:hAnsi="inherit"/>
          <w:b/>
          <w:sz w:val="23"/>
        </w:rPr>
        <w:t>SECURITIES AND EXCHANGE COMMISSION</w:t>
      </w:r>
    </w:p>
    <w:p>
      <w:pPr>
        <w:pStyle w:val="TextBody"/>
        <w:spacing w:lineRule="auto" w:line="259" w:before="0" w:after="0"/>
        <w:jc w:val="center"/>
        <w:rPr>
          <w:rFonts w:ascii="inherit" w:hAnsi="inherit"/>
          <w:b/>
          <w:sz w:val="20"/>
        </w:rPr>
      </w:pPr>
      <w:r>
        <w:rPr>
          <w:rFonts w:ascii="inherit" w:hAnsi="inherit"/>
          <w:b/>
          <w:sz w:val="20"/>
        </w:rPr>
        <w:t>Washington, D.C. 20549</w:t>
      </w:r>
    </w:p>
    <w:p>
      <w:pPr>
        <w:pStyle w:val="TextBody"/>
        <w:spacing w:lineRule="auto" w:line="288" w:before="0" w:after="0"/>
        <w:jc w:val="center"/>
        <w:rPr>
          <w:rFonts w:ascii="inherit" w:hAnsi="inherit"/>
          <w:b/>
          <w:sz w:val="20"/>
        </w:rPr>
      </w:pPr>
      <w:r>
        <w:rPr>
          <w:rFonts w:ascii="inherit" w:hAnsi="inherit"/>
          <w:b/>
          <w:sz w:val="20"/>
        </w:rPr>
        <w:t>___________________________</w:t>
      </w:r>
    </w:p>
    <w:p>
      <w:pPr>
        <w:pStyle w:val="TextBody"/>
        <w:spacing w:lineRule="auto" w:line="288" w:before="0" w:after="0"/>
        <w:jc w:val="center"/>
        <w:rPr>
          <w:sz w:val="30"/>
        </w:rPr>
      </w:pPr>
      <w:r>
        <w:rPr>
          <w:rFonts w:ascii="inherit" w:hAnsi="inherit"/>
          <w:sz w:val="17"/>
        </w:rPr>
        <w:br/>
      </w:r>
      <w:r>
        <w:rPr>
          <w:rFonts w:ascii="inherit" w:hAnsi="inherit"/>
          <w:b/>
          <w:sz w:val="30"/>
        </w:rPr>
        <w:t>FORM S-3</w:t>
      </w:r>
    </w:p>
    <w:p>
      <w:pPr>
        <w:pStyle w:val="TextBody"/>
        <w:spacing w:lineRule="auto" w:line="288" w:before="0" w:after="0"/>
        <w:jc w:val="center"/>
        <w:rPr>
          <w:sz w:val="17"/>
        </w:rPr>
      </w:pPr>
      <w:r>
        <w:rPr>
          <w:rFonts w:ascii="inherit" w:hAnsi="inherit"/>
          <w:b/>
          <w:sz w:val="17"/>
        </w:rPr>
        <w:t>REGISTRATION STATEMENT</w:t>
      </w:r>
      <w:r>
        <w:rPr>
          <w:sz w:val="17"/>
        </w:rPr>
        <w:t xml:space="preserve"> </w:t>
      </w:r>
      <w:r>
        <w:rPr>
          <w:rFonts w:ascii="inherit" w:hAnsi="inherit"/>
          <w:sz w:val="17"/>
        </w:rPr>
        <w:br/>
      </w:r>
      <w:r>
        <w:rPr>
          <w:rFonts w:ascii="inherit" w:hAnsi="inherit"/>
          <w:b/>
          <w:sz w:val="17"/>
        </w:rPr>
        <w:t>UNDER THE SECURITIES ACT OF 1933</w:t>
      </w:r>
    </w:p>
    <w:p>
      <w:pPr>
        <w:pStyle w:val="TextBody"/>
        <w:spacing w:lineRule="auto" w:line="288" w:before="0" w:after="0"/>
        <w:jc w:val="center"/>
        <w:rPr>
          <w:rFonts w:ascii="inherit" w:hAnsi="inherit"/>
          <w:b/>
          <w:sz w:val="20"/>
        </w:rPr>
      </w:pPr>
      <w:r>
        <w:rPr>
          <w:rFonts w:ascii="inherit" w:hAnsi="inherit"/>
          <w:b/>
          <w:sz w:val="20"/>
        </w:rPr>
        <w:t>___________________________</w:t>
      </w:r>
    </w:p>
    <w:p>
      <w:pPr>
        <w:pStyle w:val="TextBody"/>
        <w:spacing w:lineRule="auto" w:line="288" w:before="0" w:after="0"/>
        <w:jc w:val="center"/>
        <w:rPr>
          <w:sz w:val="40"/>
        </w:rPr>
      </w:pPr>
      <w:r>
        <w:rPr>
          <w:rFonts w:ascii="inherit" w:hAnsi="inherit"/>
          <w:sz w:val="17"/>
        </w:rPr>
        <w:br/>
      </w:r>
      <w:r>
        <w:rPr>
          <w:rFonts w:ascii="inherit" w:hAnsi="inherit"/>
          <w:b/>
          <w:sz w:val="40"/>
        </w:rPr>
        <w:t>EZCORP, INC.</w:t>
      </w:r>
      <w:r>
        <w:rPr>
          <w:sz w:val="40"/>
        </w:rPr>
        <w:t xml:space="preserve"> </w:t>
      </w:r>
      <w:r>
        <w:rPr>
          <w:rFonts w:ascii="inherit" w:hAnsi="inherit"/>
          <w:sz w:val="17"/>
        </w:rPr>
        <w:br/>
      </w:r>
      <w:r>
        <w:rPr>
          <w:rFonts w:ascii="inherit" w:hAnsi="inherit"/>
          <w:sz w:val="13"/>
        </w:rPr>
        <w:t>(Exact name of registrant as specified in its charter)</w:t>
      </w:r>
    </w:p>
    <w:p>
      <w:pPr>
        <w:pStyle w:val="TextBody"/>
        <w:spacing w:lineRule="auto" w:line="288" w:before="0" w:after="0"/>
        <w:jc w:val="center"/>
        <w:rPr>
          <w:rFonts w:ascii="inherit" w:hAnsi="inherit"/>
          <w:b/>
          <w:sz w:val="20"/>
        </w:rPr>
      </w:pPr>
      <w:r>
        <w:rPr>
          <w:rFonts w:ascii="inherit" w:hAnsi="inherit"/>
          <w:b/>
          <w:sz w:val="20"/>
        </w:rPr>
        <w:t>___________________________</w:t>
      </w:r>
    </w:p>
    <w:tbl>
      <w:tblPr>
        <w:tblW w:w="10205" w:type="dxa"/>
        <w:jc w:val="center"/>
        <w:tblInd w:w="0" w:type="dxa"/>
        <w:tblCellMar>
          <w:top w:w="0" w:type="dxa"/>
          <w:left w:w="0" w:type="dxa"/>
          <w:bottom w:w="0" w:type="dxa"/>
          <w:right w:w="0" w:type="dxa"/>
        </w:tblCellMar>
      </w:tblPr>
      <w:tblGrid>
        <w:gridCol w:w="1369"/>
        <w:gridCol w:w="3531"/>
        <w:gridCol w:w="407"/>
        <w:gridCol w:w="3527"/>
        <w:gridCol w:w="1371"/>
      </w:tblGrid>
      <w:tr>
        <w:trPr/>
        <w:tc>
          <w:tcPr>
            <w:tcW w:w="10205" w:type="dxa"/>
            <w:gridSpan w:val="5"/>
            <w:tcBorders/>
            <w:shd w:fill="auto" w:val="clear"/>
            <w:vAlign w:val="center"/>
          </w:tcPr>
          <w:p>
            <w:pPr>
              <w:pStyle w:val="TableContents"/>
              <w:spacing w:before="0" w:after="283"/>
              <w:rPr>
                <w:sz w:val="4"/>
                <w:szCs w:val="4"/>
              </w:rPr>
            </w:pPr>
            <w:r>
              <w:rPr>
                <w:sz w:val="4"/>
                <w:szCs w:val="4"/>
              </w:rPr>
            </w:r>
          </w:p>
        </w:tc>
      </w:tr>
      <w:tr>
        <w:trPr/>
        <w:tc>
          <w:tcPr>
            <w:tcW w:w="1369" w:type="dxa"/>
            <w:tcBorders/>
            <w:shd w:fill="auto" w:val="clear"/>
            <w:vAlign w:val="center"/>
          </w:tcPr>
          <w:p>
            <w:pPr>
              <w:pStyle w:val="TableContents"/>
              <w:spacing w:before="0" w:after="283"/>
              <w:rPr>
                <w:sz w:val="4"/>
                <w:szCs w:val="4"/>
              </w:rPr>
            </w:pPr>
            <w:r>
              <w:rPr>
                <w:sz w:val="4"/>
                <w:szCs w:val="4"/>
              </w:rPr>
            </w:r>
          </w:p>
        </w:tc>
        <w:tc>
          <w:tcPr>
            <w:tcW w:w="3531"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3527" w:type="dxa"/>
            <w:tcBorders/>
            <w:shd w:fill="auto" w:val="clear"/>
            <w:vAlign w:val="center"/>
          </w:tcPr>
          <w:p>
            <w:pPr>
              <w:pStyle w:val="TableContents"/>
              <w:spacing w:before="0" w:after="283"/>
              <w:rPr>
                <w:sz w:val="4"/>
                <w:szCs w:val="4"/>
              </w:rPr>
            </w:pPr>
            <w:r>
              <w:rPr>
                <w:sz w:val="4"/>
                <w:szCs w:val="4"/>
              </w:rPr>
            </w:r>
          </w:p>
        </w:tc>
        <w:tc>
          <w:tcPr>
            <w:tcW w:w="137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369" w:type="dxa"/>
            <w:tcBorders/>
            <w:shd w:fill="auto" w:val="clear"/>
            <w:vAlign w:val="center"/>
          </w:tcPr>
          <w:p>
            <w:pPr>
              <w:pStyle w:val="TableContents"/>
              <w:spacing w:before="0" w:after="0"/>
              <w:ind w:left="0" w:right="0" w:firstLine="30"/>
              <w:rPr/>
            </w:pPr>
            <w:r>
              <w:rPr/>
              <w:t> </w:t>
            </w:r>
          </w:p>
        </w:tc>
        <w:tc>
          <w:tcPr>
            <w:tcW w:w="3531"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Delaware</w:t>
            </w:r>
          </w:p>
        </w:tc>
        <w:tc>
          <w:tcPr>
            <w:tcW w:w="407" w:type="dxa"/>
            <w:tcBorders/>
            <w:shd w:fill="auto" w:val="clear"/>
            <w:vAlign w:val="center"/>
          </w:tcPr>
          <w:p>
            <w:pPr>
              <w:pStyle w:val="TableContents"/>
              <w:spacing w:before="0" w:after="0"/>
              <w:ind w:left="0" w:right="0" w:firstLine="30"/>
              <w:rPr/>
            </w:pPr>
            <w:r>
              <w:rPr/>
              <w:t> </w:t>
            </w:r>
          </w:p>
        </w:tc>
        <w:tc>
          <w:tcPr>
            <w:tcW w:w="3527" w:type="dxa"/>
            <w:tcBorders/>
            <w:shd w:fill="auto" w:val="clear"/>
            <w:vAlign w:val="center"/>
          </w:tcPr>
          <w:p>
            <w:pPr>
              <w:pStyle w:val="TableContents"/>
              <w:spacing w:before="0" w:after="0"/>
              <w:ind w:left="0" w:right="0" w:firstLine="30"/>
              <w:jc w:val="center"/>
              <w:rPr/>
            </w:pPr>
            <w:r>
              <w:rPr/>
              <w:t> </w:t>
            </w:r>
            <w:r>
              <w:rPr>
                <w:rFonts w:ascii="inherit" w:hAnsi="inherit"/>
                <w:b/>
                <w:sz w:val="17"/>
              </w:rPr>
              <w:t>74-2540145</w:t>
            </w:r>
          </w:p>
        </w:tc>
        <w:tc>
          <w:tcPr>
            <w:tcW w:w="1371" w:type="dxa"/>
            <w:tcBorders/>
            <w:shd w:fill="auto" w:val="clear"/>
            <w:vAlign w:val="center"/>
          </w:tcPr>
          <w:p>
            <w:pPr>
              <w:pStyle w:val="TableContents"/>
              <w:spacing w:before="0" w:after="0"/>
              <w:ind w:left="0" w:right="0" w:firstLine="30"/>
              <w:rPr/>
            </w:pPr>
            <w:r>
              <w:rPr/>
              <w:t> </w:t>
            </w:r>
          </w:p>
        </w:tc>
      </w:tr>
      <w:tr>
        <w:trPr/>
        <w:tc>
          <w:tcPr>
            <w:tcW w:w="1369" w:type="dxa"/>
            <w:tcBorders/>
            <w:shd w:fill="auto" w:val="clear"/>
            <w:vAlign w:val="center"/>
          </w:tcPr>
          <w:p>
            <w:pPr>
              <w:pStyle w:val="TableContents"/>
              <w:spacing w:before="0" w:after="0"/>
              <w:ind w:left="0" w:right="0" w:firstLine="30"/>
              <w:rPr/>
            </w:pPr>
            <w:r>
              <w:rPr/>
              <w:t> </w:t>
            </w:r>
          </w:p>
        </w:tc>
        <w:tc>
          <w:tcPr>
            <w:tcW w:w="3531"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(State or other jurisdiction of incorporation or organization)</w:t>
            </w:r>
          </w:p>
        </w:tc>
        <w:tc>
          <w:tcPr>
            <w:tcW w:w="407" w:type="dxa"/>
            <w:tcBorders/>
            <w:shd w:fill="auto" w:val="clear"/>
            <w:vAlign w:val="center"/>
          </w:tcPr>
          <w:p>
            <w:pPr>
              <w:pStyle w:val="TableContents"/>
              <w:spacing w:before="0" w:after="0"/>
              <w:ind w:left="0" w:right="0" w:firstLine="30"/>
              <w:rPr/>
            </w:pPr>
            <w:r>
              <w:rPr/>
              <w:t> </w:t>
            </w:r>
          </w:p>
        </w:tc>
        <w:tc>
          <w:tcPr>
            <w:tcW w:w="3527"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(I.R.S. Employer Identification Number)</w:t>
            </w:r>
          </w:p>
        </w:tc>
        <w:tc>
          <w:tcPr>
            <w:tcW w:w="1371" w:type="dxa"/>
            <w:tcBorders/>
            <w:shd w:fill="auto" w:val="clear"/>
            <w:vAlign w:val="center"/>
          </w:tcPr>
          <w:p>
            <w:pPr>
              <w:pStyle w:val="TableContents"/>
              <w:spacing w:before="0" w:after="0"/>
              <w:rPr/>
            </w:pPr>
            <w:r>
              <w:rPr/>
              <w:t> </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r>
        <w:rPr>
          <w:rFonts w:ascii="inherit" w:hAnsi="inherit"/>
          <w:b/>
          <w:sz w:val="17"/>
        </w:rPr>
        <w:t>1901 Capital Parkway</w:t>
      </w:r>
    </w:p>
    <w:p>
      <w:pPr>
        <w:pStyle w:val="TextBody"/>
        <w:spacing w:lineRule="auto" w:line="288" w:before="0" w:after="0"/>
        <w:jc w:val="center"/>
        <w:rPr>
          <w:rFonts w:ascii="inherit" w:hAnsi="inherit"/>
          <w:b/>
          <w:sz w:val="17"/>
        </w:rPr>
      </w:pPr>
      <w:r>
        <w:rPr>
          <w:rFonts w:ascii="inherit" w:hAnsi="inherit"/>
          <w:b/>
          <w:sz w:val="17"/>
        </w:rPr>
        <w:t>Austin, Texas 78746</w:t>
      </w:r>
    </w:p>
    <w:p>
      <w:pPr>
        <w:pStyle w:val="TextBody"/>
        <w:spacing w:lineRule="auto" w:line="288" w:before="0" w:after="0"/>
        <w:jc w:val="center"/>
        <w:rPr>
          <w:rFonts w:ascii="inherit" w:hAnsi="inherit"/>
          <w:b/>
          <w:sz w:val="17"/>
        </w:rPr>
      </w:pPr>
      <w:r>
        <w:rPr>
          <w:rFonts w:ascii="inherit" w:hAnsi="inherit"/>
          <w:b/>
          <w:sz w:val="17"/>
        </w:rPr>
        <w:t>(512) 314-3400</w:t>
      </w:r>
    </w:p>
    <w:p>
      <w:pPr>
        <w:pStyle w:val="TextBody"/>
        <w:spacing w:lineRule="auto" w:line="288" w:before="0" w:after="0"/>
        <w:jc w:val="center"/>
        <w:rPr>
          <w:rFonts w:ascii="inherit" w:hAnsi="inherit"/>
          <w:sz w:val="13"/>
        </w:rPr>
      </w:pPr>
      <w:r>
        <w:rPr>
          <w:rFonts w:ascii="inherit" w:hAnsi="inherit"/>
          <w:sz w:val="13"/>
        </w:rPr>
        <w:t>(Address, including zip code, and telephone number, including area code, of registrant’s principal executive offices)</w:t>
      </w:r>
    </w:p>
    <w:p>
      <w:pPr>
        <w:pStyle w:val="TextBody"/>
        <w:spacing w:lineRule="auto" w:line="288" w:before="0" w:after="0"/>
        <w:jc w:val="center"/>
        <w:rPr>
          <w:rFonts w:ascii="inherit" w:hAnsi="inherit"/>
          <w:b/>
          <w:sz w:val="20"/>
        </w:rPr>
      </w:pPr>
      <w:r>
        <w:rPr>
          <w:rFonts w:ascii="inherit" w:hAnsi="inherit"/>
          <w:b/>
          <w:sz w:val="20"/>
        </w:rPr>
        <w:t>___________________________</w:t>
      </w:r>
    </w:p>
    <w:p>
      <w:pPr>
        <w:pStyle w:val="TextBody"/>
        <w:spacing w:lineRule="auto" w:line="288" w:before="0" w:after="0"/>
        <w:jc w:val="center"/>
        <w:rPr>
          <w:rFonts w:ascii="inherit" w:hAnsi="inherit"/>
          <w:sz w:val="20"/>
        </w:rPr>
      </w:pPr>
      <w:r>
        <w:rPr>
          <w:rFonts w:ascii="inherit" w:hAnsi="inherit"/>
          <w:sz w:val="20"/>
        </w:rPr>
      </w:r>
    </w:p>
    <w:p>
      <w:pPr>
        <w:pStyle w:val="TextBody"/>
        <w:spacing w:lineRule="auto" w:line="288" w:before="0" w:after="0"/>
        <w:jc w:val="center"/>
        <w:rPr>
          <w:rFonts w:ascii="inherit" w:hAnsi="inherit"/>
          <w:b/>
          <w:sz w:val="17"/>
        </w:rPr>
      </w:pPr>
      <w:r>
        <w:rPr>
          <w:rFonts w:ascii="inherit" w:hAnsi="inherit"/>
          <w:b/>
          <w:sz w:val="17"/>
        </w:rPr>
        <w:t>Thomas H. Welch, Jr.</w:t>
      </w:r>
    </w:p>
    <w:p>
      <w:pPr>
        <w:pStyle w:val="TextBody"/>
        <w:spacing w:lineRule="auto" w:line="288" w:before="0" w:after="0"/>
        <w:jc w:val="center"/>
        <w:rPr>
          <w:rFonts w:ascii="inherit" w:hAnsi="inherit"/>
          <w:b/>
          <w:sz w:val="17"/>
        </w:rPr>
      </w:pPr>
      <w:r>
        <w:rPr>
          <w:rFonts w:ascii="inherit" w:hAnsi="inherit"/>
          <w:b/>
          <w:sz w:val="17"/>
        </w:rPr>
        <w:t>Senior Vice President, General Counsel and Secretary</w:t>
      </w:r>
    </w:p>
    <w:p>
      <w:pPr>
        <w:pStyle w:val="TextBody"/>
        <w:spacing w:lineRule="auto" w:line="288" w:before="0" w:after="0"/>
        <w:jc w:val="center"/>
        <w:rPr>
          <w:rFonts w:ascii="inherit" w:hAnsi="inherit"/>
          <w:b/>
          <w:sz w:val="17"/>
        </w:rPr>
      </w:pPr>
      <w:r>
        <w:rPr>
          <w:rFonts w:ascii="inherit" w:hAnsi="inherit"/>
          <w:b/>
          <w:sz w:val="17"/>
        </w:rPr>
        <w:t>EZCORP, Inc.</w:t>
      </w:r>
    </w:p>
    <w:p>
      <w:pPr>
        <w:pStyle w:val="TextBody"/>
        <w:spacing w:lineRule="auto" w:line="288" w:before="0" w:after="0"/>
        <w:jc w:val="center"/>
        <w:rPr>
          <w:rFonts w:ascii="inherit" w:hAnsi="inherit"/>
          <w:b/>
          <w:sz w:val="17"/>
        </w:rPr>
      </w:pPr>
      <w:r>
        <w:rPr>
          <w:rFonts w:ascii="inherit" w:hAnsi="inherit"/>
          <w:b/>
          <w:sz w:val="17"/>
        </w:rPr>
        <w:t>1901 Capital Parkway</w:t>
      </w:r>
    </w:p>
    <w:p>
      <w:pPr>
        <w:pStyle w:val="TextBody"/>
        <w:spacing w:lineRule="auto" w:line="288" w:before="0" w:after="0"/>
        <w:jc w:val="center"/>
        <w:rPr>
          <w:rFonts w:ascii="inherit" w:hAnsi="inherit"/>
          <w:b/>
          <w:sz w:val="17"/>
        </w:rPr>
      </w:pPr>
      <w:r>
        <w:rPr>
          <w:rFonts w:ascii="inherit" w:hAnsi="inherit"/>
          <w:b/>
          <w:sz w:val="17"/>
        </w:rPr>
        <w:t>Austin, Texas 78746</w:t>
      </w:r>
    </w:p>
    <w:p>
      <w:pPr>
        <w:pStyle w:val="TextBody"/>
        <w:spacing w:lineRule="auto" w:line="288" w:before="0" w:after="0"/>
        <w:jc w:val="center"/>
        <w:rPr>
          <w:rFonts w:ascii="inherit" w:hAnsi="inherit"/>
          <w:b/>
          <w:sz w:val="17"/>
        </w:rPr>
      </w:pPr>
      <w:r>
        <w:rPr>
          <w:rFonts w:ascii="inherit" w:hAnsi="inherit"/>
          <w:b/>
          <w:sz w:val="17"/>
        </w:rPr>
        <w:t>(512) 314-3409</w:t>
      </w:r>
    </w:p>
    <w:p>
      <w:pPr>
        <w:pStyle w:val="TextBody"/>
        <w:spacing w:lineRule="auto" w:line="288" w:before="0" w:after="0"/>
        <w:jc w:val="center"/>
        <w:rPr>
          <w:rFonts w:ascii="inherit" w:hAnsi="inherit"/>
          <w:sz w:val="13"/>
        </w:rPr>
      </w:pPr>
      <w:r>
        <w:rPr>
          <w:rFonts w:ascii="inherit" w:hAnsi="inherit"/>
          <w:sz w:val="13"/>
        </w:rPr>
        <w:t>(Name, address, including zip code, and telephone number, including area code, of agent for service)</w:t>
      </w:r>
    </w:p>
    <w:p>
      <w:pPr>
        <w:pStyle w:val="TextBody"/>
        <w:spacing w:lineRule="auto" w:line="288" w:before="0" w:after="0"/>
        <w:jc w:val="center"/>
        <w:rPr>
          <w:rFonts w:ascii="inherit" w:hAnsi="inherit"/>
          <w:b/>
          <w:sz w:val="20"/>
        </w:rPr>
      </w:pPr>
      <w:r>
        <w:rPr>
          <w:rFonts w:ascii="inherit" w:hAnsi="inherit"/>
          <w:b/>
          <w:sz w:val="20"/>
        </w:rPr>
        <w:t>___________________________</w:t>
      </w:r>
    </w:p>
    <w:p>
      <w:pPr>
        <w:pStyle w:val="TextBody"/>
        <w:spacing w:lineRule="auto" w:line="288" w:before="0" w:after="0"/>
        <w:jc w:val="center"/>
        <w:rPr>
          <w:rFonts w:ascii="inherit" w:hAnsi="inherit"/>
          <w:sz w:val="20"/>
        </w:rPr>
      </w:pPr>
      <w:r>
        <w:rPr>
          <w:rFonts w:ascii="inherit" w:hAnsi="inherit"/>
          <w:sz w:val="20"/>
        </w:rPr>
      </w:r>
    </w:p>
    <w:p>
      <w:pPr>
        <w:pStyle w:val="TextBody"/>
        <w:spacing w:lineRule="auto" w:line="288" w:before="0" w:after="0"/>
        <w:jc w:val="center"/>
        <w:rPr>
          <w:rFonts w:ascii="inherit" w:hAnsi="inherit"/>
          <w:sz w:val="13"/>
        </w:rPr>
      </w:pPr>
      <w:r>
        <w:rPr>
          <w:rFonts w:ascii="inherit" w:hAnsi="inherit"/>
          <w:sz w:val="13"/>
        </w:rPr>
        <w:t>Copies to:</w:t>
      </w:r>
    </w:p>
    <w:p>
      <w:pPr>
        <w:pStyle w:val="TextBody"/>
        <w:spacing w:lineRule="auto" w:line="288" w:before="0" w:after="0"/>
        <w:jc w:val="center"/>
        <w:rPr>
          <w:rFonts w:ascii="inherit" w:hAnsi="inherit"/>
          <w:b/>
          <w:sz w:val="17"/>
        </w:rPr>
      </w:pPr>
      <w:r>
        <w:rPr>
          <w:rFonts w:ascii="inherit" w:hAnsi="inherit"/>
          <w:b/>
          <w:sz w:val="17"/>
        </w:rPr>
        <w:t>Christine A. Hathaway</w:t>
      </w:r>
    </w:p>
    <w:p>
      <w:pPr>
        <w:pStyle w:val="TextBody"/>
        <w:spacing w:lineRule="auto" w:line="288" w:before="0" w:after="0"/>
        <w:jc w:val="center"/>
        <w:rPr>
          <w:rFonts w:ascii="inherit" w:hAnsi="inherit"/>
          <w:b/>
          <w:sz w:val="17"/>
        </w:rPr>
      </w:pPr>
      <w:r>
        <w:rPr>
          <w:rFonts w:ascii="inherit" w:hAnsi="inherit"/>
          <w:b/>
          <w:sz w:val="17"/>
        </w:rPr>
        <w:t>Vinson &amp; Elkins L.L.P.</w:t>
      </w:r>
    </w:p>
    <w:p>
      <w:pPr>
        <w:pStyle w:val="TextBody"/>
        <w:spacing w:lineRule="auto" w:line="288" w:before="0" w:after="0"/>
        <w:jc w:val="center"/>
        <w:rPr>
          <w:rFonts w:ascii="inherit" w:hAnsi="inherit"/>
          <w:b/>
          <w:sz w:val="17"/>
        </w:rPr>
      </w:pPr>
      <w:r>
        <w:rPr>
          <w:rFonts w:ascii="inherit" w:hAnsi="inherit"/>
          <w:b/>
          <w:sz w:val="17"/>
        </w:rPr>
        <w:t>2001 Ross Avenue, Suite 3700</w:t>
      </w:r>
    </w:p>
    <w:p>
      <w:pPr>
        <w:pStyle w:val="TextBody"/>
        <w:spacing w:lineRule="auto" w:line="288" w:before="0" w:after="0"/>
        <w:jc w:val="center"/>
        <w:rPr>
          <w:rFonts w:ascii="inherit" w:hAnsi="inherit"/>
          <w:b/>
          <w:sz w:val="17"/>
        </w:rPr>
      </w:pPr>
      <w:r>
        <w:rPr>
          <w:rFonts w:ascii="inherit" w:hAnsi="inherit"/>
          <w:b/>
          <w:sz w:val="17"/>
        </w:rPr>
        <w:t>Dallas, Texas 75201-2975</w:t>
      </w:r>
    </w:p>
    <w:p>
      <w:pPr>
        <w:pStyle w:val="TextBody"/>
        <w:spacing w:lineRule="auto" w:line="288" w:before="0" w:after="0"/>
        <w:jc w:val="center"/>
        <w:rPr>
          <w:rFonts w:ascii="inherit" w:hAnsi="inherit"/>
          <w:b/>
          <w:sz w:val="17"/>
        </w:rPr>
      </w:pPr>
      <w:r>
        <w:rPr>
          <w:rFonts w:ascii="inherit" w:hAnsi="inherit"/>
          <w:b/>
          <w:sz w:val="17"/>
        </w:rPr>
        <w:t>(214) 220-7700</w:t>
      </w:r>
    </w:p>
    <w:p>
      <w:pPr>
        <w:pStyle w:val="TextBody"/>
        <w:spacing w:lineRule="auto" w:line="288" w:before="0" w:after="0"/>
        <w:jc w:val="center"/>
        <w:rPr>
          <w:rFonts w:ascii="inherit" w:hAnsi="inherit"/>
          <w:b/>
          <w:sz w:val="20"/>
        </w:rPr>
      </w:pPr>
      <w:r>
        <w:rPr>
          <w:rFonts w:ascii="inherit" w:hAnsi="inherit"/>
          <w:b/>
          <w:sz w:val="20"/>
        </w:rPr>
        <w:t>___________________________</w:t>
      </w:r>
    </w:p>
    <w:p>
      <w:pPr>
        <w:pStyle w:val="TextBody"/>
        <w:spacing w:lineRule="auto" w:line="288" w:before="0" w:after="0"/>
        <w:jc w:val="center"/>
        <w:rPr>
          <w:rFonts w:ascii="inherit" w:hAnsi="inherit"/>
          <w:sz w:val="20"/>
        </w:rPr>
      </w:pPr>
      <w:r>
        <w:rPr>
          <w:rFonts w:ascii="inherit" w:hAnsi="inherit"/>
          <w:sz w:val="20"/>
        </w:rPr>
      </w:r>
    </w:p>
    <w:p>
      <w:pPr>
        <w:pStyle w:val="TextBody"/>
        <w:spacing w:lineRule="auto" w:line="288" w:before="0" w:after="0"/>
        <w:ind w:left="0" w:right="0" w:firstLine="360"/>
        <w:jc w:val="left"/>
        <w:rPr>
          <w:sz w:val="15"/>
        </w:rPr>
      </w:pPr>
      <w:r>
        <w:rPr>
          <w:rFonts w:ascii="inherit" w:hAnsi="inherit"/>
          <w:b/>
          <w:sz w:val="15"/>
        </w:rPr>
        <w:t>Approximate date of commencement of proposed sale of the securities to the public:</w:t>
      </w:r>
      <w:r>
        <w:rPr>
          <w:sz w:val="15"/>
        </w:rPr>
        <w:t xml:space="preserve">  </w:t>
      </w:r>
      <w:r>
        <w:rPr>
          <w:rFonts w:ascii="inherit" w:hAnsi="inherit"/>
          <w:sz w:val="15"/>
        </w:rPr>
        <w:t>From time to time after the effective date of this registration statement.</w:t>
      </w:r>
    </w:p>
    <w:p>
      <w:pPr>
        <w:pStyle w:val="TextBody"/>
        <w:spacing w:lineRule="auto" w:line="288" w:before="0" w:after="0"/>
        <w:ind w:left="0" w:right="0" w:firstLine="360"/>
        <w:jc w:val="left"/>
        <w:rPr>
          <w:sz w:val="15"/>
        </w:rPr>
      </w:pPr>
      <w:r>
        <w:rPr>
          <w:rFonts w:ascii="inherit" w:hAnsi="inherit"/>
          <w:sz w:val="15"/>
        </w:rPr>
        <w:t>If the only securities being registered on this Form are being offered pursuant to dividend or interest reinvestment plans, please check the following box.  </w:t>
      </w:r>
      <w:r>
        <w:rPr>
          <w:rFonts w:ascii="Wingdings" w:hAnsi="Wingdings"/>
          <w:sz w:val="15"/>
        </w:rPr>
        <w:t>o</w:t>
      </w:r>
    </w:p>
    <w:p>
      <w:pPr>
        <w:pStyle w:val="TextBody"/>
        <w:spacing w:lineRule="auto" w:line="288" w:before="0" w:after="0"/>
        <w:ind w:left="0" w:right="0" w:firstLine="360"/>
        <w:jc w:val="left"/>
        <w:rPr>
          <w:sz w:val="15"/>
        </w:rPr>
      </w:pPr>
      <w:r>
        <w:rPr>
          <w:rFonts w:ascii="inherit" w:hAnsi="inherit"/>
          <w:sz w:val="15"/>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Wingdings" w:hAnsi="Wingdings"/>
          <w:sz w:val="15"/>
        </w:rPr>
        <w:t>x</w:t>
      </w:r>
    </w:p>
    <w:p>
      <w:pPr>
        <w:pStyle w:val="TextBody"/>
        <w:spacing w:lineRule="auto" w:line="288" w:before="0" w:after="0"/>
        <w:jc w:val="left"/>
        <w:rPr>
          <w:rFonts w:ascii="inherit" w:hAnsi="inherit"/>
          <w:sz w:val="15"/>
        </w:rPr>
      </w:pPr>
      <w:r>
        <w:rPr>
          <w:rFonts w:ascii="inherit" w:hAnsi="inherit"/>
          <w:sz w:val="15"/>
        </w:rPr>
      </w:r>
    </w:p>
    <w:p>
      <w:pPr>
        <w:pStyle w:val="TextBody"/>
        <w:rPr/>
      </w:pPr>
      <w:r>
        <w:rPr/>
      </w:r>
      <w:r>
        <w:br w:type="page"/>
      </w:r>
    </w:p>
    <w:p>
      <w:pPr>
        <w:pStyle w:val="TextBody"/>
        <w:spacing w:before="0" w:after="0"/>
        <w:rPr/>
      </w:pPr>
      <w:r>
        <w:rPr/>
      </w:r>
      <w:bookmarkStart w:id="6" w:name="s4AB3BD19CAAA4E1CCB606FA02D1B37551"/>
      <w:bookmarkStart w:id="7" w:name="s4AB3BD19CAAA4E1CCB606FA02D1B37551"/>
      <w:bookmarkEnd w:id="7"/>
    </w:p>
    <w:p>
      <w:pPr>
        <w:pStyle w:val="TextBody"/>
        <w:spacing w:lineRule="auto" w:line="288" w:before="0" w:after="0"/>
        <w:ind w:left="0" w:right="0" w:firstLine="360"/>
        <w:jc w:val="left"/>
        <w:rPr>
          <w:sz w:val="15"/>
        </w:rPr>
      </w:pPr>
      <w:r>
        <w:rPr>
          <w:rFonts w:ascii="inherit" w:hAnsi="inherit"/>
          <w:sz w:val="15"/>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Wingdings" w:hAnsi="Wingdings"/>
          <w:sz w:val="15"/>
        </w:rPr>
        <w:t>o</w:t>
      </w:r>
    </w:p>
    <w:p>
      <w:pPr>
        <w:pStyle w:val="TextBody"/>
        <w:spacing w:lineRule="auto" w:line="288" w:before="0" w:after="0"/>
        <w:ind w:left="0" w:right="0" w:firstLine="360"/>
        <w:jc w:val="left"/>
        <w:rPr>
          <w:sz w:val="15"/>
        </w:rPr>
      </w:pPr>
      <w:r>
        <w:rPr>
          <w:rFonts w:ascii="inherit" w:hAnsi="inherit"/>
          <w:sz w:val="15"/>
        </w:rPr>
        <w:t>If this Form is a post-effective amendment filed pursuant to Rule 462(c) under the Securities Act, check the following box and list the Securities Act registration statement number of the earlier effective registration statement for the same offering.   </w:t>
      </w:r>
      <w:r>
        <w:rPr>
          <w:rFonts w:ascii="Wingdings" w:hAnsi="Wingdings"/>
          <w:sz w:val="15"/>
        </w:rPr>
        <w:t>o</w:t>
      </w:r>
    </w:p>
    <w:p>
      <w:pPr>
        <w:pStyle w:val="TextBody"/>
        <w:spacing w:lineRule="auto" w:line="288" w:before="0" w:after="0"/>
        <w:ind w:left="0" w:right="0" w:firstLine="360"/>
        <w:jc w:val="left"/>
        <w:rPr>
          <w:sz w:val="15"/>
        </w:rPr>
      </w:pPr>
      <w:r>
        <w:rPr>
          <w:rFonts w:ascii="inherit" w:hAnsi="inherit"/>
          <w:sz w:val="15"/>
        </w:rPr>
        <w:t>If this Form is a registration statement pursuant to General Instruction I.D. or a post-effective amendment thereto that shall become effective upon filing with the Commission pursuant to Rule 462(e) under the Securities Act, check the following box.  </w:t>
      </w:r>
      <w:r>
        <w:rPr>
          <w:rFonts w:ascii="Wingdings" w:hAnsi="Wingdings"/>
          <w:sz w:val="15"/>
        </w:rPr>
        <w:t>x</w:t>
      </w:r>
    </w:p>
    <w:p>
      <w:pPr>
        <w:pStyle w:val="TextBody"/>
        <w:spacing w:lineRule="auto" w:line="288" w:before="0" w:after="0"/>
        <w:ind w:left="0" w:right="0" w:firstLine="360"/>
        <w:jc w:val="left"/>
        <w:rPr>
          <w:sz w:val="15"/>
        </w:rPr>
      </w:pPr>
      <w:r>
        <w:rPr>
          <w:rFonts w:ascii="inherit" w:hAnsi="inherit"/>
          <w:sz w:val="15"/>
        </w:rPr>
        <w:t>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Wingdings" w:hAnsi="Wingdings"/>
          <w:sz w:val="15"/>
        </w:rPr>
        <w:t>o</w:t>
      </w:r>
    </w:p>
    <w:p>
      <w:pPr>
        <w:pStyle w:val="TextBody"/>
        <w:spacing w:lineRule="auto" w:line="288" w:before="0" w:after="0"/>
        <w:ind w:left="0" w:right="0" w:firstLine="360"/>
        <w:jc w:val="left"/>
        <w:rPr>
          <w:rFonts w:ascii="inherit" w:hAnsi="inherit"/>
          <w:sz w:val="15"/>
        </w:rPr>
      </w:pPr>
      <w:r>
        <w:rPr>
          <w:rFonts w:ascii="inherit" w:hAnsi="inherit"/>
          <w:sz w:val="15"/>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tbl>
      <w:tblPr>
        <w:tblW w:w="9454" w:type="dxa"/>
        <w:jc w:val="center"/>
        <w:tblInd w:w="0" w:type="dxa"/>
        <w:tblCellMar>
          <w:top w:w="0" w:type="dxa"/>
          <w:left w:w="0" w:type="dxa"/>
          <w:bottom w:w="0" w:type="dxa"/>
          <w:right w:w="0" w:type="dxa"/>
        </w:tblCellMar>
      </w:tblPr>
      <w:tblGrid>
        <w:gridCol w:w="1040"/>
        <w:gridCol w:w="3215"/>
        <w:gridCol w:w="472"/>
        <w:gridCol w:w="1040"/>
        <w:gridCol w:w="3215"/>
        <w:gridCol w:w="472"/>
      </w:tblGrid>
      <w:tr>
        <w:trPr/>
        <w:tc>
          <w:tcPr>
            <w:tcW w:w="9454" w:type="dxa"/>
            <w:gridSpan w:val="6"/>
            <w:tcBorders/>
            <w:shd w:fill="auto" w:val="clear"/>
            <w:vAlign w:val="center"/>
          </w:tcPr>
          <w:p>
            <w:pPr>
              <w:pStyle w:val="TableContents"/>
              <w:spacing w:before="0" w:after="283"/>
              <w:rPr>
                <w:sz w:val="4"/>
                <w:szCs w:val="4"/>
              </w:rPr>
            </w:pPr>
            <w:r>
              <w:rPr>
                <w:sz w:val="4"/>
                <w:szCs w:val="4"/>
              </w:rPr>
            </w:r>
          </w:p>
        </w:tc>
      </w:tr>
      <w:tr>
        <w:trPr/>
        <w:tc>
          <w:tcPr>
            <w:tcW w:w="1040" w:type="dxa"/>
            <w:tcBorders/>
            <w:shd w:fill="auto" w:val="clear"/>
            <w:vAlign w:val="center"/>
          </w:tcPr>
          <w:p>
            <w:pPr>
              <w:pStyle w:val="TableContents"/>
              <w:spacing w:before="0" w:after="283"/>
              <w:rPr>
                <w:sz w:val="4"/>
                <w:szCs w:val="4"/>
              </w:rPr>
            </w:pPr>
            <w:r>
              <w:rPr>
                <w:sz w:val="4"/>
                <w:szCs w:val="4"/>
              </w:rPr>
            </w:r>
          </w:p>
        </w:tc>
        <w:tc>
          <w:tcPr>
            <w:tcW w:w="3215"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3215"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40" w:type="dxa"/>
            <w:tcBorders/>
            <w:shd w:fill="auto" w:val="clear"/>
            <w:vAlign w:val="center"/>
          </w:tcPr>
          <w:p>
            <w:pPr>
              <w:pStyle w:val="TableContents"/>
              <w:spacing w:before="0" w:after="0"/>
              <w:ind w:left="0" w:right="0" w:firstLine="30"/>
              <w:rPr/>
            </w:pPr>
            <w:r>
              <w:rPr/>
              <w:t> </w:t>
            </w:r>
          </w:p>
        </w:tc>
        <w:tc>
          <w:tcPr>
            <w:tcW w:w="321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Large accelerated filer</w:t>
            </w:r>
          </w:p>
        </w:tc>
        <w:tc>
          <w:tcPr>
            <w:tcW w:w="472"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x</w:t>
            </w:r>
          </w:p>
        </w:tc>
        <w:tc>
          <w:tcPr>
            <w:tcW w:w="1040" w:type="dxa"/>
            <w:tcBorders/>
            <w:shd w:fill="auto" w:val="clear"/>
            <w:vAlign w:val="center"/>
          </w:tcPr>
          <w:p>
            <w:pPr>
              <w:pStyle w:val="TableContents"/>
              <w:spacing w:before="0" w:after="0"/>
              <w:ind w:left="0" w:right="0" w:firstLine="30"/>
              <w:rPr/>
            </w:pPr>
            <w:r>
              <w:rPr/>
              <w:t> </w:t>
            </w:r>
          </w:p>
        </w:tc>
        <w:tc>
          <w:tcPr>
            <w:tcW w:w="321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Accelerated filer</w:t>
            </w:r>
          </w:p>
        </w:tc>
        <w:tc>
          <w:tcPr>
            <w:tcW w:w="472" w:type="dxa"/>
            <w:tcBorders/>
            <w:shd w:fill="auto" w:val="clear"/>
            <w:vAlign w:val="center"/>
          </w:tcPr>
          <w:p>
            <w:pPr>
              <w:pStyle w:val="TableContents"/>
              <w:spacing w:before="0" w:after="0"/>
              <w:ind w:left="0" w:right="0" w:firstLine="30"/>
              <w:jc w:val="left"/>
              <w:rPr>
                <w:rFonts w:ascii="Wingdings" w:hAnsi="Wingdings"/>
                <w:sz w:val="15"/>
              </w:rPr>
            </w:pPr>
            <w:r>
              <w:rPr>
                <w:rFonts w:ascii="Wingdings" w:hAnsi="Wingdings"/>
                <w:sz w:val="15"/>
              </w:rPr>
              <w:t>o</w:t>
            </w:r>
          </w:p>
        </w:tc>
      </w:tr>
      <w:tr>
        <w:trPr/>
        <w:tc>
          <w:tcPr>
            <w:tcW w:w="1040" w:type="dxa"/>
            <w:tcBorders/>
            <w:shd w:fill="auto" w:val="clear"/>
            <w:vAlign w:val="center"/>
          </w:tcPr>
          <w:p>
            <w:pPr>
              <w:pStyle w:val="TableContents"/>
              <w:spacing w:before="0" w:after="0"/>
              <w:ind w:left="0" w:right="0" w:firstLine="30"/>
              <w:rPr/>
            </w:pPr>
            <w:r>
              <w:rPr/>
              <w:t> </w:t>
            </w:r>
          </w:p>
        </w:tc>
        <w:tc>
          <w:tcPr>
            <w:tcW w:w="321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Non-accelerated filer</w:t>
            </w:r>
          </w:p>
        </w:tc>
        <w:tc>
          <w:tcPr>
            <w:tcW w:w="472"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o</w:t>
            </w:r>
          </w:p>
        </w:tc>
        <w:tc>
          <w:tcPr>
            <w:tcW w:w="1040" w:type="dxa"/>
            <w:tcBorders/>
            <w:shd w:fill="auto" w:val="clear"/>
            <w:vAlign w:val="center"/>
          </w:tcPr>
          <w:p>
            <w:pPr>
              <w:pStyle w:val="TableContents"/>
              <w:spacing w:before="0" w:after="0"/>
              <w:ind w:left="0" w:right="0" w:firstLine="30"/>
              <w:rPr/>
            </w:pPr>
            <w:r>
              <w:rPr/>
              <w:t> </w:t>
            </w:r>
          </w:p>
        </w:tc>
        <w:tc>
          <w:tcPr>
            <w:tcW w:w="321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Smaller reporting company</w:t>
            </w:r>
          </w:p>
        </w:tc>
        <w:tc>
          <w:tcPr>
            <w:tcW w:w="472" w:type="dxa"/>
            <w:tcBorders/>
            <w:shd w:fill="auto" w:val="clear"/>
            <w:vAlign w:val="center"/>
          </w:tcPr>
          <w:p>
            <w:pPr>
              <w:pStyle w:val="TableContents"/>
              <w:spacing w:before="0" w:after="0"/>
              <w:ind w:left="0" w:right="0" w:firstLine="30"/>
              <w:jc w:val="left"/>
              <w:rPr>
                <w:rFonts w:ascii="Wingdings" w:hAnsi="Wingdings"/>
                <w:sz w:val="15"/>
              </w:rPr>
            </w:pPr>
            <w:r>
              <w:rPr>
                <w:rFonts w:ascii="Wingdings" w:hAnsi="Wingdings"/>
                <w:sz w:val="15"/>
              </w:rPr>
              <w:t>o</w:t>
            </w:r>
          </w:p>
        </w:tc>
      </w:tr>
      <w:tr>
        <w:trPr/>
        <w:tc>
          <w:tcPr>
            <w:tcW w:w="1040" w:type="dxa"/>
            <w:tcBorders/>
            <w:shd w:fill="auto" w:val="clear"/>
            <w:vAlign w:val="center"/>
          </w:tcPr>
          <w:p>
            <w:pPr>
              <w:pStyle w:val="TableContents"/>
              <w:spacing w:before="0" w:after="0"/>
              <w:ind w:left="0" w:right="0" w:firstLine="30"/>
              <w:rPr/>
            </w:pPr>
            <w:r>
              <w:rPr/>
              <w:t> </w:t>
            </w:r>
          </w:p>
        </w:tc>
        <w:tc>
          <w:tcPr>
            <w:tcW w:w="3687" w:type="dxa"/>
            <w:gridSpan w:val="2"/>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(Do not check if a smaller reporting company)</w:t>
            </w:r>
          </w:p>
        </w:tc>
        <w:tc>
          <w:tcPr>
            <w:tcW w:w="1040" w:type="dxa"/>
            <w:tcBorders/>
            <w:shd w:fill="auto" w:val="clear"/>
            <w:vAlign w:val="center"/>
          </w:tcPr>
          <w:p>
            <w:pPr>
              <w:pStyle w:val="TableContents"/>
              <w:spacing w:before="0" w:after="0"/>
              <w:ind w:left="0" w:right="0" w:firstLine="30"/>
              <w:rPr/>
            </w:pPr>
            <w:r>
              <w:rPr/>
              <w:t> </w:t>
            </w:r>
          </w:p>
        </w:tc>
        <w:tc>
          <w:tcPr>
            <w:tcW w:w="3215" w:type="dxa"/>
            <w:tcBorders/>
            <w:shd w:fill="auto" w:val="clear"/>
            <w:vAlign w:val="center"/>
          </w:tcPr>
          <w:p>
            <w:pPr>
              <w:pStyle w:val="TableContents"/>
              <w:spacing w:before="0" w:after="0"/>
              <w:ind w:left="0" w:right="0" w:firstLine="30"/>
              <w:rPr/>
            </w:pPr>
            <w:r>
              <w:rPr/>
              <w:t> </w:t>
            </w:r>
          </w:p>
        </w:tc>
        <w:tc>
          <w:tcPr>
            <w:tcW w:w="472" w:type="dxa"/>
            <w:tcBorders/>
            <w:shd w:fill="auto" w:val="clear"/>
            <w:vAlign w:val="center"/>
          </w:tcPr>
          <w:p>
            <w:pPr>
              <w:pStyle w:val="TableContents"/>
              <w:spacing w:before="0" w:after="0"/>
              <w:rPr/>
            </w:pPr>
            <w:r>
              <w:rPr/>
              <w:t> </w:t>
            </w:r>
          </w:p>
        </w:tc>
      </w:tr>
    </w:tbl>
    <w:p>
      <w:pPr>
        <w:pStyle w:val="TextBody"/>
        <w:spacing w:lineRule="auto" w:line="288" w:before="0" w:after="0"/>
        <w:jc w:val="left"/>
        <w:rPr>
          <w:rFonts w:ascii="inherit" w:hAnsi="inherit"/>
          <w:sz w:val="15"/>
        </w:rPr>
      </w:pPr>
      <w:r>
        <w:rPr>
          <w:rFonts w:ascii="inherit" w:hAnsi="inherit"/>
          <w:sz w:val="15"/>
        </w:rPr>
      </w:r>
    </w:p>
    <w:p>
      <w:pPr>
        <w:pStyle w:val="TextBody"/>
        <w:spacing w:lineRule="auto" w:line="288" w:before="0" w:after="0"/>
        <w:jc w:val="center"/>
        <w:rPr>
          <w:rFonts w:ascii="inherit" w:hAnsi="inherit"/>
          <w:b/>
          <w:sz w:val="15"/>
        </w:rPr>
      </w:pPr>
      <w:r>
        <w:rPr>
          <w:rFonts w:ascii="inherit" w:hAnsi="inherit"/>
          <w:b/>
          <w:sz w:val="15"/>
        </w:rPr>
        <w:t>CALCULATION OF REGISTRATION FEE</w:t>
      </w:r>
    </w:p>
    <w:tbl>
      <w:tblPr>
        <w:tblW w:w="10205" w:type="dxa"/>
        <w:jc w:val="left"/>
        <w:tblInd w:w="0" w:type="dxa"/>
        <w:tblCellMar>
          <w:top w:w="0" w:type="dxa"/>
          <w:left w:w="0" w:type="dxa"/>
          <w:bottom w:w="0" w:type="dxa"/>
          <w:right w:w="0" w:type="dxa"/>
        </w:tblCellMar>
      </w:tblPr>
      <w:tblGrid>
        <w:gridCol w:w="2878"/>
        <w:gridCol w:w="1814"/>
        <w:gridCol w:w="1764"/>
        <w:gridCol w:w="1913"/>
        <w:gridCol w:w="1836"/>
      </w:tblGrid>
      <w:tr>
        <w:trPr/>
        <w:tc>
          <w:tcPr>
            <w:tcW w:w="10205" w:type="dxa"/>
            <w:gridSpan w:val="5"/>
            <w:tcBorders/>
            <w:shd w:fill="auto" w:val="clear"/>
            <w:vAlign w:val="center"/>
          </w:tcPr>
          <w:p>
            <w:pPr>
              <w:pStyle w:val="TableContents"/>
              <w:spacing w:before="0" w:after="283"/>
              <w:rPr>
                <w:sz w:val="4"/>
                <w:szCs w:val="4"/>
              </w:rPr>
            </w:pPr>
            <w:r>
              <w:rPr>
                <w:sz w:val="4"/>
                <w:szCs w:val="4"/>
              </w:rPr>
            </w:r>
          </w:p>
        </w:tc>
      </w:tr>
      <w:tr>
        <w:trPr/>
        <w:tc>
          <w:tcPr>
            <w:tcW w:w="2878" w:type="dxa"/>
            <w:tcBorders/>
            <w:shd w:fill="auto" w:val="clear"/>
            <w:vAlign w:val="center"/>
          </w:tcPr>
          <w:p>
            <w:pPr>
              <w:pStyle w:val="TableContents"/>
              <w:spacing w:before="0" w:after="283"/>
              <w:rPr>
                <w:sz w:val="4"/>
                <w:szCs w:val="4"/>
              </w:rPr>
            </w:pPr>
            <w:r>
              <w:rPr>
                <w:sz w:val="4"/>
                <w:szCs w:val="4"/>
              </w:rPr>
            </w:r>
          </w:p>
        </w:tc>
        <w:tc>
          <w:tcPr>
            <w:tcW w:w="1814" w:type="dxa"/>
            <w:tcBorders/>
            <w:shd w:fill="auto" w:val="clear"/>
            <w:vAlign w:val="center"/>
          </w:tcPr>
          <w:p>
            <w:pPr>
              <w:pStyle w:val="TableContents"/>
              <w:spacing w:before="0" w:after="283"/>
              <w:rPr>
                <w:sz w:val="4"/>
                <w:szCs w:val="4"/>
              </w:rPr>
            </w:pPr>
            <w:r>
              <w:rPr>
                <w:sz w:val="4"/>
                <w:szCs w:val="4"/>
              </w:rPr>
            </w:r>
          </w:p>
        </w:tc>
        <w:tc>
          <w:tcPr>
            <w:tcW w:w="1764" w:type="dxa"/>
            <w:tcBorders/>
            <w:shd w:fill="auto" w:val="clear"/>
            <w:vAlign w:val="center"/>
          </w:tcPr>
          <w:p>
            <w:pPr>
              <w:pStyle w:val="TableContents"/>
              <w:spacing w:before="0" w:after="283"/>
              <w:rPr>
                <w:sz w:val="4"/>
                <w:szCs w:val="4"/>
              </w:rPr>
            </w:pPr>
            <w:r>
              <w:rPr>
                <w:sz w:val="4"/>
                <w:szCs w:val="4"/>
              </w:rPr>
            </w:r>
          </w:p>
        </w:tc>
        <w:tc>
          <w:tcPr>
            <w:tcW w:w="1913" w:type="dxa"/>
            <w:tcBorders/>
            <w:shd w:fill="auto" w:val="clear"/>
            <w:vAlign w:val="center"/>
          </w:tcPr>
          <w:p>
            <w:pPr>
              <w:pStyle w:val="TableContents"/>
              <w:spacing w:before="0" w:after="283"/>
              <w:rPr>
                <w:sz w:val="4"/>
                <w:szCs w:val="4"/>
              </w:rPr>
            </w:pPr>
            <w:r>
              <w:rPr>
                <w:sz w:val="4"/>
                <w:szCs w:val="4"/>
              </w:rPr>
            </w:r>
          </w:p>
        </w:tc>
        <w:tc>
          <w:tcPr>
            <w:tcW w:w="183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878" w:type="dxa"/>
            <w:tcBorders>
              <w:top w:val="double" w:sz="6" w:space="0" w:color="000000"/>
              <w:left w:val="single" w:sz="2" w:space="0" w:color="000000"/>
              <w:bottom w:val="single" w:sz="2" w:space="0" w:color="000000"/>
              <w:right w:val="single" w:sz="2" w:space="0" w:color="000000"/>
            </w:tcBorders>
            <w:shd w:fill="auto" w:val="clear"/>
            <w:tcMar>
              <w:top w:w="30" w:type="dxa"/>
              <w:left w:w="28" w:type="dxa"/>
              <w:bottom w:w="30" w:type="dxa"/>
              <w:right w:w="120" w:type="dxa"/>
            </w:tcMar>
            <w:vAlign w:val="center"/>
          </w:tcPr>
          <w:p>
            <w:pPr>
              <w:pStyle w:val="TableContents"/>
              <w:spacing w:before="0" w:after="0"/>
              <w:ind w:left="0" w:right="0" w:firstLine="120"/>
              <w:jc w:val="center"/>
              <w:rPr>
                <w:rFonts w:ascii="inherit" w:hAnsi="inherit"/>
                <w:b/>
                <w:sz w:val="13"/>
              </w:rPr>
            </w:pPr>
            <w:r>
              <w:rPr>
                <w:rFonts w:ascii="inherit" w:hAnsi="inherit"/>
                <w:b/>
                <w:sz w:val="13"/>
              </w:rPr>
              <w:t xml:space="preserve">Title of Each Class of </w:t>
              <w:br/>
              <w:t>Securities to be Registered</w:t>
            </w:r>
          </w:p>
        </w:tc>
        <w:tc>
          <w:tcPr>
            <w:tcW w:w="1814" w:type="dxa"/>
            <w:tcBorders>
              <w:top w:val="double" w:sz="6" w:space="0" w:color="000000"/>
              <w:bottom w:val="single" w:sz="2" w:space="0" w:color="000000"/>
              <w:right w:val="single" w:sz="2" w:space="0" w:color="000000"/>
            </w:tcBorders>
            <w:shd w:fill="auto" w:val="clear"/>
            <w:tcMar>
              <w:top w:w="30" w:type="dxa"/>
              <w:bottom w:w="30" w:type="dxa"/>
              <w:right w:w="30" w:type="dxa"/>
            </w:tcMar>
            <w:vAlign w:val="center"/>
          </w:tcPr>
          <w:p>
            <w:pPr>
              <w:pStyle w:val="TableContents"/>
              <w:spacing w:lineRule="auto" w:line="288" w:before="0" w:after="0"/>
              <w:ind w:left="0" w:right="0" w:firstLine="120"/>
              <w:jc w:val="center"/>
              <w:rPr>
                <w:sz w:val="13"/>
              </w:rPr>
            </w:pPr>
            <w:r>
              <w:rPr>
                <w:rFonts w:ascii="inherit" w:hAnsi="inherit"/>
                <w:b/>
                <w:sz w:val="13"/>
              </w:rPr>
              <w:t xml:space="preserve">Amount to be </w:t>
              <w:br/>
              <w:t xml:space="preserve">Registered </w:t>
            </w:r>
            <w:r>
              <w:rPr>
                <w:rFonts w:ascii="inherit" w:hAnsi="inherit"/>
                <w:b/>
                <w:sz w:val="8"/>
              </w:rPr>
              <w:t>(1)</w:t>
            </w:r>
          </w:p>
        </w:tc>
        <w:tc>
          <w:tcPr>
            <w:tcW w:w="1764" w:type="dxa"/>
            <w:tcBorders>
              <w:top w:val="double" w:sz="6" w:space="0" w:color="000000"/>
              <w:bottom w:val="single" w:sz="2" w:space="0" w:color="000000"/>
              <w:right w:val="single" w:sz="2" w:space="0" w:color="000000"/>
            </w:tcBorders>
            <w:shd w:fill="auto" w:val="clear"/>
            <w:tcMar>
              <w:top w:w="30" w:type="dxa"/>
              <w:bottom w:w="30" w:type="dxa"/>
              <w:right w:w="30" w:type="dxa"/>
            </w:tcMar>
            <w:vAlign w:val="center"/>
          </w:tcPr>
          <w:p>
            <w:pPr>
              <w:pStyle w:val="TableContents"/>
              <w:spacing w:lineRule="auto" w:line="288" w:before="0" w:after="0"/>
              <w:ind w:left="0" w:right="0" w:firstLine="120"/>
              <w:jc w:val="center"/>
              <w:rPr>
                <w:sz w:val="13"/>
              </w:rPr>
            </w:pPr>
            <w:r>
              <w:rPr>
                <w:rFonts w:ascii="inherit" w:hAnsi="inherit"/>
                <w:b/>
                <w:sz w:val="13"/>
              </w:rPr>
              <w:t xml:space="preserve">Proposed Maximum </w:t>
              <w:br/>
              <w:t xml:space="preserve">Offering Price </w:t>
              <w:br/>
              <w:t xml:space="preserve">per Share </w:t>
            </w:r>
            <w:r>
              <w:rPr>
                <w:rFonts w:ascii="inherit" w:hAnsi="inherit"/>
                <w:b/>
                <w:sz w:val="8"/>
              </w:rPr>
              <w:t>(2)</w:t>
            </w:r>
          </w:p>
        </w:tc>
        <w:tc>
          <w:tcPr>
            <w:tcW w:w="1913" w:type="dxa"/>
            <w:tcBorders>
              <w:top w:val="double" w:sz="6" w:space="0" w:color="000000"/>
              <w:bottom w:val="single" w:sz="2" w:space="0" w:color="000000"/>
              <w:right w:val="single" w:sz="2" w:space="0" w:color="000000"/>
            </w:tcBorders>
            <w:shd w:fill="auto" w:val="clear"/>
            <w:tcMar>
              <w:top w:w="30" w:type="dxa"/>
              <w:bottom w:w="30" w:type="dxa"/>
              <w:right w:w="30" w:type="dxa"/>
            </w:tcMar>
            <w:vAlign w:val="center"/>
          </w:tcPr>
          <w:p>
            <w:pPr>
              <w:pStyle w:val="TableContents"/>
              <w:spacing w:lineRule="auto" w:line="288" w:before="0" w:after="0"/>
              <w:ind w:left="0" w:right="0" w:firstLine="30"/>
              <w:jc w:val="center"/>
              <w:rPr>
                <w:sz w:val="13"/>
              </w:rPr>
            </w:pPr>
            <w:r>
              <w:rPr>
                <w:rFonts w:ascii="inherit" w:hAnsi="inherit"/>
                <w:b/>
                <w:sz w:val="13"/>
              </w:rPr>
              <w:t>Proposed Maximum Aggregate Offering Price</w:t>
            </w:r>
            <w:r>
              <w:rPr>
                <w:rFonts w:ascii="inherit" w:hAnsi="inherit"/>
                <w:b/>
                <w:sz w:val="8"/>
              </w:rPr>
              <w:t>(2)</w:t>
            </w:r>
          </w:p>
        </w:tc>
        <w:tc>
          <w:tcPr>
            <w:tcW w:w="1836" w:type="dxa"/>
            <w:tcBorders>
              <w:top w:val="double" w:sz="6" w:space="0" w:color="000000"/>
              <w:bottom w:val="single" w:sz="2" w:space="0" w:color="000000"/>
              <w:right w:val="single" w:sz="2" w:space="0" w:color="000000"/>
            </w:tcBorders>
            <w:shd w:fill="auto" w:val="clear"/>
            <w:tcMar>
              <w:top w:w="30" w:type="dxa"/>
              <w:bottom w:w="30" w:type="dxa"/>
              <w:right w:w="12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Amount of </w:t>
              <w:br/>
              <w:t>Registration Fee</w:t>
            </w:r>
          </w:p>
        </w:tc>
      </w:tr>
      <w:tr>
        <w:trPr/>
        <w:tc>
          <w:tcPr>
            <w:tcW w:w="2878" w:type="dxa"/>
            <w:tcBorders>
              <w:top w:val="single" w:sz="2" w:space="0" w:color="000000"/>
              <w:left w:val="single" w:sz="2" w:space="0" w:color="000000"/>
              <w:bottom w:val="single" w:sz="2" w:space="0" w:color="000000"/>
              <w:right w:val="single" w:sz="2" w:space="0" w:color="000000"/>
            </w:tcBorders>
            <w:shd w:fill="auto" w:val="clear"/>
            <w:tcMar>
              <w:top w:w="30" w:type="dxa"/>
              <w:left w:w="28" w:type="dxa"/>
              <w:bottom w:w="30" w:type="dxa"/>
              <w:right w:w="120" w:type="dxa"/>
            </w:tcMar>
            <w:vAlign w:val="center"/>
          </w:tcPr>
          <w:p>
            <w:pPr>
              <w:pStyle w:val="TableContents"/>
              <w:spacing w:before="0" w:after="0"/>
              <w:ind w:left="0" w:right="0" w:firstLine="30"/>
              <w:jc w:val="left"/>
              <w:rPr>
                <w:rFonts w:ascii="inherit" w:hAnsi="inherit"/>
                <w:sz w:val="13"/>
              </w:rPr>
            </w:pPr>
            <w:r>
              <w:rPr>
                <w:rFonts w:ascii="inherit" w:hAnsi="inherit"/>
                <w:sz w:val="13"/>
              </w:rPr>
              <w:t>Class A Non-Voting Common Stock, par value $0.01 per share</w:t>
            </w:r>
          </w:p>
        </w:tc>
        <w:tc>
          <w:tcPr>
            <w:tcW w:w="1814" w:type="dxa"/>
            <w:tcBorders>
              <w:top w:val="single" w:sz="2" w:space="0" w:color="000000"/>
              <w:left w:val="single" w:sz="2" w:space="0" w:color="000000"/>
              <w:bottom w:val="single" w:sz="2" w:space="0" w:color="000000"/>
              <w:right w:val="single" w:sz="2" w:space="0" w:color="000000"/>
            </w:tcBorders>
            <w:shd w:fill="auto" w:val="clear"/>
            <w:tcMar>
              <w:top w:w="30" w:type="dxa"/>
              <w:left w:w="28" w:type="dxa"/>
              <w:bottom w:w="30" w:type="dxa"/>
              <w:right w:w="30" w:type="dxa"/>
            </w:tcMar>
            <w:vAlign w:val="center"/>
          </w:tcPr>
          <w:p>
            <w:pPr>
              <w:pStyle w:val="TableContents"/>
              <w:spacing w:before="0" w:after="0"/>
              <w:ind w:left="0" w:right="0" w:firstLine="30"/>
              <w:jc w:val="center"/>
              <w:rPr>
                <w:rFonts w:ascii="inherit" w:hAnsi="inherit"/>
                <w:sz w:val="13"/>
              </w:rPr>
            </w:pPr>
            <w:r>
              <w:rPr>
                <w:rFonts w:ascii="inherit" w:hAnsi="inherit"/>
                <w:sz w:val="13"/>
              </w:rPr>
              <w:t>300,000</w:t>
            </w:r>
          </w:p>
        </w:tc>
        <w:tc>
          <w:tcPr>
            <w:tcW w:w="1764" w:type="dxa"/>
            <w:tcBorders>
              <w:top w:val="single" w:sz="2" w:space="0" w:color="000000"/>
              <w:left w:val="single" w:sz="2" w:space="0" w:color="000000"/>
              <w:bottom w:val="single" w:sz="2" w:space="0" w:color="000000"/>
              <w:right w:val="single" w:sz="2" w:space="0" w:color="000000"/>
            </w:tcBorders>
            <w:shd w:fill="auto" w:val="clear"/>
            <w:tcMar>
              <w:top w:w="30" w:type="dxa"/>
              <w:left w:w="28" w:type="dxa"/>
              <w:bottom w:w="30" w:type="dxa"/>
              <w:right w:w="30" w:type="dxa"/>
            </w:tcMar>
            <w:vAlign w:val="center"/>
          </w:tcPr>
          <w:p>
            <w:pPr>
              <w:pStyle w:val="TableContents"/>
              <w:spacing w:before="0" w:after="0"/>
              <w:ind w:left="0" w:right="0" w:firstLine="30"/>
              <w:jc w:val="center"/>
              <w:rPr>
                <w:rFonts w:ascii="inherit" w:hAnsi="inherit"/>
                <w:sz w:val="13"/>
              </w:rPr>
            </w:pPr>
            <w:r>
              <w:rPr>
                <w:rFonts w:ascii="inherit" w:hAnsi="inherit"/>
                <w:sz w:val="13"/>
              </w:rPr>
              <w:t>$15.83</w:t>
            </w:r>
          </w:p>
        </w:tc>
        <w:tc>
          <w:tcPr>
            <w:tcW w:w="1913" w:type="dxa"/>
            <w:tcBorders>
              <w:top w:val="single" w:sz="2" w:space="0" w:color="000000"/>
              <w:left w:val="single" w:sz="2" w:space="0" w:color="000000"/>
              <w:bottom w:val="single" w:sz="2" w:space="0" w:color="000000"/>
              <w:right w:val="single" w:sz="2" w:space="0" w:color="000000"/>
            </w:tcBorders>
            <w:shd w:fill="auto" w:val="clear"/>
            <w:tcMar>
              <w:top w:w="30" w:type="dxa"/>
              <w:left w:w="28" w:type="dxa"/>
              <w:bottom w:w="30" w:type="dxa"/>
              <w:right w:w="30" w:type="dxa"/>
            </w:tcMar>
            <w:vAlign w:val="center"/>
          </w:tcPr>
          <w:p>
            <w:pPr>
              <w:pStyle w:val="TableContents"/>
              <w:spacing w:before="0" w:after="0"/>
              <w:ind w:left="0" w:right="0" w:firstLine="30"/>
              <w:jc w:val="center"/>
              <w:rPr>
                <w:rFonts w:ascii="inherit" w:hAnsi="inherit"/>
                <w:sz w:val="13"/>
              </w:rPr>
            </w:pPr>
            <w:r>
              <w:rPr>
                <w:rFonts w:ascii="inherit" w:hAnsi="inherit"/>
                <w:sz w:val="13"/>
              </w:rPr>
              <w:t>$4,749,000.00</w:t>
            </w:r>
          </w:p>
        </w:tc>
        <w:tc>
          <w:tcPr>
            <w:tcW w:w="1836" w:type="dxa"/>
            <w:tcBorders>
              <w:top w:val="single" w:sz="2" w:space="0" w:color="000000"/>
              <w:left w:val="single" w:sz="2" w:space="0" w:color="000000"/>
              <w:bottom w:val="single" w:sz="2" w:space="0" w:color="000000"/>
              <w:right w:val="single" w:sz="2" w:space="0" w:color="000000"/>
            </w:tcBorders>
            <w:shd w:fill="auto" w:val="clear"/>
            <w:tcMar>
              <w:top w:w="30" w:type="dxa"/>
              <w:left w:w="28" w:type="dxa"/>
              <w:bottom w:w="30" w:type="dxa"/>
              <w:right w:w="30" w:type="dxa"/>
            </w:tcMar>
            <w:vAlign w:val="center"/>
          </w:tcPr>
          <w:p>
            <w:pPr>
              <w:pStyle w:val="TableContents"/>
              <w:spacing w:before="0" w:after="0"/>
              <w:ind w:left="0" w:right="0" w:firstLine="120"/>
              <w:jc w:val="center"/>
              <w:rPr>
                <w:rFonts w:ascii="inherit" w:hAnsi="inherit"/>
                <w:sz w:val="13"/>
              </w:rPr>
            </w:pPr>
            <w:r>
              <w:rPr>
                <w:rFonts w:ascii="inherit" w:hAnsi="inherit"/>
                <w:sz w:val="13"/>
              </w:rPr>
              <w:t>$612.00</w:t>
            </w:r>
          </w:p>
        </w:tc>
      </w:tr>
    </w:tbl>
    <w:p>
      <w:pPr>
        <w:pStyle w:val="TextBody"/>
        <w:spacing w:lineRule="auto" w:line="288" w:before="0" w:after="0"/>
        <w:ind w:left="0" w:right="0" w:hanging="540"/>
        <w:jc w:val="left"/>
        <w:rPr>
          <w:rFonts w:ascii="inherit" w:hAnsi="inherit"/>
          <w:sz w:val="13"/>
        </w:rPr>
      </w:pPr>
      <w:r>
        <w:rPr>
          <w:rFonts w:ascii="inherit" w:hAnsi="inherit"/>
          <w:sz w:val="13"/>
        </w:rPr>
      </w:r>
    </w:p>
    <w:tbl>
      <w:tblPr>
        <w:tblW w:w="10205" w:type="dxa"/>
        <w:jc w:val="left"/>
        <w:tblInd w:w="0" w:type="dxa"/>
        <w:tblCellMar>
          <w:top w:w="0" w:type="dxa"/>
          <w:left w:w="0" w:type="dxa"/>
          <w:bottom w:w="0" w:type="dxa"/>
          <w:right w:w="0" w:type="dxa"/>
        </w:tblCellMar>
      </w:tblPr>
      <w:tblGrid>
        <w:gridCol w:w="198"/>
        <w:gridCol w:w="10007"/>
      </w:tblGrid>
      <w:tr>
        <w:trPr/>
        <w:tc>
          <w:tcPr>
            <w:tcW w:w="198" w:type="dxa"/>
            <w:tcBorders/>
            <w:shd w:fill="auto" w:val="clear"/>
            <w:vAlign w:val="center"/>
          </w:tcPr>
          <w:p>
            <w:pPr>
              <w:pStyle w:val="TableContents"/>
              <w:spacing w:before="0" w:after="283"/>
              <w:rPr>
                <w:sz w:val="4"/>
                <w:szCs w:val="4"/>
              </w:rPr>
            </w:pPr>
            <w:r>
              <w:rPr>
                <w:sz w:val="4"/>
                <w:szCs w:val="4"/>
              </w:rPr>
            </w:r>
          </w:p>
        </w:tc>
        <w:tc>
          <w:tcPr>
            <w:tcW w:w="10007" w:type="dxa"/>
            <w:tcBorders/>
            <w:shd w:fill="auto" w:val="clear"/>
            <w:vAlign w:val="center"/>
          </w:tcPr>
          <w:p>
            <w:pPr>
              <w:pStyle w:val="TableContents"/>
              <w:spacing w:before="0" w:after="283"/>
              <w:rPr>
                <w:sz w:val="4"/>
                <w:szCs w:val="4"/>
              </w:rPr>
            </w:pPr>
            <w:r>
              <w:rPr>
                <w:sz w:val="4"/>
                <w:szCs w:val="4"/>
              </w:rPr>
            </w:r>
          </w:p>
        </w:tc>
      </w:tr>
      <w:tr>
        <w:trPr/>
        <w:tc>
          <w:tcPr>
            <w:tcW w:w="198" w:type="dxa"/>
            <w:tcBorders/>
            <w:shd w:fill="auto" w:val="clear"/>
            <w:vAlign w:val="center"/>
          </w:tcPr>
          <w:p>
            <w:pPr>
              <w:pStyle w:val="TableContents"/>
              <w:spacing w:lineRule="auto" w:line="288" w:before="0" w:after="0"/>
              <w:ind w:left="0" w:right="0" w:hanging="0"/>
              <w:rPr>
                <w:rFonts w:ascii="inherit" w:hAnsi="inherit"/>
                <w:sz w:val="13"/>
              </w:rPr>
            </w:pPr>
            <w:r>
              <w:rPr>
                <w:rFonts w:ascii="inherit" w:hAnsi="inherit"/>
                <w:sz w:val="13"/>
              </w:rPr>
              <w:t>(1)</w:t>
            </w:r>
          </w:p>
        </w:tc>
        <w:tc>
          <w:tcPr>
            <w:tcW w:w="10007" w:type="dxa"/>
            <w:tcBorders/>
            <w:shd w:fill="auto" w:val="clear"/>
            <w:vAlign w:val="center"/>
          </w:tcPr>
          <w:p>
            <w:pPr>
              <w:pStyle w:val="TableContents"/>
              <w:spacing w:lineRule="auto" w:line="288" w:before="0" w:after="0"/>
              <w:jc w:val="left"/>
              <w:rPr>
                <w:rFonts w:ascii="inherit" w:hAnsi="inherit"/>
                <w:sz w:val="13"/>
              </w:rPr>
            </w:pPr>
            <w:r>
              <w:rPr>
                <w:rFonts w:ascii="inherit" w:hAnsi="inherit"/>
                <w:sz w:val="13"/>
              </w:rPr>
              <w:t>Pursuant to Rule 416 under the Securities Act of 1933 (the “Securities Act”), there is also being registered hereunder such number of additional shares of Class A Non-Voting Common Stock of the registrant as may be issued to the selling stockholder because of any future stock dividends, stock distributions, stock splits or other similar transactions and such lesser amount of shares of Class A Non-Voting Common Stock of the registrant as may be issued to the selling stockholder because of any reverse stock split, stock combination or other similar transaction.</w:t>
            </w:r>
          </w:p>
        </w:tc>
      </w:tr>
    </w:tbl>
    <w:tbl>
      <w:tblPr>
        <w:tblW w:w="10205" w:type="dxa"/>
        <w:jc w:val="left"/>
        <w:tblInd w:w="0" w:type="dxa"/>
        <w:tblCellMar>
          <w:top w:w="0" w:type="dxa"/>
          <w:left w:w="0" w:type="dxa"/>
          <w:bottom w:w="0" w:type="dxa"/>
          <w:right w:w="0" w:type="dxa"/>
        </w:tblCellMar>
      </w:tblPr>
      <w:tblGrid>
        <w:gridCol w:w="210"/>
        <w:gridCol w:w="9995"/>
      </w:tblGrid>
      <w:tr>
        <w:trPr/>
        <w:tc>
          <w:tcPr>
            <w:tcW w:w="210" w:type="dxa"/>
            <w:tcBorders/>
            <w:shd w:fill="auto" w:val="clear"/>
            <w:vAlign w:val="center"/>
          </w:tcPr>
          <w:p>
            <w:pPr>
              <w:pStyle w:val="TableContents"/>
              <w:spacing w:before="0" w:after="283"/>
              <w:rPr>
                <w:sz w:val="4"/>
                <w:szCs w:val="4"/>
              </w:rPr>
            </w:pPr>
            <w:r>
              <w:rPr>
                <w:sz w:val="4"/>
                <w:szCs w:val="4"/>
              </w:rPr>
            </w:r>
          </w:p>
        </w:tc>
        <w:tc>
          <w:tcPr>
            <w:tcW w:w="9995" w:type="dxa"/>
            <w:tcBorders/>
            <w:shd w:fill="auto" w:val="clear"/>
            <w:vAlign w:val="center"/>
          </w:tcPr>
          <w:p>
            <w:pPr>
              <w:pStyle w:val="TableContents"/>
              <w:spacing w:before="0" w:after="283"/>
              <w:rPr>
                <w:sz w:val="4"/>
                <w:szCs w:val="4"/>
              </w:rPr>
            </w:pPr>
            <w:r>
              <w:rPr>
                <w:sz w:val="4"/>
                <w:szCs w:val="4"/>
              </w:rPr>
            </w:r>
          </w:p>
        </w:tc>
      </w:tr>
      <w:tr>
        <w:trPr/>
        <w:tc>
          <w:tcPr>
            <w:tcW w:w="210" w:type="dxa"/>
            <w:tcBorders/>
            <w:shd w:fill="auto" w:val="clear"/>
            <w:vAlign w:val="center"/>
          </w:tcPr>
          <w:p>
            <w:pPr>
              <w:pStyle w:val="TableContents"/>
              <w:spacing w:lineRule="auto" w:line="288" w:before="0" w:after="0"/>
              <w:ind w:left="0" w:right="0" w:hanging="0"/>
              <w:rPr>
                <w:rFonts w:ascii="inherit" w:hAnsi="inherit"/>
                <w:sz w:val="13"/>
              </w:rPr>
            </w:pPr>
            <w:r>
              <w:rPr>
                <w:rFonts w:ascii="inherit" w:hAnsi="inherit"/>
                <w:sz w:val="13"/>
              </w:rPr>
              <w:t>(2)</w:t>
            </w:r>
          </w:p>
        </w:tc>
        <w:tc>
          <w:tcPr>
            <w:tcW w:w="9995" w:type="dxa"/>
            <w:tcBorders/>
            <w:shd w:fill="auto" w:val="clear"/>
            <w:vAlign w:val="center"/>
          </w:tcPr>
          <w:p>
            <w:pPr>
              <w:pStyle w:val="TableContents"/>
              <w:spacing w:lineRule="auto" w:line="288" w:before="0" w:after="0"/>
              <w:jc w:val="left"/>
              <w:rPr>
                <w:rFonts w:ascii="inherit" w:hAnsi="inherit"/>
                <w:sz w:val="13"/>
              </w:rPr>
            </w:pPr>
            <w:r>
              <w:rPr>
                <w:rFonts w:ascii="inherit" w:hAnsi="inherit"/>
                <w:sz w:val="13"/>
              </w:rPr>
              <w:t>Estimated solely for the purpose of calculating the registration fee in accordance with Rule 457(c) promulgated under the Securities Act, based on the average of the high and low prices of the registrant’s Class A Non-Voting Common Stock reported by the NASDAQ Global Select Market on October 7, 2013.</w:t>
            </w:r>
          </w:p>
        </w:tc>
      </w:tr>
    </w:tbl>
    <w:p>
      <w:pPr>
        <w:pStyle w:val="TextBody"/>
        <w:rPr/>
      </w:pPr>
      <w:r>
        <w:rPr/>
      </w:r>
      <w:r>
        <w:br w:type="page"/>
      </w:r>
    </w:p>
    <w:p>
      <w:pPr>
        <w:pStyle w:val="TextBody"/>
        <w:spacing w:before="0" w:after="0"/>
        <w:rPr/>
      </w:pPr>
      <w:r>
        <w:rPr/>
      </w:r>
      <w:bookmarkStart w:id="8" w:name="s4FA4162AB27AA08F16456FA02D4A37C2"/>
      <w:bookmarkStart w:id="9" w:name="s4FA4162AB27AA08F16456FA02D4A37C2"/>
      <w:bookmarkEnd w:id="9"/>
    </w:p>
    <w:p>
      <w:pPr>
        <w:pStyle w:val="TextBody"/>
        <w:spacing w:lineRule="auto" w:line="288" w:before="0" w:after="0"/>
        <w:jc w:val="left"/>
        <w:rPr>
          <w:rFonts w:ascii="inherit" w:hAnsi="inherit"/>
          <w:b/>
          <w:sz w:val="17"/>
        </w:rPr>
      </w:pPr>
      <w:r>
        <w:rPr>
          <w:rFonts w:ascii="inherit" w:hAnsi="inherit"/>
          <w:b/>
          <w:sz w:val="17"/>
        </w:rPr>
        <w:t>PROSPECTUS</w:t>
      </w:r>
    </w:p>
    <w:p>
      <w:pPr>
        <w:pStyle w:val="TextBody"/>
        <w:spacing w:lineRule="auto" w:line="288" w:before="0" w:after="0"/>
        <w:jc w:val="center"/>
        <w:rPr>
          <w:sz w:val="40"/>
        </w:rPr>
      </w:pPr>
      <w:r>
        <w:rPr>
          <w:rFonts w:ascii="inherit" w:hAnsi="inherit"/>
          <w:i/>
          <w:color w:val="0033CC"/>
          <w:sz w:val="40"/>
        </w:rPr>
        <w:t>EZCORP</w:t>
      </w:r>
      <w:r>
        <w:rPr>
          <w:rFonts w:ascii="inherit" w:hAnsi="inherit"/>
          <w:i/>
          <w:color w:val="0033CC"/>
          <w:sz w:val="13"/>
        </w:rPr>
        <w:t>®</w:t>
      </w:r>
      <w:r>
        <w:rPr>
          <w:rFonts w:ascii="inherit" w:hAnsi="inherit"/>
          <w:i/>
          <w:color w:val="0033CC"/>
          <w:sz w:val="23"/>
        </w:rPr>
        <w:t> </w:t>
      </w:r>
    </w:p>
    <w:p>
      <w:pPr>
        <w:pStyle w:val="TextBody"/>
        <w:spacing w:lineRule="auto" w:line="288" w:before="0" w:after="0"/>
        <w:jc w:val="center"/>
        <w:rPr>
          <w:rFonts w:ascii="inherit" w:hAnsi="inherit"/>
          <w:b/>
          <w:sz w:val="20"/>
        </w:rPr>
      </w:pPr>
      <w:r>
        <w:rPr>
          <w:rFonts w:ascii="inherit" w:hAnsi="inherit"/>
          <w:b/>
          <w:sz w:val="20"/>
        </w:rPr>
        <w:t>EZCORP, Inc.</w:t>
      </w:r>
    </w:p>
    <w:p>
      <w:pPr>
        <w:pStyle w:val="TextBody"/>
        <w:spacing w:lineRule="auto" w:line="288" w:before="0" w:after="0"/>
        <w:jc w:val="center"/>
        <w:rPr>
          <w:sz w:val="17"/>
        </w:rPr>
      </w:pPr>
      <w:r>
        <w:rPr>
          <w:rFonts w:ascii="inherit" w:hAnsi="inherit"/>
          <w:b/>
          <w:strike w:val="false"/>
          <w:dstrike w:val="false"/>
          <w:color w:val="000000"/>
          <w:sz w:val="17"/>
          <w:u w:val="none"/>
          <w:effect w:val="none"/>
        </w:rPr>
        <w:t>300,000</w:t>
      </w:r>
      <w:r>
        <w:rPr>
          <w:sz w:val="17"/>
        </w:rPr>
        <w:t xml:space="preserve"> </w:t>
      </w:r>
      <w:r>
        <w:rPr>
          <w:rFonts w:ascii="inherit" w:hAnsi="inherit"/>
          <w:b/>
          <w:sz w:val="17"/>
        </w:rPr>
        <w:t>Shares of Class A Non-Voting Common Stock</w:t>
      </w:r>
    </w:p>
    <w:p>
      <w:pPr>
        <w:pStyle w:val="TextBody"/>
        <w:spacing w:lineRule="auto" w:line="288" w:before="0" w:after="0"/>
        <w:ind w:left="0" w:right="0" w:firstLine="720"/>
        <w:jc w:val="left"/>
        <w:rPr>
          <w:sz w:val="17"/>
        </w:rPr>
      </w:pPr>
      <w:r>
        <w:rPr>
          <w:rFonts w:ascii="inherit" w:hAnsi="inherit"/>
          <w:sz w:val="17"/>
        </w:rPr>
        <w:t xml:space="preserve">This prospectus relates to </w:t>
      </w:r>
      <w:r>
        <w:rPr>
          <w:rFonts w:ascii="inherit" w:hAnsi="inherit"/>
          <w:strike w:val="false"/>
          <w:dstrike w:val="false"/>
          <w:color w:val="000000"/>
          <w:sz w:val="17"/>
          <w:u w:val="none"/>
          <w:effect w:val="none"/>
        </w:rPr>
        <w:t>300,000</w:t>
      </w:r>
      <w:r>
        <w:rPr>
          <w:sz w:val="17"/>
        </w:rPr>
        <w:t xml:space="preserve"> </w:t>
      </w:r>
      <w:r>
        <w:rPr>
          <w:rFonts w:ascii="inherit" w:hAnsi="inherit"/>
          <w:sz w:val="17"/>
        </w:rPr>
        <w:t>shares of our Class A Non-Voting Common Stock, which may be sold from time to time by the selling stockholder named herein.</w:t>
      </w:r>
      <w:r>
        <w:rPr>
          <w:sz w:val="17"/>
        </w:rPr>
        <w:t xml:space="preserve"> </w:t>
      </w:r>
      <w:r>
        <w:rPr>
          <w:rFonts w:ascii="inherit" w:hAnsi="inherit"/>
          <w:sz w:val="17"/>
        </w:rPr>
        <w:t xml:space="preserve">The shares of our Class A Non-Voting Common Stock offered under this prospectus were issued to the selling stockholder by us in connection with our acquisition of the assets of Hayfield Investment Partners, LLC and certain of its subsidiaries. </w:t>
      </w:r>
    </w:p>
    <w:p>
      <w:pPr>
        <w:pStyle w:val="TextBody"/>
        <w:spacing w:lineRule="auto" w:line="288" w:before="0" w:after="0"/>
        <w:ind w:left="0" w:right="0" w:firstLine="720"/>
        <w:jc w:val="left"/>
        <w:rPr>
          <w:rFonts w:ascii="inherit" w:hAnsi="inherit"/>
          <w:sz w:val="17"/>
        </w:rPr>
      </w:pPr>
      <w:r>
        <w:rPr>
          <w:rFonts w:ascii="inherit" w:hAnsi="inherit"/>
          <w:sz w:val="17"/>
        </w:rPr>
        <w:t xml:space="preserve">The selling stockholder may sell none, some or all of the shares offered by this prospectus. The selling stockholder has informed us that it has adopted a pre-arranged Rule 10b5-1 stock trading plan allowing it to sell all of its shares of our Class A Non-Voting Common Stock over time as part of its financial, tax and/or estate planning and that the selling stockholder has the right to terminate such plan in accordance with its terms. Accordingly, we cannot predict when or in what amount the selling stockholder may sell any of the shares offered by this prospectus. The selling stockholder may sell the shares of our Class A Non-Voting Common Stock offered by this prospectus at market prices prevailing at the time of sale, at prices related to such prevailing market prices, at negotiated prices or at fixed prices that may be changed. Such sales may occur in the open market, in negotiated transactions or in a combination of these methods. </w:t>
      </w:r>
    </w:p>
    <w:p>
      <w:pPr>
        <w:pStyle w:val="TextBody"/>
        <w:spacing w:lineRule="auto" w:line="288" w:before="0" w:after="0"/>
        <w:ind w:left="0" w:right="0" w:firstLine="720"/>
        <w:jc w:val="left"/>
        <w:rPr>
          <w:rFonts w:ascii="inherit" w:hAnsi="inherit"/>
          <w:sz w:val="17"/>
        </w:rPr>
      </w:pPr>
      <w:r>
        <w:rPr>
          <w:rFonts w:ascii="inherit" w:hAnsi="inherit"/>
          <w:sz w:val="17"/>
        </w:rPr>
        <w:t xml:space="preserve">We are not selling any securities under this prospectus and will not receive any of the proceeds from the sale of the shares covered by this prospectus. </w:t>
      </w:r>
    </w:p>
    <w:p>
      <w:pPr>
        <w:pStyle w:val="TextBody"/>
        <w:spacing w:lineRule="auto" w:line="288" w:before="0" w:after="0"/>
        <w:ind w:left="0" w:right="0" w:firstLine="720"/>
        <w:jc w:val="left"/>
        <w:rPr>
          <w:rFonts w:ascii="inherit" w:hAnsi="inherit"/>
          <w:sz w:val="17"/>
        </w:rPr>
      </w:pPr>
      <w:r>
        <w:rPr>
          <w:rFonts w:ascii="inherit" w:hAnsi="inherit"/>
          <w:sz w:val="17"/>
        </w:rPr>
        <w:t>Our Class A Non-Voting Common Stock is traded on the NASDAQ Global Select Market under the symbol “EZPW.” On October 2, 2013, the last reported sale price of our Class A Non-Voting Common Stock was $16.62 per share.</w:t>
      </w:r>
    </w:p>
    <w:p>
      <w:pPr>
        <w:pStyle w:val="TextBody"/>
        <w:spacing w:lineRule="auto" w:line="288" w:before="0" w:after="0"/>
        <w:ind w:left="0" w:right="0" w:firstLine="720"/>
        <w:jc w:val="left"/>
        <w:rPr>
          <w:rFonts w:ascii="inherit" w:hAnsi="inherit"/>
          <w:b/>
          <w:sz w:val="17"/>
        </w:rPr>
      </w:pPr>
      <w:r>
        <w:rPr>
          <w:rFonts w:ascii="inherit" w:hAnsi="inherit"/>
          <w:b/>
          <w:sz w:val="17"/>
        </w:rPr>
        <w:t>Investing in our Class A Non-Voting Common Stock involves risk. You should carefully consider the risks described in any accompanying prospectus supplement as well as the risk factors that are incorporated by reference into this prospectus from our filings made with the Securities and Exchange Commission. See “Risk Factors” on page 1.</w:t>
      </w:r>
    </w:p>
    <w:p>
      <w:pPr>
        <w:pStyle w:val="TextBody"/>
        <w:spacing w:lineRule="auto" w:line="288" w:before="0" w:after="0"/>
        <w:ind w:left="0" w:right="0" w:firstLine="720"/>
        <w:jc w:val="left"/>
        <w:rPr>
          <w:rFonts w:ascii="inherit" w:hAnsi="inherit"/>
          <w:b/>
          <w:sz w:val="17"/>
        </w:rPr>
      </w:pPr>
      <w:r>
        <w:rPr>
          <w:rFonts w:ascii="inherit" w:hAnsi="inherit"/>
          <w:b/>
          <w:sz w:val="17"/>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spacing w:lineRule="auto" w:line="288" w:before="0" w:after="0"/>
        <w:jc w:val="center"/>
        <w:rPr>
          <w:rFonts w:ascii="inherit" w:hAnsi="inherit"/>
          <w:sz w:val="17"/>
        </w:rPr>
      </w:pPr>
      <w:r>
        <w:rPr>
          <w:rFonts w:ascii="inherit" w:hAnsi="inherit"/>
          <w:sz w:val="17"/>
        </w:rPr>
        <w:t>The date of this prospectus is October 8, 2013.</w:t>
      </w:r>
    </w:p>
    <w:p>
      <w:pPr>
        <w:pStyle w:val="TextBody"/>
        <w:spacing w:lineRule="auto" w:line="288" w:before="0" w:after="0"/>
        <w:jc w:val="center"/>
        <w:rPr>
          <w:rFonts w:ascii="inherit" w:hAnsi="inherit"/>
          <w:sz w:val="17"/>
        </w:rPr>
      </w:pPr>
      <w:r>
        <w:rPr>
          <w:rFonts w:ascii="inherit" w:hAnsi="inherit"/>
          <w:sz w:val="17"/>
        </w:rPr>
      </w:r>
    </w:p>
    <w:p>
      <w:pPr>
        <w:pStyle w:val="TextBody"/>
        <w:rPr/>
      </w:pPr>
      <w:r>
        <w:rPr/>
      </w:r>
      <w:r>
        <w:br w:type="page"/>
      </w:r>
    </w:p>
    <w:p>
      <w:pPr>
        <w:pStyle w:val="TextBody"/>
        <w:spacing w:before="0" w:after="0"/>
        <w:rPr/>
      </w:pPr>
      <w:r>
        <w:rPr/>
      </w:r>
      <w:bookmarkStart w:id="10" w:name="sE5128EC94C772A2A95F06FA02D695C58"/>
      <w:bookmarkStart w:id="11" w:name="sE5128EC94C772A2A95F06FA02D695C58"/>
      <w:bookmarkEnd w:id="11"/>
    </w:p>
    <w:tbl>
      <w:tblPr>
        <w:tblW w:w="6588" w:type="dxa"/>
        <w:jc w:val="center"/>
        <w:tblInd w:w="0" w:type="dxa"/>
        <w:tblCellMar>
          <w:top w:w="0" w:type="dxa"/>
          <w:left w:w="0" w:type="dxa"/>
          <w:bottom w:w="0" w:type="dxa"/>
          <w:right w:w="0" w:type="dxa"/>
        </w:tblCellMar>
      </w:tblPr>
      <w:tblGrid>
        <w:gridCol w:w="6193"/>
        <w:gridCol w:w="395"/>
      </w:tblGrid>
      <w:tr>
        <w:trPr/>
        <w:tc>
          <w:tcPr>
            <w:tcW w:w="6588" w:type="dxa"/>
            <w:gridSpan w:val="2"/>
            <w:tcBorders/>
            <w:shd w:fill="auto" w:val="clear"/>
            <w:vAlign w:val="center"/>
          </w:tcPr>
          <w:p>
            <w:pPr>
              <w:pStyle w:val="TableContents"/>
              <w:spacing w:lineRule="auto" w:line="288" w:before="0" w:after="0"/>
              <w:jc w:val="center"/>
              <w:rPr>
                <w:rFonts w:ascii="inherit" w:hAnsi="inherit"/>
                <w:b/>
                <w:sz w:val="17"/>
              </w:rPr>
            </w:pPr>
            <w:r>
              <w:rPr>
                <w:rFonts w:ascii="inherit" w:hAnsi="inherit"/>
                <w:b/>
                <w:sz w:val="17"/>
              </w:rPr>
              <w:t>TABLE OF CONTENTS</w:t>
            </w:r>
          </w:p>
        </w:tc>
      </w:tr>
      <w:tr>
        <w:trPr/>
        <w:tc>
          <w:tcPr>
            <w:tcW w:w="6193"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193" w:type="dxa"/>
            <w:tcBorders/>
            <w:shd w:fill="auto" w:val="clear"/>
            <w:vAlign w:val="center"/>
          </w:tcPr>
          <w:p>
            <w:pPr>
              <w:pStyle w:val="TableContents"/>
              <w:spacing w:before="0" w:after="0"/>
              <w:ind w:left="0" w:right="0" w:firstLine="30"/>
              <w:rPr/>
            </w:pPr>
            <w:hyperlink w:anchor="s31747D53E2DD6873EA596FA02DBFE38E">
              <w:r>
                <w:rPr>
                  <w:rStyle w:val="InternetLink"/>
                  <w:rFonts w:ascii="inherit" w:hAnsi="inherit"/>
                  <w:color w:val="0000FF"/>
                  <w:sz w:val="17"/>
                  <w:u w:val="single"/>
                </w:rPr>
                <w:t>ABOUT EZCORP, INC.</w:t>
              </w:r>
            </w:hyperlink>
          </w:p>
        </w:tc>
        <w:tc>
          <w:tcPr>
            <w:tcW w:w="395" w:type="dxa"/>
            <w:tcBorders/>
            <w:shd w:fill="auto" w:val="clear"/>
            <w:vAlign w:val="center"/>
          </w:tcPr>
          <w:p>
            <w:pPr>
              <w:pStyle w:val="TableContents"/>
              <w:spacing w:before="0" w:after="0"/>
              <w:ind w:left="0" w:right="0" w:firstLine="30"/>
              <w:jc w:val="right"/>
              <w:rPr/>
            </w:pPr>
            <w:hyperlink w:anchor="s31747D53E2DD6873EA596FA02DBFE38E">
              <w:r>
                <w:rPr>
                  <w:rStyle w:val="InternetLink"/>
                  <w:rFonts w:ascii="Times New Roman" w:hAnsi="Times New Roman"/>
                  <w:color w:val="0000FF"/>
                  <w:sz w:val="17"/>
                  <w:u w:val="single"/>
                </w:rPr>
                <w:t>1</w:t>
              </w:r>
            </w:hyperlink>
          </w:p>
        </w:tc>
      </w:tr>
      <w:tr>
        <w:trPr/>
        <w:tc>
          <w:tcPr>
            <w:tcW w:w="6193" w:type="dxa"/>
            <w:tcBorders/>
            <w:shd w:fill="auto" w:val="clear"/>
            <w:vAlign w:val="center"/>
          </w:tcPr>
          <w:p>
            <w:pPr>
              <w:pStyle w:val="TableContents"/>
              <w:spacing w:before="0" w:after="0"/>
              <w:ind w:left="0" w:right="0" w:firstLine="30"/>
              <w:rPr/>
            </w:pPr>
            <w:hyperlink w:anchor="s1322F7CB459DA14D8E846FA02DDFE569">
              <w:r>
                <w:rPr>
                  <w:rStyle w:val="InternetLink"/>
                  <w:rFonts w:ascii="inherit" w:hAnsi="inherit"/>
                  <w:color w:val="0000FF"/>
                  <w:sz w:val="17"/>
                  <w:u w:val="single"/>
                </w:rPr>
                <w:t>RISK FACTORS</w:t>
              </w:r>
            </w:hyperlink>
          </w:p>
        </w:tc>
        <w:tc>
          <w:tcPr>
            <w:tcW w:w="395" w:type="dxa"/>
            <w:tcBorders/>
            <w:shd w:fill="auto" w:val="clear"/>
            <w:vAlign w:val="center"/>
          </w:tcPr>
          <w:p>
            <w:pPr>
              <w:pStyle w:val="TableContents"/>
              <w:spacing w:before="0" w:after="0"/>
              <w:ind w:left="0" w:right="0" w:firstLine="30"/>
              <w:jc w:val="right"/>
              <w:rPr/>
            </w:pPr>
            <w:hyperlink w:anchor="s1322F7CB459DA14D8E846FA02DDFE569">
              <w:r>
                <w:rPr>
                  <w:rStyle w:val="InternetLink"/>
                  <w:rFonts w:ascii="Times New Roman" w:hAnsi="Times New Roman"/>
                  <w:color w:val="0000FF"/>
                  <w:sz w:val="17"/>
                  <w:u w:val="single"/>
                </w:rPr>
                <w:t>1</w:t>
              </w:r>
            </w:hyperlink>
          </w:p>
        </w:tc>
      </w:tr>
      <w:tr>
        <w:trPr/>
        <w:tc>
          <w:tcPr>
            <w:tcW w:w="6193" w:type="dxa"/>
            <w:tcBorders/>
            <w:shd w:fill="auto" w:val="clear"/>
            <w:vAlign w:val="center"/>
          </w:tcPr>
          <w:p>
            <w:pPr>
              <w:pStyle w:val="TableContents"/>
              <w:spacing w:before="0" w:after="0"/>
              <w:ind w:left="0" w:right="0" w:firstLine="30"/>
              <w:rPr/>
            </w:pPr>
            <w:hyperlink w:anchor="s6E0051ECC61BC23848356FA02E0F7C6E">
              <w:r>
                <w:rPr>
                  <w:rStyle w:val="InternetLink"/>
                  <w:rFonts w:ascii="inherit" w:hAnsi="inherit"/>
                  <w:color w:val="0000FF"/>
                  <w:sz w:val="17"/>
                  <w:u w:val="single"/>
                </w:rPr>
                <w:t>CAUTIONARY STATEMENT REGARDING FORWARD LOOKING STATEMENTS</w:t>
              </w:r>
            </w:hyperlink>
          </w:p>
        </w:tc>
        <w:tc>
          <w:tcPr>
            <w:tcW w:w="395" w:type="dxa"/>
            <w:tcBorders/>
            <w:shd w:fill="auto" w:val="clear"/>
            <w:vAlign w:val="center"/>
          </w:tcPr>
          <w:p>
            <w:pPr>
              <w:pStyle w:val="TableContents"/>
              <w:spacing w:before="0" w:after="0"/>
              <w:ind w:left="0" w:right="0" w:firstLine="30"/>
              <w:jc w:val="right"/>
              <w:rPr/>
            </w:pPr>
            <w:hyperlink w:anchor="s6E0051ECC61BC23848356FA02E0F7C6E">
              <w:r>
                <w:rPr>
                  <w:rStyle w:val="InternetLink"/>
                  <w:rFonts w:ascii="Times New Roman" w:hAnsi="Times New Roman"/>
                  <w:color w:val="0000FF"/>
                  <w:sz w:val="17"/>
                  <w:u w:val="single"/>
                </w:rPr>
                <w:t>1</w:t>
              </w:r>
            </w:hyperlink>
          </w:p>
        </w:tc>
      </w:tr>
      <w:tr>
        <w:trPr/>
        <w:tc>
          <w:tcPr>
            <w:tcW w:w="6193" w:type="dxa"/>
            <w:tcBorders/>
            <w:shd w:fill="auto" w:val="clear"/>
            <w:vAlign w:val="center"/>
          </w:tcPr>
          <w:p>
            <w:pPr>
              <w:pStyle w:val="TableContents"/>
              <w:spacing w:before="0" w:after="0"/>
              <w:ind w:left="0" w:right="0" w:firstLine="30"/>
              <w:rPr/>
            </w:pPr>
            <w:hyperlink w:anchor="s2CC3F374B47D661F09B26FA02E31814F">
              <w:r>
                <w:rPr>
                  <w:rStyle w:val="InternetLink"/>
                  <w:rFonts w:ascii="inherit" w:hAnsi="inherit"/>
                  <w:color w:val="0000FF"/>
                  <w:sz w:val="17"/>
                  <w:u w:val="single"/>
                </w:rPr>
                <w:t>USE OF PROCEEDS</w:t>
              </w:r>
            </w:hyperlink>
          </w:p>
        </w:tc>
        <w:tc>
          <w:tcPr>
            <w:tcW w:w="395" w:type="dxa"/>
            <w:tcBorders/>
            <w:shd w:fill="auto" w:val="clear"/>
            <w:vAlign w:val="center"/>
          </w:tcPr>
          <w:p>
            <w:pPr>
              <w:pStyle w:val="TableContents"/>
              <w:spacing w:before="0" w:after="0"/>
              <w:ind w:left="0" w:right="0" w:firstLine="30"/>
              <w:jc w:val="right"/>
              <w:rPr/>
            </w:pPr>
            <w:hyperlink w:anchor="s2CC3F374B47D661F09B26FA02E31814F">
              <w:r>
                <w:rPr>
                  <w:rStyle w:val="InternetLink"/>
                  <w:rFonts w:ascii="Times New Roman" w:hAnsi="Times New Roman"/>
                  <w:color w:val="0000FF"/>
                  <w:sz w:val="17"/>
                  <w:u w:val="single"/>
                </w:rPr>
                <w:t>3</w:t>
              </w:r>
            </w:hyperlink>
          </w:p>
        </w:tc>
      </w:tr>
      <w:tr>
        <w:trPr/>
        <w:tc>
          <w:tcPr>
            <w:tcW w:w="6193" w:type="dxa"/>
            <w:tcBorders/>
            <w:shd w:fill="auto" w:val="clear"/>
            <w:vAlign w:val="center"/>
          </w:tcPr>
          <w:p>
            <w:pPr>
              <w:pStyle w:val="TableContents"/>
              <w:spacing w:before="0" w:after="0"/>
              <w:ind w:left="0" w:right="0" w:firstLine="30"/>
              <w:rPr/>
            </w:pPr>
            <w:hyperlink w:anchor="sC4249DF90D06E79F4E976FA02E64F2ED">
              <w:r>
                <w:rPr>
                  <w:rStyle w:val="InternetLink"/>
                  <w:rFonts w:ascii="inherit" w:hAnsi="inherit"/>
                  <w:color w:val="0000FF"/>
                  <w:sz w:val="17"/>
                  <w:u w:val="single"/>
                </w:rPr>
                <w:t>SELLING STOCKHOLDER</w:t>
              </w:r>
            </w:hyperlink>
          </w:p>
        </w:tc>
        <w:tc>
          <w:tcPr>
            <w:tcW w:w="395" w:type="dxa"/>
            <w:tcBorders/>
            <w:shd w:fill="auto" w:val="clear"/>
            <w:vAlign w:val="center"/>
          </w:tcPr>
          <w:p>
            <w:pPr>
              <w:pStyle w:val="TableContents"/>
              <w:spacing w:before="0" w:after="0"/>
              <w:ind w:left="0" w:right="0" w:firstLine="30"/>
              <w:jc w:val="right"/>
              <w:rPr/>
            </w:pPr>
            <w:hyperlink w:anchor="sC4249DF90D06E79F4E976FA02E64F2ED">
              <w:r>
                <w:rPr>
                  <w:rStyle w:val="InternetLink"/>
                  <w:rFonts w:ascii="Times New Roman" w:hAnsi="Times New Roman"/>
                  <w:color w:val="0000FF"/>
                  <w:sz w:val="17"/>
                  <w:u w:val="single"/>
                </w:rPr>
                <w:t>3</w:t>
              </w:r>
            </w:hyperlink>
          </w:p>
        </w:tc>
      </w:tr>
      <w:tr>
        <w:trPr/>
        <w:tc>
          <w:tcPr>
            <w:tcW w:w="6193" w:type="dxa"/>
            <w:tcBorders/>
            <w:shd w:fill="auto" w:val="clear"/>
            <w:vAlign w:val="center"/>
          </w:tcPr>
          <w:p>
            <w:pPr>
              <w:pStyle w:val="TableContents"/>
              <w:spacing w:before="0" w:after="0"/>
              <w:ind w:left="0" w:right="0" w:firstLine="30"/>
              <w:rPr/>
            </w:pPr>
            <w:hyperlink w:anchor="s7492BDE14C46D20632E86FA02E85176B">
              <w:r>
                <w:rPr>
                  <w:rStyle w:val="InternetLink"/>
                  <w:rFonts w:ascii="inherit" w:hAnsi="inherit"/>
                  <w:color w:val="0000FF"/>
                  <w:sz w:val="17"/>
                  <w:u w:val="single"/>
                </w:rPr>
                <w:t>PLAN OF DISTRIBUTION</w:t>
              </w:r>
            </w:hyperlink>
          </w:p>
        </w:tc>
        <w:tc>
          <w:tcPr>
            <w:tcW w:w="395" w:type="dxa"/>
            <w:tcBorders/>
            <w:shd w:fill="auto" w:val="clear"/>
            <w:vAlign w:val="center"/>
          </w:tcPr>
          <w:p>
            <w:pPr>
              <w:pStyle w:val="TableContents"/>
              <w:spacing w:before="0" w:after="0"/>
              <w:ind w:left="0" w:right="0" w:firstLine="30"/>
              <w:jc w:val="right"/>
              <w:rPr/>
            </w:pPr>
            <w:hyperlink w:anchor="s7492BDE14C46D20632E86FA02E85176B">
              <w:r>
                <w:rPr>
                  <w:rStyle w:val="InternetLink"/>
                  <w:rFonts w:ascii="Times New Roman" w:hAnsi="Times New Roman"/>
                  <w:color w:val="0000FF"/>
                  <w:sz w:val="17"/>
                  <w:u w:val="single"/>
                </w:rPr>
                <w:t>5</w:t>
              </w:r>
            </w:hyperlink>
          </w:p>
        </w:tc>
      </w:tr>
      <w:tr>
        <w:trPr/>
        <w:tc>
          <w:tcPr>
            <w:tcW w:w="6193" w:type="dxa"/>
            <w:tcBorders/>
            <w:shd w:fill="auto" w:val="clear"/>
            <w:vAlign w:val="center"/>
          </w:tcPr>
          <w:p>
            <w:pPr>
              <w:pStyle w:val="TableContents"/>
              <w:spacing w:before="0" w:after="0"/>
              <w:ind w:left="0" w:right="0" w:firstLine="30"/>
              <w:rPr/>
            </w:pPr>
            <w:hyperlink w:anchor="s99FAE426D05CE050B9546FA02EB60612">
              <w:r>
                <w:rPr>
                  <w:rStyle w:val="InternetLink"/>
                  <w:rFonts w:ascii="inherit" w:hAnsi="inherit"/>
                  <w:color w:val="0000FF"/>
                  <w:sz w:val="17"/>
                  <w:u w:val="single"/>
                </w:rPr>
                <w:t>LEGAL MATTERS</w:t>
              </w:r>
            </w:hyperlink>
          </w:p>
        </w:tc>
        <w:tc>
          <w:tcPr>
            <w:tcW w:w="395" w:type="dxa"/>
            <w:tcBorders/>
            <w:shd w:fill="auto" w:val="clear"/>
            <w:vAlign w:val="center"/>
          </w:tcPr>
          <w:p>
            <w:pPr>
              <w:pStyle w:val="TableContents"/>
              <w:spacing w:before="0" w:after="0"/>
              <w:ind w:left="0" w:right="0" w:firstLine="30"/>
              <w:jc w:val="right"/>
              <w:rPr/>
            </w:pPr>
            <w:hyperlink w:anchor="s99FAE426D05CE050B9546FA02EB60612">
              <w:r>
                <w:rPr>
                  <w:rStyle w:val="InternetLink"/>
                  <w:rFonts w:ascii="Times New Roman" w:hAnsi="Times New Roman"/>
                  <w:color w:val="0000FF"/>
                  <w:sz w:val="17"/>
                  <w:u w:val="single"/>
                </w:rPr>
                <w:t>8</w:t>
              </w:r>
            </w:hyperlink>
          </w:p>
        </w:tc>
      </w:tr>
      <w:tr>
        <w:trPr/>
        <w:tc>
          <w:tcPr>
            <w:tcW w:w="6193" w:type="dxa"/>
            <w:tcBorders/>
            <w:shd w:fill="auto" w:val="clear"/>
            <w:vAlign w:val="center"/>
          </w:tcPr>
          <w:p>
            <w:pPr>
              <w:pStyle w:val="TableContents"/>
              <w:spacing w:before="0" w:after="0"/>
              <w:ind w:left="0" w:right="0" w:firstLine="30"/>
              <w:rPr/>
            </w:pPr>
            <w:hyperlink w:anchor="s7D60E64F54731D41F8E76FA02ED88289">
              <w:r>
                <w:rPr>
                  <w:rStyle w:val="InternetLink"/>
                  <w:rFonts w:ascii="inherit" w:hAnsi="inherit"/>
                  <w:color w:val="0000FF"/>
                  <w:sz w:val="17"/>
                  <w:u w:val="single"/>
                </w:rPr>
                <w:t>EXPERTS</w:t>
              </w:r>
            </w:hyperlink>
          </w:p>
        </w:tc>
        <w:tc>
          <w:tcPr>
            <w:tcW w:w="395" w:type="dxa"/>
            <w:tcBorders/>
            <w:shd w:fill="auto" w:val="clear"/>
            <w:vAlign w:val="center"/>
          </w:tcPr>
          <w:p>
            <w:pPr>
              <w:pStyle w:val="TableContents"/>
              <w:spacing w:before="0" w:after="0"/>
              <w:ind w:left="0" w:right="0" w:firstLine="30"/>
              <w:jc w:val="right"/>
              <w:rPr/>
            </w:pPr>
            <w:hyperlink w:anchor="s7D60E64F54731D41F8E76FA02ED88289">
              <w:r>
                <w:rPr>
                  <w:rStyle w:val="InternetLink"/>
                  <w:rFonts w:ascii="Times New Roman" w:hAnsi="Times New Roman"/>
                  <w:color w:val="0000FF"/>
                  <w:sz w:val="17"/>
                  <w:u w:val="single"/>
                </w:rPr>
                <w:t>8</w:t>
              </w:r>
            </w:hyperlink>
          </w:p>
        </w:tc>
      </w:tr>
      <w:tr>
        <w:trPr/>
        <w:tc>
          <w:tcPr>
            <w:tcW w:w="6193" w:type="dxa"/>
            <w:tcBorders/>
            <w:shd w:fill="auto" w:val="clear"/>
            <w:vAlign w:val="center"/>
          </w:tcPr>
          <w:p>
            <w:pPr>
              <w:pStyle w:val="TableContents"/>
              <w:spacing w:before="0" w:after="0"/>
              <w:ind w:left="0" w:right="0" w:firstLine="30"/>
              <w:rPr/>
            </w:pPr>
            <w:hyperlink w:anchor="s234C946FC47D6AFF2A356FA02F0D1541">
              <w:r>
                <w:rPr>
                  <w:rStyle w:val="InternetLink"/>
                  <w:rFonts w:ascii="inherit" w:hAnsi="inherit"/>
                  <w:color w:val="0000FF"/>
                  <w:sz w:val="17"/>
                  <w:u w:val="single"/>
                </w:rPr>
                <w:t>WHERE YOU CAN FIND MORE INFORMATION</w:t>
              </w:r>
            </w:hyperlink>
          </w:p>
        </w:tc>
        <w:tc>
          <w:tcPr>
            <w:tcW w:w="395" w:type="dxa"/>
            <w:tcBorders/>
            <w:shd w:fill="auto" w:val="clear"/>
            <w:vAlign w:val="center"/>
          </w:tcPr>
          <w:p>
            <w:pPr>
              <w:pStyle w:val="TableContents"/>
              <w:spacing w:before="0" w:after="0"/>
              <w:ind w:left="0" w:right="0" w:firstLine="30"/>
              <w:jc w:val="right"/>
              <w:rPr/>
            </w:pPr>
            <w:hyperlink w:anchor="s234C946FC47D6AFF2A356FA02F0D1541">
              <w:r>
                <w:rPr>
                  <w:rStyle w:val="InternetLink"/>
                  <w:rFonts w:ascii="Times New Roman" w:hAnsi="Times New Roman"/>
                  <w:color w:val="0000FF"/>
                  <w:sz w:val="17"/>
                  <w:u w:val="single"/>
                </w:rPr>
                <w:t>8</w:t>
              </w:r>
            </w:hyperlink>
          </w:p>
        </w:tc>
      </w:tr>
      <w:tr>
        <w:trPr/>
        <w:tc>
          <w:tcPr>
            <w:tcW w:w="6193" w:type="dxa"/>
            <w:tcBorders/>
            <w:shd w:fill="auto" w:val="clear"/>
            <w:vAlign w:val="center"/>
          </w:tcPr>
          <w:p>
            <w:pPr>
              <w:pStyle w:val="TableContents"/>
              <w:spacing w:before="0" w:after="0"/>
              <w:ind w:left="0" w:right="0" w:firstLine="30"/>
              <w:rPr/>
            </w:pPr>
            <w:hyperlink w:anchor="s2E3F1F9640D1D6234C7E6FA02F2BD441">
              <w:r>
                <w:rPr>
                  <w:rStyle w:val="InternetLink"/>
                  <w:rFonts w:ascii="inherit" w:hAnsi="inherit"/>
                  <w:color w:val="0000FF"/>
                  <w:sz w:val="17"/>
                  <w:u w:val="single"/>
                </w:rPr>
                <w:t>INCORPORATION OF DOCUMENTS BY REFERENCE</w:t>
              </w:r>
            </w:hyperlink>
          </w:p>
        </w:tc>
        <w:tc>
          <w:tcPr>
            <w:tcW w:w="395" w:type="dxa"/>
            <w:tcBorders/>
            <w:shd w:fill="auto" w:val="clear"/>
            <w:vAlign w:val="center"/>
          </w:tcPr>
          <w:p>
            <w:pPr>
              <w:pStyle w:val="TableContents"/>
              <w:spacing w:before="0" w:after="0"/>
              <w:jc w:val="right"/>
              <w:rPr/>
            </w:pPr>
            <w:hyperlink w:anchor="s2E3F1F9640D1D6234C7E6FA02F2BD441">
              <w:r>
                <w:rPr>
                  <w:rStyle w:val="InternetLink"/>
                  <w:rFonts w:ascii="Times New Roman" w:hAnsi="Times New Roman"/>
                  <w:color w:val="0000FF"/>
                  <w:sz w:val="17"/>
                  <w:u w:val="single"/>
                </w:rPr>
                <w:t>8</w:t>
              </w:r>
            </w:hyperlink>
          </w:p>
        </w:tc>
      </w:tr>
    </w:tbl>
    <w:p>
      <w:pPr>
        <w:pStyle w:val="TextBody"/>
        <w:spacing w:lineRule="auto" w:line="288" w:before="0" w:after="0"/>
        <w:jc w:val="left"/>
        <w:rPr>
          <w:rFonts w:ascii="inherit" w:hAnsi="inherit"/>
          <w:b/>
          <w:sz w:val="17"/>
        </w:rPr>
      </w:pPr>
      <w:r>
        <w:rPr>
          <w:rFonts w:ascii="inherit" w:hAnsi="inherit"/>
          <w:b/>
          <w:sz w:val="17"/>
        </w:rPr>
        <w:t>You should rely only on the information contained or incorporated by reference in this prospectus and any accompanying prospectus supplement. We have not authorized anyone to provide you with additional or different information. This prospectus is not an offer to sell, nor a solicitation of an offer to buy, these securities in any jurisdiction where such offer or sale is not permitted.</w:t>
      </w:r>
    </w:p>
    <w:p>
      <w:pPr>
        <w:pStyle w:val="TextBody"/>
        <w:spacing w:lineRule="auto" w:line="288" w:before="0" w:after="0"/>
        <w:jc w:val="left"/>
        <w:rPr>
          <w:rFonts w:ascii="inherit" w:hAnsi="inherit"/>
          <w:sz w:val="17"/>
        </w:rPr>
      </w:pPr>
      <w:r>
        <w:rPr>
          <w:rFonts w:ascii="inherit" w:hAnsi="inherit"/>
          <w:sz w:val="17"/>
        </w:rPr>
        <w:t>The information in this prospectus is accurate as of the date on the front cover. You should not assume that the information contained in this prospectus is accurate as of any other date or that any information we have incorporated by reference is accurate as of any date other than the date of the documents incorporated by reference. Our business, financial condition, results of operations and prospects may have changed since those dates.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i</w:t>
      </w:r>
      <w:r>
        <w:br w:type="page"/>
      </w:r>
    </w:p>
    <w:p>
      <w:pPr>
        <w:pStyle w:val="TextBody"/>
        <w:spacing w:before="0" w:after="0"/>
        <w:rPr/>
      </w:pPr>
      <w:r>
        <w:rPr/>
      </w:r>
      <w:bookmarkStart w:id="12" w:name="s31747D53E2DD6873EA596FA02DBFE38E"/>
      <w:bookmarkStart w:id="13" w:name="s31747D53E2DD6873EA596FA02DBFE38E"/>
      <w:bookmarkEnd w:id="13"/>
    </w:p>
    <w:p>
      <w:pPr>
        <w:pStyle w:val="TextBody"/>
        <w:spacing w:lineRule="auto" w:line="288" w:before="0" w:after="0"/>
        <w:jc w:val="center"/>
        <w:rPr>
          <w:rFonts w:ascii="inherit" w:hAnsi="inherit"/>
          <w:b/>
          <w:sz w:val="17"/>
        </w:rPr>
      </w:pPr>
      <w:r>
        <w:rPr>
          <w:rFonts w:ascii="inherit" w:hAnsi="inherit"/>
          <w:b/>
          <w:sz w:val="17"/>
        </w:rPr>
        <w:t>ABOUT EZCORP, INC.</w:t>
      </w:r>
    </w:p>
    <w:p>
      <w:pPr>
        <w:pStyle w:val="TextBody"/>
        <w:spacing w:lineRule="auto" w:line="288" w:before="0" w:after="0"/>
        <w:ind w:left="0" w:right="0" w:firstLine="720"/>
        <w:jc w:val="left"/>
        <w:rPr>
          <w:rFonts w:ascii="inherit" w:hAnsi="inherit"/>
          <w:sz w:val="17"/>
        </w:rPr>
      </w:pPr>
      <w:r>
        <w:rPr>
          <w:rFonts w:ascii="inherit" w:hAnsi="inherit"/>
          <w:sz w:val="17"/>
        </w:rPr>
        <w:t>EZCORP, Inc. is a leading provider of instant cash solutions. We provide a variety of instant cash solutions, including collateralized, non-recourse loans, commonly known as pawn loans, and a variety of short-term consumer loans, including single-payment and multiple-payment unsecured loans and single-payment and multiple-payment auto title loans. In Texas, we provide fee-based credit services to consumers seeking loans. At our pawn and buy/sell stores, we sell merchandise, primarily collateral forfeited from pawn lending operations and second-hand merchandise purchased from customers. We also offer prepaid debit card services to help customers better manage their money and control their spending.</w:t>
      </w:r>
    </w:p>
    <w:p>
      <w:pPr>
        <w:pStyle w:val="TextBody"/>
        <w:spacing w:lineRule="auto" w:line="288" w:before="0" w:after="0"/>
        <w:ind w:left="0" w:right="0" w:firstLine="720"/>
        <w:jc w:val="left"/>
        <w:rPr>
          <w:rFonts w:ascii="inherit" w:hAnsi="inherit"/>
          <w:sz w:val="17"/>
        </w:rPr>
      </w:pPr>
      <w:r>
        <w:rPr>
          <w:rFonts w:ascii="inherit" w:hAnsi="inherit"/>
          <w:sz w:val="17"/>
        </w:rPr>
        <w:t xml:space="preserve">At June 30, 2013, we operated a total of 1,424 locations in the United States, Mexico and Canada. We conduct our operations through our subsidiaries. We own 100% of Ariste Holding Limited, which offers short-term consumer loans online in the United Kingdom under the name “Cash Genie,” 60% of Prestaciones Finmart, S.A. de C.V., SOFM, E.N.R., a leading payroll withholding lender headquartered in Mexico City doing business under the brands “Crediamigo” and “Adex” and 51% of Renueva Comercial S.A. de C.V., a company headquartered in Mexico City that owns and operates 19 buy/sell stores in Mexico City and the surrounding metropolitan area. In addition, we own approximately 30% of Albemarle &amp; Bond Holdings, PLC, one of the United Kingdom's largest pawnbroking businesses with approximately 230 stores, and approximately 33% of Cash Converters International Limited, which is based in Australia and franchises and operates a worldwide network of approximately 700 locations that provide financial services and buy and sell second-hand goods. </w:t>
      </w:r>
    </w:p>
    <w:p>
      <w:pPr>
        <w:pStyle w:val="TextBody"/>
        <w:spacing w:lineRule="auto" w:line="288" w:before="0" w:after="0"/>
        <w:ind w:left="0" w:right="0" w:firstLine="720"/>
        <w:jc w:val="left"/>
        <w:rPr>
          <w:sz w:val="17"/>
        </w:rPr>
      </w:pPr>
      <w:r>
        <w:rPr>
          <w:rFonts w:ascii="inherit" w:hAnsi="inherit"/>
          <w:sz w:val="17"/>
        </w:rPr>
        <w:t>On October 2, 2013, EZCORP, Inc., a Delaware corporation (“Old EZCORP”), effected an internal reorganization transaction structured as a merger (the “</w:t>
      </w:r>
      <w:r>
        <w:rPr>
          <w:rFonts w:ascii="inherit" w:hAnsi="inherit"/>
          <w:sz w:val="17"/>
          <w:u w:val="single"/>
        </w:rPr>
        <w:t>Reorganization</w:t>
      </w:r>
      <w:r>
        <w:rPr>
          <w:sz w:val="17"/>
        </w:rPr>
        <w:t>”</w:t>
      </w:r>
      <w:r>
        <w:rPr>
          <w:rFonts w:ascii="inherit" w:hAnsi="inherit"/>
          <w:sz w:val="17"/>
        </w:rPr>
        <w:t>). In the Reorganization, Old EZCORP merged with and into a newly formed Delaware corporation and wholly owned subsidiary of Old EZCORP (“New EZCORP”), with New EZCORP continuing as the surviving corporation under the name “EZCORP, Inc.” and assuming all assets and liabilities of Old EZCORP. Unless otherwise specified, references in this prospectus to EZCORP, Inc. prior to the Reorganization refer to Old EZCORP and its consolidated subsidiaries, all references to EZCORP, Inc. after the Reorganization refer to New EZCORP and its consolidated subsidiaries and all references to “we,” “us,” “our” or similar terms refer to EZCORP, Inc. and its consolidated subsidiaries.</w:t>
      </w:r>
    </w:p>
    <w:p>
      <w:pPr>
        <w:pStyle w:val="TextBody"/>
        <w:spacing w:lineRule="auto" w:line="288" w:before="0" w:after="0"/>
        <w:ind w:left="0" w:right="0" w:firstLine="720"/>
        <w:jc w:val="left"/>
        <w:rPr>
          <w:rFonts w:ascii="inherit" w:hAnsi="inherit"/>
          <w:sz w:val="17"/>
        </w:rPr>
      </w:pPr>
      <w:r>
        <w:rPr>
          <w:rFonts w:ascii="inherit" w:hAnsi="inherit"/>
          <w:sz w:val="17"/>
        </w:rPr>
        <w:t xml:space="preserve">EZCORP, Inc. is a Delaware corporation headquartered in Austin, Texas. Our principal executive offices are located at 1901 Capital Parkway, Austin, Texas 78746, and our telephone number is 512-314-3400. Our website address is www.ezcorp.com. </w:t>
      </w:r>
    </w:p>
    <w:p>
      <w:pPr>
        <w:pStyle w:val="TextBody"/>
        <w:spacing w:lineRule="auto" w:line="288" w:before="0" w:after="0"/>
        <w:jc w:val="center"/>
        <w:rPr>
          <w:rFonts w:ascii="inherit" w:hAnsi="inherit"/>
          <w:b/>
          <w:sz w:val="17"/>
        </w:rPr>
      </w:pPr>
      <w:bookmarkStart w:id="14" w:name="s1322F7CB459DA14D8E846FA02DDFE569"/>
      <w:bookmarkEnd w:id="14"/>
      <w:r>
        <w:rPr>
          <w:rFonts w:ascii="inherit" w:hAnsi="inherit"/>
          <w:b/>
          <w:sz w:val="17"/>
        </w:rPr>
        <w:t>RISK FACTORS</w:t>
      </w:r>
    </w:p>
    <w:p>
      <w:pPr>
        <w:pStyle w:val="TextBody"/>
        <w:spacing w:lineRule="auto" w:line="288" w:before="0" w:after="0"/>
        <w:ind w:left="0" w:right="0" w:firstLine="720"/>
        <w:jc w:val="left"/>
        <w:rPr>
          <w:rFonts w:ascii="inherit" w:hAnsi="inherit"/>
          <w:sz w:val="17"/>
        </w:rPr>
      </w:pPr>
      <w:r>
        <w:rPr>
          <w:rFonts w:ascii="inherit" w:hAnsi="inherit"/>
          <w:sz w:val="17"/>
        </w:rPr>
        <w:t xml:space="preserve">Investing in our Class A Non-Voting Common Stock involves risks. Before you decide whether to purchase any of our Class A Non-Voting Common Stock, you should carefully consider the risk factors set forth under the heading “Risk Factors” in our most recent Annual Report on Form 10-K, as supplemented by subsequent Quarterly Reports on Form 10-Q and Current Reports on Form 8-K, to the extent applicable, each of which is incorporated herein by reference as set forth below under “Incorporation of Documents by Reference,” and those risk factors that may be included or incorporated by reference under the caption “Risk Factors” in any applicable prospectus supplement, together with all of the other information included in this prospectus, any applicable prospectus supplement and the documents we incorporate by reference. If any of the risks discussed in the foregoing documents were to occur, our business, financial condition, results of operations and prospects could be materially adversely affected and the trading price of our Class A Non-Voting Common Stock could decline and you may lose all or part of your investment. </w:t>
      </w:r>
    </w:p>
    <w:p>
      <w:pPr>
        <w:pStyle w:val="TextBody"/>
        <w:spacing w:lineRule="auto" w:line="288" w:before="0" w:after="0"/>
        <w:jc w:val="center"/>
        <w:rPr>
          <w:rFonts w:ascii="inherit" w:hAnsi="inherit"/>
          <w:b/>
          <w:sz w:val="17"/>
        </w:rPr>
      </w:pPr>
      <w:bookmarkStart w:id="15" w:name="s6E0051ECC61BC23848356FA02E0F7C6E"/>
      <w:bookmarkEnd w:id="15"/>
      <w:r>
        <w:rPr>
          <w:rFonts w:ascii="inherit" w:hAnsi="inherit"/>
          <w:b/>
          <w:sz w:val="17"/>
        </w:rPr>
        <w:t>CAUTIONARY STATEMENT REGARDING FORWARD-LOOKING STATEMENTS</w:t>
      </w:r>
    </w:p>
    <w:p>
      <w:pPr>
        <w:pStyle w:val="TextBody"/>
        <w:spacing w:lineRule="auto" w:line="288" w:before="0" w:after="0"/>
        <w:ind w:left="0" w:right="0" w:firstLine="720"/>
        <w:jc w:val="left"/>
        <w:rPr>
          <w:rFonts w:ascii="inherit" w:hAnsi="inherit"/>
          <w:sz w:val="17"/>
        </w:rPr>
      </w:pPr>
      <w:r>
        <w:rPr>
          <w:rFonts w:ascii="inherit" w:hAnsi="inherit"/>
          <w:sz w:val="17"/>
        </w:rPr>
        <w:t xml:space="preserve">This prospectus and the documents incorporated by reference herein contain “forward-looking statements” within the meaning of Section 27A of the Securities Act of 1933 (the “Securities Act”) and Section 21E of the Securities Exchange Act of 1934 (the “Exchange Act”). We intend that all forward-looking statements be subject to the safe harbors created by these laws. All statements, other than statements of historical facts, included or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w:t>
      </w:r>
      <w:r>
        <w:br w:type="page"/>
      </w:r>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 xml:space="preserve">incorporated herein regarding our strategy, future operations, financial position, future revenues, projected costs, prospects, plans and objectives are forward-looking statements. The words “may,” “can,” “should,” “could,” “will,” “would,” “predict,” “anticipate,” “believe,” “estimate,” “expect,” “intend,” “plan,” “project” and similar expressions are intended to identify forward-looking statements, although not all forward-looking statements contain these identifying words. Such statements are only predictions of the outcome and timing of future events based on our current expectations and currently available information. Actual results could differ materially from those expressed in the forward-looking statements due to a number of risks and uncertainties, many of which are beyond our control. Accordingly, you should not regard any forward-looking statement as a representation that the expected results will be achieved. </w:t>
      </w:r>
    </w:p>
    <w:p>
      <w:pPr>
        <w:pStyle w:val="TextBody"/>
        <w:spacing w:lineRule="auto" w:line="288" w:before="0" w:after="0"/>
        <w:ind w:left="0" w:right="0" w:firstLine="720"/>
        <w:jc w:val="left"/>
        <w:rPr>
          <w:rFonts w:ascii="inherit" w:hAnsi="inherit"/>
          <w:sz w:val="17"/>
        </w:rPr>
      </w:pPr>
      <w:r>
        <w:rPr>
          <w:rFonts w:ascii="inherit" w:hAnsi="inherit"/>
          <w:sz w:val="17"/>
        </w:rPr>
        <w:t>Known risk factors that could cause results or events to differ from current expectations are identified and discussed in our filings with the Securities and Exchange Commission (the “SEC”). These risk factors include, without limitation, the following:</w:t>
      </w:r>
    </w:p>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Changes in laws and regulations, including regulation of our financial services business by the Consumer Financial Protection Bureau;</w:t>
            </w:r>
          </w:p>
        </w:tc>
      </w:tr>
    </w:tbl>
    <w:tbl>
      <w:tblPr>
        <w:tblW w:w="4180" w:type="dxa"/>
        <w:jc w:val="left"/>
        <w:tblInd w:w="0" w:type="dxa"/>
        <w:tblCellMar>
          <w:top w:w="0" w:type="dxa"/>
          <w:left w:w="0" w:type="dxa"/>
          <w:bottom w:w="0" w:type="dxa"/>
          <w:right w:w="0" w:type="dxa"/>
        </w:tblCellMar>
      </w:tblPr>
      <w:tblGrid>
        <w:gridCol w:w="1205"/>
        <w:gridCol w:w="2975"/>
      </w:tblGrid>
      <w:tr>
        <w:trPr/>
        <w:tc>
          <w:tcPr>
            <w:tcW w:w="1205" w:type="dxa"/>
            <w:tcBorders/>
            <w:shd w:fill="auto" w:val="clear"/>
            <w:vAlign w:val="center"/>
          </w:tcPr>
          <w:p>
            <w:pPr>
              <w:pStyle w:val="TableContents"/>
              <w:spacing w:before="0" w:after="283"/>
              <w:rPr>
                <w:sz w:val="4"/>
                <w:szCs w:val="4"/>
              </w:rPr>
            </w:pPr>
            <w:r>
              <w:rPr>
                <w:sz w:val="4"/>
                <w:szCs w:val="4"/>
              </w:rPr>
            </w:r>
          </w:p>
        </w:tc>
        <w:tc>
          <w:tcPr>
            <w:tcW w:w="2975"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297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Changes in gold prices or volumes;</w:t>
            </w:r>
          </w:p>
        </w:tc>
      </w:tr>
    </w:tbl>
    <w:tbl>
      <w:tblPr>
        <w:tblW w:w="4555" w:type="dxa"/>
        <w:jc w:val="left"/>
        <w:tblInd w:w="0" w:type="dxa"/>
        <w:tblCellMar>
          <w:top w:w="0" w:type="dxa"/>
          <w:left w:w="0" w:type="dxa"/>
          <w:bottom w:w="0" w:type="dxa"/>
          <w:right w:w="0" w:type="dxa"/>
        </w:tblCellMar>
      </w:tblPr>
      <w:tblGrid>
        <w:gridCol w:w="1205"/>
        <w:gridCol w:w="3350"/>
      </w:tblGrid>
      <w:tr>
        <w:trPr/>
        <w:tc>
          <w:tcPr>
            <w:tcW w:w="1205" w:type="dxa"/>
            <w:tcBorders/>
            <w:shd w:fill="auto" w:val="clear"/>
            <w:vAlign w:val="center"/>
          </w:tcPr>
          <w:p>
            <w:pPr>
              <w:pStyle w:val="TableContents"/>
              <w:spacing w:before="0" w:after="283"/>
              <w:rPr>
                <w:sz w:val="4"/>
                <w:szCs w:val="4"/>
              </w:rPr>
            </w:pPr>
            <w:r>
              <w:rPr>
                <w:sz w:val="4"/>
                <w:szCs w:val="4"/>
              </w:rPr>
            </w:r>
          </w:p>
        </w:tc>
        <w:tc>
          <w:tcPr>
            <w:tcW w:w="335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335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concentration of business in Texas;</w:t>
            </w:r>
          </w:p>
        </w:tc>
      </w:tr>
    </w:tbl>
    <w:tbl>
      <w:tblPr>
        <w:tblW w:w="5020" w:type="dxa"/>
        <w:jc w:val="left"/>
        <w:tblInd w:w="0" w:type="dxa"/>
        <w:tblCellMar>
          <w:top w:w="0" w:type="dxa"/>
          <w:left w:w="0" w:type="dxa"/>
          <w:bottom w:w="0" w:type="dxa"/>
          <w:right w:w="0" w:type="dxa"/>
        </w:tblCellMar>
      </w:tblPr>
      <w:tblGrid>
        <w:gridCol w:w="1205"/>
        <w:gridCol w:w="3815"/>
      </w:tblGrid>
      <w:tr>
        <w:trPr/>
        <w:tc>
          <w:tcPr>
            <w:tcW w:w="1205" w:type="dxa"/>
            <w:tcBorders/>
            <w:shd w:fill="auto" w:val="clear"/>
            <w:vAlign w:val="center"/>
          </w:tcPr>
          <w:p>
            <w:pPr>
              <w:pStyle w:val="TableContents"/>
              <w:spacing w:before="0" w:after="283"/>
              <w:rPr>
                <w:sz w:val="4"/>
                <w:szCs w:val="4"/>
              </w:rPr>
            </w:pPr>
            <w:r>
              <w:rPr>
                <w:sz w:val="4"/>
                <w:szCs w:val="4"/>
              </w:rPr>
            </w:r>
          </w:p>
        </w:tc>
        <w:tc>
          <w:tcPr>
            <w:tcW w:w="3815"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381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Changes in foreign currency exchange rates;</w:t>
            </w:r>
          </w:p>
        </w:tc>
      </w:tr>
    </w:tbl>
    <w:tbl>
      <w:tblPr>
        <w:tblW w:w="3730" w:type="dxa"/>
        <w:jc w:val="left"/>
        <w:tblInd w:w="0" w:type="dxa"/>
        <w:tblCellMar>
          <w:top w:w="0" w:type="dxa"/>
          <w:left w:w="0" w:type="dxa"/>
          <w:bottom w:w="0" w:type="dxa"/>
          <w:right w:w="0" w:type="dxa"/>
        </w:tblCellMar>
      </w:tblPr>
      <w:tblGrid>
        <w:gridCol w:w="1205"/>
        <w:gridCol w:w="2525"/>
      </w:tblGrid>
      <w:tr>
        <w:trPr/>
        <w:tc>
          <w:tcPr>
            <w:tcW w:w="1205" w:type="dxa"/>
            <w:tcBorders/>
            <w:shd w:fill="auto" w:val="clear"/>
            <w:vAlign w:val="center"/>
          </w:tcPr>
          <w:p>
            <w:pPr>
              <w:pStyle w:val="TableContents"/>
              <w:spacing w:before="0" w:after="283"/>
              <w:rPr>
                <w:sz w:val="4"/>
                <w:szCs w:val="4"/>
              </w:rPr>
            </w:pPr>
            <w:r>
              <w:rPr>
                <w:sz w:val="4"/>
                <w:szCs w:val="4"/>
              </w:rPr>
            </w:r>
          </w:p>
        </w:tc>
        <w:tc>
          <w:tcPr>
            <w:tcW w:w="2525"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252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General economic conditions;</w:t>
            </w:r>
          </w:p>
        </w:tc>
      </w:tr>
    </w:tbl>
    <w:tbl>
      <w:tblPr>
        <w:tblW w:w="5740" w:type="dxa"/>
        <w:jc w:val="left"/>
        <w:tblInd w:w="0" w:type="dxa"/>
        <w:tblCellMar>
          <w:top w:w="0" w:type="dxa"/>
          <w:left w:w="0" w:type="dxa"/>
          <w:bottom w:w="0" w:type="dxa"/>
          <w:right w:w="0" w:type="dxa"/>
        </w:tblCellMar>
      </w:tblPr>
      <w:tblGrid>
        <w:gridCol w:w="1205"/>
        <w:gridCol w:w="4535"/>
      </w:tblGrid>
      <w:tr>
        <w:trPr/>
        <w:tc>
          <w:tcPr>
            <w:tcW w:w="1205" w:type="dxa"/>
            <w:tcBorders/>
            <w:shd w:fill="auto" w:val="clear"/>
            <w:vAlign w:val="center"/>
          </w:tcPr>
          <w:p>
            <w:pPr>
              <w:pStyle w:val="TableContents"/>
              <w:spacing w:before="0" w:after="283"/>
              <w:rPr>
                <w:sz w:val="4"/>
                <w:szCs w:val="4"/>
              </w:rPr>
            </w:pPr>
            <w:r>
              <w:rPr>
                <w:sz w:val="4"/>
                <w:szCs w:val="4"/>
              </w:rPr>
            </w:r>
          </w:p>
        </w:tc>
        <w:tc>
          <w:tcPr>
            <w:tcW w:w="4535"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453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Changes in our relationships with unaffiliated lenders;</w:t>
            </w:r>
          </w:p>
        </w:tc>
      </w:tr>
    </w:tbl>
    <w:tbl>
      <w:tblPr>
        <w:tblW w:w="8815" w:type="dxa"/>
        <w:jc w:val="left"/>
        <w:tblInd w:w="0" w:type="dxa"/>
        <w:tblCellMar>
          <w:top w:w="0" w:type="dxa"/>
          <w:left w:w="0" w:type="dxa"/>
          <w:bottom w:w="0" w:type="dxa"/>
          <w:right w:w="0" w:type="dxa"/>
        </w:tblCellMar>
      </w:tblPr>
      <w:tblGrid>
        <w:gridCol w:w="1205"/>
        <w:gridCol w:w="7610"/>
      </w:tblGrid>
      <w:tr>
        <w:trPr/>
        <w:tc>
          <w:tcPr>
            <w:tcW w:w="1205" w:type="dxa"/>
            <w:tcBorders/>
            <w:shd w:fill="auto" w:val="clear"/>
            <w:vAlign w:val="center"/>
          </w:tcPr>
          <w:p>
            <w:pPr>
              <w:pStyle w:val="TableContents"/>
              <w:spacing w:before="0" w:after="283"/>
              <w:rPr>
                <w:sz w:val="4"/>
                <w:szCs w:val="4"/>
              </w:rPr>
            </w:pPr>
            <w:r>
              <w:rPr>
                <w:sz w:val="4"/>
                <w:szCs w:val="4"/>
              </w:rPr>
            </w:r>
          </w:p>
        </w:tc>
        <w:tc>
          <w:tcPr>
            <w:tcW w:w="761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761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Our ability to continue growing our store count through acquisitions and de novo openings;</w:t>
            </w:r>
          </w:p>
        </w:tc>
      </w:tr>
    </w:tbl>
    <w:tbl>
      <w:tblPr>
        <w:tblW w:w="6700" w:type="dxa"/>
        <w:jc w:val="left"/>
        <w:tblInd w:w="0" w:type="dxa"/>
        <w:tblCellMar>
          <w:top w:w="0" w:type="dxa"/>
          <w:left w:w="0" w:type="dxa"/>
          <w:bottom w:w="0" w:type="dxa"/>
          <w:right w:w="0" w:type="dxa"/>
        </w:tblCellMar>
      </w:tblPr>
      <w:tblGrid>
        <w:gridCol w:w="1205"/>
        <w:gridCol w:w="5495"/>
      </w:tblGrid>
      <w:tr>
        <w:trPr/>
        <w:tc>
          <w:tcPr>
            <w:tcW w:w="1205" w:type="dxa"/>
            <w:tcBorders/>
            <w:shd w:fill="auto" w:val="clear"/>
            <w:vAlign w:val="center"/>
          </w:tcPr>
          <w:p>
            <w:pPr>
              <w:pStyle w:val="TableContents"/>
              <w:spacing w:before="0" w:after="283"/>
              <w:rPr>
                <w:sz w:val="4"/>
                <w:szCs w:val="4"/>
              </w:rPr>
            </w:pPr>
            <w:r>
              <w:rPr>
                <w:sz w:val="4"/>
                <w:szCs w:val="4"/>
              </w:rPr>
            </w:r>
          </w:p>
        </w:tc>
        <w:tc>
          <w:tcPr>
            <w:tcW w:w="5495"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549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Changes in the business, regulatory or political climate in Mexico;</w:t>
            </w:r>
          </w:p>
        </w:tc>
      </w:tr>
    </w:tbl>
    <w:tbl>
      <w:tblPr>
        <w:tblW w:w="10105" w:type="dxa"/>
        <w:jc w:val="left"/>
        <w:tblInd w:w="0" w:type="dxa"/>
        <w:tblCellMar>
          <w:top w:w="0" w:type="dxa"/>
          <w:left w:w="0" w:type="dxa"/>
          <w:bottom w:w="0" w:type="dxa"/>
          <w:right w:w="0" w:type="dxa"/>
        </w:tblCellMar>
      </w:tblPr>
      <w:tblGrid>
        <w:gridCol w:w="1205"/>
        <w:gridCol w:w="8900"/>
      </w:tblGrid>
      <w:tr>
        <w:trPr/>
        <w:tc>
          <w:tcPr>
            <w:tcW w:w="1205" w:type="dxa"/>
            <w:tcBorders/>
            <w:shd w:fill="auto" w:val="clear"/>
            <w:vAlign w:val="center"/>
          </w:tcPr>
          <w:p>
            <w:pPr>
              <w:pStyle w:val="TableContents"/>
              <w:spacing w:before="0" w:after="283"/>
              <w:rPr>
                <w:sz w:val="4"/>
                <w:szCs w:val="4"/>
              </w:rPr>
            </w:pPr>
            <w:r>
              <w:rPr>
                <w:sz w:val="4"/>
                <w:szCs w:val="4"/>
              </w:rPr>
            </w:r>
          </w:p>
        </w:tc>
        <w:tc>
          <w:tcPr>
            <w:tcW w:w="89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89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Changes in pawn redemption rates, loan default and collection rates or other important operating metrics;</w:t>
            </w:r>
          </w:p>
        </w:tc>
      </w:tr>
    </w:tbl>
    <w:tbl>
      <w:tblPr>
        <w:tblW w:w="8260" w:type="dxa"/>
        <w:jc w:val="left"/>
        <w:tblInd w:w="0" w:type="dxa"/>
        <w:tblCellMar>
          <w:top w:w="0" w:type="dxa"/>
          <w:left w:w="0" w:type="dxa"/>
          <w:bottom w:w="0" w:type="dxa"/>
          <w:right w:w="0" w:type="dxa"/>
        </w:tblCellMar>
      </w:tblPr>
      <w:tblGrid>
        <w:gridCol w:w="1205"/>
        <w:gridCol w:w="7055"/>
      </w:tblGrid>
      <w:tr>
        <w:trPr/>
        <w:tc>
          <w:tcPr>
            <w:tcW w:w="1205" w:type="dxa"/>
            <w:tcBorders/>
            <w:shd w:fill="auto" w:val="clear"/>
            <w:vAlign w:val="center"/>
          </w:tcPr>
          <w:p>
            <w:pPr>
              <w:pStyle w:val="TableContents"/>
              <w:spacing w:before="0" w:after="283"/>
              <w:rPr>
                <w:sz w:val="4"/>
                <w:szCs w:val="4"/>
              </w:rPr>
            </w:pPr>
            <w:r>
              <w:rPr>
                <w:sz w:val="4"/>
                <w:szCs w:val="4"/>
              </w:rPr>
            </w:r>
          </w:p>
        </w:tc>
        <w:tc>
          <w:tcPr>
            <w:tcW w:w="7055"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705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Changes in our liquidity, capital requirements or access to debt and capital markets;</w:t>
            </w:r>
          </w:p>
        </w:tc>
      </w:tr>
    </w:tbl>
    <w:tbl>
      <w:tblPr>
        <w:tblW w:w="4480" w:type="dxa"/>
        <w:jc w:val="left"/>
        <w:tblInd w:w="0" w:type="dxa"/>
        <w:tblCellMar>
          <w:top w:w="0" w:type="dxa"/>
          <w:left w:w="0" w:type="dxa"/>
          <w:bottom w:w="0" w:type="dxa"/>
          <w:right w:w="0" w:type="dxa"/>
        </w:tblCellMar>
      </w:tblPr>
      <w:tblGrid>
        <w:gridCol w:w="1205"/>
        <w:gridCol w:w="3275"/>
      </w:tblGrid>
      <w:tr>
        <w:trPr/>
        <w:tc>
          <w:tcPr>
            <w:tcW w:w="1205" w:type="dxa"/>
            <w:tcBorders/>
            <w:shd w:fill="auto" w:val="clear"/>
            <w:vAlign w:val="center"/>
          </w:tcPr>
          <w:p>
            <w:pPr>
              <w:pStyle w:val="TableContents"/>
              <w:spacing w:before="0" w:after="283"/>
              <w:rPr>
                <w:sz w:val="4"/>
                <w:szCs w:val="4"/>
              </w:rPr>
            </w:pPr>
            <w:r>
              <w:rPr>
                <w:sz w:val="4"/>
                <w:szCs w:val="4"/>
              </w:rPr>
            </w:r>
          </w:p>
        </w:tc>
        <w:tc>
          <w:tcPr>
            <w:tcW w:w="3275"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327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Changes in the competitive landscape;</w:t>
            </w:r>
          </w:p>
        </w:tc>
      </w:tr>
    </w:tbl>
    <w:tbl>
      <w:tblPr>
        <w:tblW w:w="4225" w:type="dxa"/>
        <w:jc w:val="left"/>
        <w:tblInd w:w="0" w:type="dxa"/>
        <w:tblCellMar>
          <w:top w:w="0" w:type="dxa"/>
          <w:left w:w="0" w:type="dxa"/>
          <w:bottom w:w="0" w:type="dxa"/>
          <w:right w:w="0" w:type="dxa"/>
        </w:tblCellMar>
      </w:tblPr>
      <w:tblGrid>
        <w:gridCol w:w="1205"/>
        <w:gridCol w:w="3020"/>
      </w:tblGrid>
      <w:tr>
        <w:trPr/>
        <w:tc>
          <w:tcPr>
            <w:tcW w:w="1205" w:type="dxa"/>
            <w:tcBorders/>
            <w:shd w:fill="auto" w:val="clear"/>
            <w:vAlign w:val="center"/>
          </w:tcPr>
          <w:p>
            <w:pPr>
              <w:pStyle w:val="TableContents"/>
              <w:spacing w:before="0" w:after="283"/>
              <w:rPr>
                <w:sz w:val="4"/>
                <w:szCs w:val="4"/>
              </w:rPr>
            </w:pPr>
            <w:r>
              <w:rPr>
                <w:sz w:val="4"/>
                <w:szCs w:val="4"/>
              </w:rPr>
            </w:r>
          </w:p>
        </w:tc>
        <w:tc>
          <w:tcPr>
            <w:tcW w:w="302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30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Our controlled ownership structure;</w:t>
            </w:r>
          </w:p>
        </w:tc>
      </w:tr>
    </w:tbl>
    <w:tbl>
      <w:tblPr>
        <w:tblW w:w="6100" w:type="dxa"/>
        <w:jc w:val="left"/>
        <w:tblInd w:w="0" w:type="dxa"/>
        <w:tblCellMar>
          <w:top w:w="0" w:type="dxa"/>
          <w:left w:w="0" w:type="dxa"/>
          <w:bottom w:w="0" w:type="dxa"/>
          <w:right w:w="0" w:type="dxa"/>
        </w:tblCellMar>
      </w:tblPr>
      <w:tblGrid>
        <w:gridCol w:w="1205"/>
        <w:gridCol w:w="4895"/>
      </w:tblGrid>
      <w:tr>
        <w:trPr/>
        <w:tc>
          <w:tcPr>
            <w:tcW w:w="1205" w:type="dxa"/>
            <w:tcBorders/>
            <w:shd w:fill="auto" w:val="clear"/>
            <w:vAlign w:val="center"/>
          </w:tcPr>
          <w:p>
            <w:pPr>
              <w:pStyle w:val="TableContents"/>
              <w:spacing w:before="0" w:after="283"/>
              <w:rPr>
                <w:sz w:val="4"/>
                <w:szCs w:val="4"/>
              </w:rPr>
            </w:pPr>
            <w:r>
              <w:rPr>
                <w:sz w:val="4"/>
                <w:szCs w:val="4"/>
              </w:rPr>
            </w:r>
          </w:p>
        </w:tc>
        <w:tc>
          <w:tcPr>
            <w:tcW w:w="4895"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489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Potential infrastructure failures or data security breaches;</w:t>
            </w:r>
          </w:p>
        </w:tc>
      </w:tr>
    </w:tbl>
    <w:tbl>
      <w:tblPr>
        <w:tblW w:w="5455" w:type="dxa"/>
        <w:jc w:val="left"/>
        <w:tblInd w:w="0" w:type="dxa"/>
        <w:tblCellMar>
          <w:top w:w="0" w:type="dxa"/>
          <w:left w:w="0" w:type="dxa"/>
          <w:bottom w:w="0" w:type="dxa"/>
          <w:right w:w="0" w:type="dxa"/>
        </w:tblCellMar>
      </w:tblPr>
      <w:tblGrid>
        <w:gridCol w:w="1205"/>
        <w:gridCol w:w="4250"/>
      </w:tblGrid>
      <w:tr>
        <w:trPr/>
        <w:tc>
          <w:tcPr>
            <w:tcW w:w="1205" w:type="dxa"/>
            <w:tcBorders/>
            <w:shd w:fill="auto" w:val="clear"/>
            <w:vAlign w:val="center"/>
          </w:tcPr>
          <w:p>
            <w:pPr>
              <w:pStyle w:val="TableContents"/>
              <w:spacing w:before="0" w:after="283"/>
              <w:rPr>
                <w:sz w:val="4"/>
                <w:szCs w:val="4"/>
              </w:rPr>
            </w:pPr>
            <w:r>
              <w:rPr>
                <w:sz w:val="4"/>
                <w:szCs w:val="4"/>
              </w:rPr>
            </w:r>
          </w:p>
        </w:tc>
        <w:tc>
          <w:tcPr>
            <w:tcW w:w="425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425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Risks associated with new online lending business;</w:t>
            </w:r>
          </w:p>
        </w:tc>
      </w:tr>
    </w:tbl>
    <w:tbl>
      <w:tblPr>
        <w:tblW w:w="2800" w:type="dxa"/>
        <w:jc w:val="left"/>
        <w:tblInd w:w="0" w:type="dxa"/>
        <w:tblCellMar>
          <w:top w:w="0" w:type="dxa"/>
          <w:left w:w="0" w:type="dxa"/>
          <w:bottom w:w="0" w:type="dxa"/>
          <w:right w:w="0" w:type="dxa"/>
        </w:tblCellMar>
      </w:tblPr>
      <w:tblGrid>
        <w:gridCol w:w="1205"/>
        <w:gridCol w:w="1595"/>
      </w:tblGrid>
      <w:tr>
        <w:trPr/>
        <w:tc>
          <w:tcPr>
            <w:tcW w:w="1205" w:type="dxa"/>
            <w:tcBorders/>
            <w:shd w:fill="auto" w:val="clear"/>
            <w:vAlign w:val="center"/>
          </w:tcPr>
          <w:p>
            <w:pPr>
              <w:pStyle w:val="TableContents"/>
              <w:spacing w:before="0" w:after="283"/>
              <w:rPr>
                <w:sz w:val="4"/>
                <w:szCs w:val="4"/>
              </w:rPr>
            </w:pPr>
            <w:r>
              <w:rPr>
                <w:sz w:val="4"/>
                <w:szCs w:val="4"/>
              </w:rPr>
            </w:r>
          </w:p>
        </w:tc>
        <w:tc>
          <w:tcPr>
            <w:tcW w:w="1595"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159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Potential litigation;</w:t>
            </w:r>
          </w:p>
        </w:tc>
      </w:tr>
    </w:tbl>
    <w:tbl>
      <w:tblPr>
        <w:tblW w:w="5860" w:type="dxa"/>
        <w:jc w:val="left"/>
        <w:tblInd w:w="0" w:type="dxa"/>
        <w:tblCellMar>
          <w:top w:w="0" w:type="dxa"/>
          <w:left w:w="0" w:type="dxa"/>
          <w:bottom w:w="0" w:type="dxa"/>
          <w:right w:w="0" w:type="dxa"/>
        </w:tblCellMar>
      </w:tblPr>
      <w:tblGrid>
        <w:gridCol w:w="1205"/>
        <w:gridCol w:w="4655"/>
      </w:tblGrid>
      <w:tr>
        <w:trPr/>
        <w:tc>
          <w:tcPr>
            <w:tcW w:w="1205" w:type="dxa"/>
            <w:tcBorders/>
            <w:shd w:fill="auto" w:val="clear"/>
            <w:vAlign w:val="center"/>
          </w:tcPr>
          <w:p>
            <w:pPr>
              <w:pStyle w:val="TableContents"/>
              <w:spacing w:before="0" w:after="283"/>
              <w:rPr>
                <w:sz w:val="4"/>
                <w:szCs w:val="4"/>
              </w:rPr>
            </w:pPr>
            <w:r>
              <w:rPr>
                <w:sz w:val="4"/>
                <w:szCs w:val="4"/>
              </w:rPr>
            </w:r>
          </w:p>
        </w:tc>
        <w:tc>
          <w:tcPr>
            <w:tcW w:w="4655"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465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Failure to achieve adequate return on our investments;</w:t>
            </w:r>
          </w:p>
        </w:tc>
      </w:tr>
    </w:tbl>
    <w:tbl>
      <w:tblPr>
        <w:tblW w:w="5785" w:type="dxa"/>
        <w:jc w:val="left"/>
        <w:tblInd w:w="0" w:type="dxa"/>
        <w:tblCellMar>
          <w:top w:w="0" w:type="dxa"/>
          <w:left w:w="0" w:type="dxa"/>
          <w:bottom w:w="0" w:type="dxa"/>
          <w:right w:w="0" w:type="dxa"/>
        </w:tblCellMar>
      </w:tblPr>
      <w:tblGrid>
        <w:gridCol w:w="1205"/>
        <w:gridCol w:w="4580"/>
      </w:tblGrid>
      <w:tr>
        <w:trPr/>
        <w:tc>
          <w:tcPr>
            <w:tcW w:w="1205" w:type="dxa"/>
            <w:tcBorders/>
            <w:shd w:fill="auto" w:val="clear"/>
            <w:vAlign w:val="center"/>
          </w:tcPr>
          <w:p>
            <w:pPr>
              <w:pStyle w:val="TableContents"/>
              <w:spacing w:before="0" w:after="283"/>
              <w:rPr>
                <w:sz w:val="4"/>
                <w:szCs w:val="4"/>
              </w:rPr>
            </w:pPr>
            <w:r>
              <w:rPr>
                <w:sz w:val="4"/>
                <w:szCs w:val="4"/>
              </w:rPr>
            </w:r>
          </w:p>
        </w:tc>
        <w:tc>
          <w:tcPr>
            <w:tcW w:w="458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458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Potential uninsured property, casualty or other losses;</w:t>
            </w:r>
          </w:p>
        </w:tc>
      </w:tr>
    </w:tbl>
    <w:tbl>
      <w:tblPr>
        <w:tblW w:w="7900" w:type="dxa"/>
        <w:jc w:val="left"/>
        <w:tblInd w:w="0" w:type="dxa"/>
        <w:tblCellMar>
          <w:top w:w="0" w:type="dxa"/>
          <w:left w:w="0" w:type="dxa"/>
          <w:bottom w:w="0" w:type="dxa"/>
          <w:right w:w="0" w:type="dxa"/>
        </w:tblCellMar>
      </w:tblPr>
      <w:tblGrid>
        <w:gridCol w:w="1205"/>
        <w:gridCol w:w="6695"/>
      </w:tblGrid>
      <w:tr>
        <w:trPr/>
        <w:tc>
          <w:tcPr>
            <w:tcW w:w="1205" w:type="dxa"/>
            <w:tcBorders/>
            <w:shd w:fill="auto" w:val="clear"/>
            <w:vAlign w:val="center"/>
          </w:tcPr>
          <w:p>
            <w:pPr>
              <w:pStyle w:val="TableContents"/>
              <w:spacing w:before="0" w:after="283"/>
              <w:rPr>
                <w:sz w:val="4"/>
                <w:szCs w:val="4"/>
              </w:rPr>
            </w:pPr>
            <w:r>
              <w:rPr>
                <w:sz w:val="4"/>
                <w:szCs w:val="4"/>
              </w:rPr>
            </w:r>
          </w:p>
        </w:tc>
        <w:tc>
          <w:tcPr>
            <w:tcW w:w="6695"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669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Potential disruptive effect of acquisitions, investments and new businesses; and</w:t>
            </w:r>
          </w:p>
        </w:tc>
      </w:tr>
    </w:tbl>
    <w:tbl>
      <w:tblPr>
        <w:tblW w:w="4705" w:type="dxa"/>
        <w:jc w:val="left"/>
        <w:tblInd w:w="0" w:type="dxa"/>
        <w:tblCellMar>
          <w:top w:w="0" w:type="dxa"/>
          <w:left w:w="0" w:type="dxa"/>
          <w:bottom w:w="0" w:type="dxa"/>
          <w:right w:w="0" w:type="dxa"/>
        </w:tblCellMar>
      </w:tblPr>
      <w:tblGrid>
        <w:gridCol w:w="1205"/>
        <w:gridCol w:w="3500"/>
      </w:tblGrid>
      <w:tr>
        <w:trPr/>
        <w:tc>
          <w:tcPr>
            <w:tcW w:w="1205" w:type="dxa"/>
            <w:tcBorders/>
            <w:shd w:fill="auto" w:val="clear"/>
            <w:vAlign w:val="center"/>
          </w:tcPr>
          <w:p>
            <w:pPr>
              <w:pStyle w:val="TableContents"/>
              <w:spacing w:before="0" w:after="283"/>
              <w:rPr>
                <w:sz w:val="4"/>
                <w:szCs w:val="4"/>
              </w:rPr>
            </w:pPr>
            <w:r>
              <w:rPr>
                <w:sz w:val="4"/>
                <w:szCs w:val="4"/>
              </w:rPr>
            </w:r>
          </w:p>
        </w:tc>
        <w:tc>
          <w:tcPr>
            <w:tcW w:w="35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35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Changes in U.S. or international tax rates.</w:t>
            </w:r>
          </w:p>
        </w:tc>
      </w:tr>
    </w:tbl>
    <w:p>
      <w:pPr>
        <w:pStyle w:val="TextBody"/>
        <w:spacing w:lineRule="auto" w:line="288" w:before="0" w:after="0"/>
        <w:ind w:left="0" w:right="0" w:firstLine="720"/>
        <w:jc w:val="left"/>
        <w:rPr>
          <w:rFonts w:ascii="inherit" w:hAnsi="inherit"/>
          <w:sz w:val="17"/>
        </w:rPr>
      </w:pPr>
      <w:r>
        <w:rPr>
          <w:rFonts w:ascii="inherit" w:hAnsi="inherit"/>
          <w:sz w:val="17"/>
        </w:rPr>
        <w:t>We specifically disclaim all responsibility to publicly update any information contained in a forward-looking statement except as required by law. All forward-looking statements attributable to us are expressly qualified in their entirety by this cautionary statement.</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w:t>
      </w:r>
      <w:r>
        <w:br w:type="page"/>
      </w:r>
    </w:p>
    <w:p>
      <w:pPr>
        <w:pStyle w:val="TextBody"/>
        <w:spacing w:before="0" w:after="0"/>
        <w:rPr/>
      </w:pPr>
      <w:r>
        <w:rPr/>
      </w:r>
      <w:bookmarkStart w:id="16" w:name="s2CC3F374B47D661F09B26FA02E31814F"/>
      <w:bookmarkStart w:id="17" w:name="s2CC3F374B47D661F09B26FA02E31814F"/>
      <w:bookmarkEnd w:id="17"/>
    </w:p>
    <w:p>
      <w:pPr>
        <w:pStyle w:val="TextBody"/>
        <w:spacing w:lineRule="auto" w:line="288" w:before="0" w:after="0"/>
        <w:jc w:val="center"/>
        <w:rPr>
          <w:rFonts w:ascii="inherit" w:hAnsi="inherit"/>
          <w:b/>
          <w:sz w:val="17"/>
        </w:rPr>
      </w:pPr>
      <w:r>
        <w:rPr>
          <w:rFonts w:ascii="inherit" w:hAnsi="inherit"/>
          <w:b/>
          <w:sz w:val="17"/>
        </w:rPr>
        <w:t>USE OF PROCEEDS</w:t>
      </w:r>
    </w:p>
    <w:p>
      <w:pPr>
        <w:pStyle w:val="TextBody"/>
        <w:spacing w:lineRule="auto" w:line="288" w:before="0" w:after="0"/>
        <w:ind w:left="0" w:right="0" w:firstLine="720"/>
        <w:jc w:val="left"/>
        <w:rPr>
          <w:rFonts w:ascii="inherit" w:hAnsi="inherit"/>
          <w:sz w:val="17"/>
        </w:rPr>
      </w:pPr>
      <w:r>
        <w:rPr>
          <w:rFonts w:ascii="inherit" w:hAnsi="inherit"/>
          <w:sz w:val="17"/>
        </w:rPr>
        <w:t>We are not selling any securities under this prospectus. We are registering the shares of our Class A Non-Voting Common Stock on behalf of the selling stockholder pursuant to the terms of the Purchase Agreement (as defined below under “Selling Stockholder”), and we will not receive any of the proceeds from the sale by the selling stockholder of any such shares.</w:t>
      </w:r>
    </w:p>
    <w:p>
      <w:pPr>
        <w:pStyle w:val="TextBody"/>
        <w:spacing w:lineRule="auto" w:line="288" w:before="0" w:after="0"/>
        <w:jc w:val="center"/>
        <w:rPr>
          <w:rFonts w:ascii="inherit" w:hAnsi="inherit"/>
          <w:b/>
          <w:sz w:val="17"/>
        </w:rPr>
      </w:pPr>
      <w:bookmarkStart w:id="18" w:name="sC4249DF90D06E79F4E976FA02E64F2ED"/>
      <w:bookmarkEnd w:id="18"/>
      <w:r>
        <w:rPr>
          <w:rFonts w:ascii="inherit" w:hAnsi="inherit"/>
          <w:b/>
          <w:sz w:val="17"/>
        </w:rPr>
        <w:t>SELLING STOCKHOLDER</w:t>
      </w:r>
    </w:p>
    <w:p>
      <w:pPr>
        <w:pStyle w:val="TextBody"/>
        <w:spacing w:lineRule="auto" w:line="288" w:before="0" w:after="0"/>
        <w:ind w:left="0" w:right="0" w:firstLine="720"/>
        <w:jc w:val="left"/>
        <w:rPr>
          <w:sz w:val="17"/>
        </w:rPr>
      </w:pPr>
      <w:r>
        <w:rPr>
          <w:rFonts w:ascii="inherit" w:hAnsi="inherit"/>
          <w:sz w:val="17"/>
        </w:rPr>
        <w:t xml:space="preserve">This prospectus relates to the offer and sale from time to time by the selling stockholder of up to </w:t>
      </w:r>
      <w:r>
        <w:rPr>
          <w:rFonts w:ascii="inherit" w:hAnsi="inherit"/>
          <w:strike w:val="false"/>
          <w:dstrike w:val="false"/>
          <w:color w:val="000000"/>
          <w:sz w:val="17"/>
          <w:u w:val="none"/>
          <w:effect w:val="none"/>
        </w:rPr>
        <w:t>300,000</w:t>
      </w:r>
      <w:r>
        <w:rPr>
          <w:sz w:val="17"/>
        </w:rPr>
        <w:t xml:space="preserve"> </w:t>
      </w:r>
      <w:r>
        <w:rPr>
          <w:rFonts w:ascii="inherit" w:hAnsi="inherit"/>
          <w:sz w:val="17"/>
        </w:rPr>
        <w:t xml:space="preserve">shares of our Class A Non-Voting Common Stock. Such shares were issued to the selling stockholder in a transaction exempt from registration under the Securities Act. More specifically, such shares were issued to the selling stockholder as partial consideration for the sale to us of certain assets pursuant to the Asset Purchase Agreement, dated November 20, 2012 (the “Purchase Agreement”), among EZCORP Online, Inc., EZCORP, Inc., Hayfield Investment Partners, LLC and certain subsidiaries of Hayfield Investment Partners, LLC, as amended on December 12, 2012 by the original parties to the Purchase Agreement and the members of Hayfield Investment Partners, LLC. Pursuant to the Purchase Agreement, we agreed to, among other things, file a registration statement with the SEC to register the shares of our Class A Non-Voting Common Stock issued to the selling stockholders upon the closing of such acquisition. </w:t>
      </w:r>
    </w:p>
    <w:p>
      <w:pPr>
        <w:pStyle w:val="TextBody"/>
        <w:spacing w:lineRule="auto" w:line="288" w:before="0" w:after="0"/>
        <w:ind w:left="0" w:right="0" w:firstLine="720"/>
        <w:jc w:val="left"/>
        <w:rPr>
          <w:rFonts w:ascii="inherit" w:hAnsi="inherit"/>
          <w:sz w:val="17"/>
        </w:rPr>
      </w:pPr>
      <w:r>
        <w:rPr>
          <w:rFonts w:ascii="inherit" w:hAnsi="inherit"/>
          <w:sz w:val="17"/>
        </w:rPr>
        <w:t>The table below sets forth the name of the selling stockholder and the number of shares of our Class A Non-Voting Common Stock that the selling stockholder beneficially owns and that may be offered pursuant to this prospectus. We have prepared the table below based on information provided to us by or on behalf of the selling stockholder on or prior to October 3, 2013. The selling stockholder may offer none, some or all of the shares of our Class A Non-Voting Common Stock offered by this prospectus. The selling stockholder has informed us that it has adopted a prearranged Rule 10b5-1 stock trading plan allowing it to sell all of its shares of our Class A Non-Voting Common Stock over time as part of its financial, tax and/or estate planning. The selling stockholder may sell its shares of our Class A Non-Voting Common Stock registered under the registration statement of which this prospectus is a part through such Rule 10b5-1 plan. The selling stockholder has informed us that it has the right to terminate such Rule 10b5-1 plan in accordance with its terms. Accordingly, we cannot predict if, when or in what amounts the selling stockholder may sell any of the shares of our Class A Non-Voting Common Stock offered by this prospectus, and we cannot predict when or in what amounts the selling stockholder may acquire additional shares of our Class A Non-Voting Common Stock. As used in this prospectus, the term “selling stockholder” includes persons who obtain shares of our Class A Non-Voting Common Stock as a gift, on foreclosure of a pledge, as a distribution or dividend or in a non-sale related transfer from the selling stockholder listed in the table below after the date of this prospectus.</w:t>
      </w:r>
    </w:p>
    <w:p>
      <w:pPr>
        <w:pStyle w:val="TextBody"/>
        <w:spacing w:lineRule="auto" w:line="288" w:before="0" w:after="0"/>
        <w:ind w:left="0" w:right="0" w:firstLine="720"/>
        <w:jc w:val="left"/>
        <w:rPr>
          <w:rFonts w:ascii="inherit" w:hAnsi="inherit"/>
          <w:sz w:val="17"/>
        </w:rPr>
      </w:pPr>
      <w:r>
        <w:rPr>
          <w:rFonts w:ascii="inherit" w:hAnsi="inherit"/>
          <w:sz w:val="17"/>
        </w:rPr>
        <w:t xml:space="preserve">Except as otherwise disclosed herein, neither the selling stockholder nor any of its affiliates has, or within the past three years has had, any material relationship with us or any of our predecessors or affiliates. </w:t>
      </w:r>
    </w:p>
    <w:p>
      <w:pPr>
        <w:pStyle w:val="TextBody"/>
        <w:spacing w:lineRule="auto" w:line="288" w:before="0" w:after="0"/>
        <w:ind w:left="0" w:right="0" w:firstLine="720"/>
        <w:jc w:val="left"/>
        <w:rPr>
          <w:rFonts w:ascii="inherit" w:hAnsi="inherit"/>
          <w:sz w:val="17"/>
        </w:rPr>
      </w:pPr>
      <w:r>
        <w:rPr>
          <w:rFonts w:ascii="inherit" w:hAnsi="inherit"/>
          <w:sz w:val="17"/>
        </w:rPr>
        <w:t xml:space="preserve">The selling stockholder may be deemed to be, under interpretations of the staff of the SEC, an “underwriter” within the meaning of the Securities Act to the extent it is (i) a registered broker-dealer or (ii) an affiliate of a registered broker dealer if the selling stockholder did not acquire its shares of our Class A Non-Voting Common Stock in the ordinary course of business or had an agreement or understanding, directly or indirectly, with any person to distribute the shares of our Class A Non-Voting Common Stock. </w:t>
      </w:r>
    </w:p>
    <w:p>
      <w:pPr>
        <w:pStyle w:val="TextBody"/>
        <w:spacing w:lineRule="auto" w:line="288" w:before="0" w:after="0"/>
        <w:ind w:left="0" w:right="0" w:firstLine="720"/>
        <w:jc w:val="left"/>
        <w:rPr>
          <w:rFonts w:ascii="inherit" w:hAnsi="inherit"/>
          <w:sz w:val="17"/>
        </w:rPr>
      </w:pPr>
      <w:r>
        <w:rPr>
          <w:rFonts w:ascii="inherit" w:hAnsi="inherit"/>
          <w:sz w:val="17"/>
        </w:rPr>
        <w:t>Information about the selling stockholder may change over time. Any changed information will be set forth in supplements to this prospectus, if required.</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w:t>
      </w:r>
      <w:r>
        <w:br w:type="page"/>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2458"/>
        <w:gridCol w:w="1297"/>
        <w:gridCol w:w="1691"/>
        <w:gridCol w:w="1651"/>
        <w:gridCol w:w="1245"/>
        <w:gridCol w:w="1863"/>
      </w:tblGrid>
      <w:tr>
        <w:trPr/>
        <w:tc>
          <w:tcPr>
            <w:tcW w:w="10205" w:type="dxa"/>
            <w:gridSpan w:val="6"/>
            <w:tcBorders/>
            <w:shd w:fill="auto" w:val="clear"/>
            <w:vAlign w:val="center"/>
          </w:tcPr>
          <w:p>
            <w:pPr>
              <w:pStyle w:val="TableContents"/>
              <w:spacing w:before="0" w:after="283"/>
              <w:rPr>
                <w:sz w:val="4"/>
                <w:szCs w:val="4"/>
              </w:rPr>
            </w:pPr>
            <w:r>
              <w:rPr>
                <w:sz w:val="4"/>
                <w:szCs w:val="4"/>
              </w:rPr>
            </w:r>
          </w:p>
        </w:tc>
      </w:tr>
      <w:tr>
        <w:trPr/>
        <w:tc>
          <w:tcPr>
            <w:tcW w:w="2458" w:type="dxa"/>
            <w:tcBorders/>
            <w:shd w:fill="auto" w:val="clear"/>
            <w:vAlign w:val="center"/>
          </w:tcPr>
          <w:p>
            <w:pPr>
              <w:pStyle w:val="TableContents"/>
              <w:spacing w:before="0" w:after="283"/>
              <w:rPr>
                <w:sz w:val="4"/>
                <w:szCs w:val="4"/>
              </w:rPr>
            </w:pPr>
            <w:r>
              <w:rPr>
                <w:sz w:val="4"/>
                <w:szCs w:val="4"/>
              </w:rPr>
            </w:r>
          </w:p>
        </w:tc>
        <w:tc>
          <w:tcPr>
            <w:tcW w:w="1297" w:type="dxa"/>
            <w:tcBorders/>
            <w:shd w:fill="auto" w:val="clear"/>
            <w:vAlign w:val="center"/>
          </w:tcPr>
          <w:p>
            <w:pPr>
              <w:pStyle w:val="TableContents"/>
              <w:spacing w:before="0" w:after="283"/>
              <w:rPr>
                <w:sz w:val="4"/>
                <w:szCs w:val="4"/>
              </w:rPr>
            </w:pPr>
            <w:r>
              <w:rPr>
                <w:sz w:val="4"/>
                <w:szCs w:val="4"/>
              </w:rPr>
            </w:r>
          </w:p>
        </w:tc>
        <w:tc>
          <w:tcPr>
            <w:tcW w:w="1691" w:type="dxa"/>
            <w:tcBorders/>
            <w:shd w:fill="auto" w:val="clear"/>
            <w:vAlign w:val="center"/>
          </w:tcPr>
          <w:p>
            <w:pPr>
              <w:pStyle w:val="TableContents"/>
              <w:spacing w:before="0" w:after="283"/>
              <w:rPr>
                <w:sz w:val="4"/>
                <w:szCs w:val="4"/>
              </w:rPr>
            </w:pPr>
            <w:r>
              <w:rPr>
                <w:sz w:val="4"/>
                <w:szCs w:val="4"/>
              </w:rPr>
            </w:r>
          </w:p>
        </w:tc>
        <w:tc>
          <w:tcPr>
            <w:tcW w:w="1651" w:type="dxa"/>
            <w:tcBorders/>
            <w:shd w:fill="auto" w:val="clear"/>
            <w:vAlign w:val="center"/>
          </w:tcPr>
          <w:p>
            <w:pPr>
              <w:pStyle w:val="TableContents"/>
              <w:spacing w:before="0" w:after="283"/>
              <w:rPr>
                <w:sz w:val="4"/>
                <w:szCs w:val="4"/>
              </w:rPr>
            </w:pPr>
            <w:r>
              <w:rPr>
                <w:sz w:val="4"/>
                <w:szCs w:val="4"/>
              </w:rPr>
            </w:r>
          </w:p>
        </w:tc>
        <w:tc>
          <w:tcPr>
            <w:tcW w:w="1245" w:type="dxa"/>
            <w:tcBorders/>
            <w:shd w:fill="auto" w:val="clear"/>
            <w:vAlign w:val="center"/>
          </w:tcPr>
          <w:p>
            <w:pPr>
              <w:pStyle w:val="TableContents"/>
              <w:spacing w:before="0" w:after="283"/>
              <w:rPr>
                <w:sz w:val="4"/>
                <w:szCs w:val="4"/>
              </w:rPr>
            </w:pPr>
            <w:r>
              <w:rPr>
                <w:sz w:val="4"/>
                <w:szCs w:val="4"/>
              </w:rPr>
            </w:r>
          </w:p>
        </w:tc>
        <w:tc>
          <w:tcPr>
            <w:tcW w:w="186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458" w:type="dxa"/>
            <w:vMerge w:val="restart"/>
            <w:tcBorders>
              <w:top w:val="single" w:sz="2" w:space="0" w:color="000000"/>
              <w:left w:val="single" w:sz="2" w:space="0" w:color="000000"/>
              <w:bottom w:val="single" w:sz="2" w:space="0" w:color="000000"/>
              <w:right w:val="single" w:sz="2" w:space="0" w:color="000000"/>
            </w:tcBorders>
            <w:shd w:fill="auto" w:val="clear"/>
            <w:tcMar>
              <w:top w:w="30" w:type="dxa"/>
              <w:left w:w="28" w:type="dxa"/>
              <w:bottom w:w="30" w:type="dxa"/>
              <w:right w:w="30" w:type="dxa"/>
            </w:tcMar>
            <w:vAlign w:val="center"/>
          </w:tcPr>
          <w:p>
            <w:pPr>
              <w:pStyle w:val="TableContents"/>
              <w:spacing w:before="0" w:after="0"/>
              <w:ind w:left="0" w:right="0" w:firstLine="30"/>
              <w:jc w:val="left"/>
              <w:rPr>
                <w:rFonts w:ascii="inherit" w:hAnsi="inherit"/>
                <w:b/>
                <w:sz w:val="15"/>
              </w:rPr>
            </w:pPr>
            <w:r>
              <w:rPr>
                <w:rFonts w:ascii="inherit" w:hAnsi="inherit"/>
                <w:b/>
                <w:sz w:val="15"/>
              </w:rPr>
              <w:t>Name of Selling Stockholder</w:t>
            </w:r>
          </w:p>
        </w:tc>
        <w:tc>
          <w:tcPr>
            <w:tcW w:w="2988" w:type="dxa"/>
            <w:gridSpan w:val="2"/>
            <w:tcBorders>
              <w:top w:val="single" w:sz="2" w:space="0" w:color="000000"/>
              <w:right w:val="single" w:sz="2" w:space="0" w:color="000000"/>
            </w:tcBorders>
            <w:shd w:fill="auto" w:val="clear"/>
            <w:tcMar>
              <w:top w:w="30" w:type="dxa"/>
              <w:right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Shares of Class A Non-Voting Common Stock Beneficially Owned Prior to Offering(1)</w:t>
            </w:r>
          </w:p>
        </w:tc>
        <w:tc>
          <w:tcPr>
            <w:tcW w:w="1651" w:type="dxa"/>
            <w:vMerge w:val="restart"/>
            <w:tcBorders>
              <w:top w:val="single" w:sz="2" w:space="0" w:color="000000"/>
              <w:bottom w:val="single" w:sz="2" w:space="0" w:color="000000"/>
              <w:right w:val="single" w:sz="2" w:space="0" w:color="000000"/>
            </w:tcBorders>
            <w:shd w:fill="auto" w:val="clear"/>
            <w:tcMar>
              <w:top w:w="30" w:type="dxa"/>
              <w:bottom w:w="30" w:type="dxa"/>
              <w:right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Number of Shares of Class A Non-Voting Common Stock That May Be Sold</w:t>
            </w:r>
          </w:p>
        </w:tc>
        <w:tc>
          <w:tcPr>
            <w:tcW w:w="3108" w:type="dxa"/>
            <w:gridSpan w:val="2"/>
            <w:tcBorders>
              <w:top w:val="single" w:sz="2" w:space="0" w:color="000000"/>
              <w:bottom w:val="single" w:sz="2" w:space="0" w:color="000000"/>
              <w:right w:val="single" w:sz="2" w:space="0" w:color="000000"/>
            </w:tcBorders>
            <w:shd w:fill="auto" w:val="clear"/>
            <w:tcMar>
              <w:top w:w="30" w:type="dxa"/>
              <w:bottom w:w="30" w:type="dxa"/>
              <w:right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Shares of Class A Non-Voting Common Stock Beneficially Owned After Offering(1)</w:t>
            </w:r>
          </w:p>
        </w:tc>
      </w:tr>
      <w:tr>
        <w:trPr/>
        <w:tc>
          <w:tcPr>
            <w:tcW w:w="2458" w:type="dxa"/>
            <w:vMerge w:val="continue"/>
            <w:tcBorders>
              <w:top w:val="single" w:sz="2" w:space="0" w:color="000000"/>
              <w:left w:val="single" w:sz="2" w:space="0" w:color="000000"/>
              <w:bottom w:val="single" w:sz="2" w:space="0" w:color="000000"/>
              <w:right w:val="single" w:sz="2" w:space="0" w:color="000000"/>
            </w:tcBorders>
            <w:shd w:fill="auto" w:val="clear"/>
            <w:tcMar>
              <w:top w:w="30" w:type="dxa"/>
              <w:left w:w="28" w:type="dxa"/>
              <w:bottom w:w="30" w:type="dxa"/>
              <w:right w:w="30" w:type="dxa"/>
            </w:tcMar>
            <w:vAlign w:val="center"/>
          </w:tcPr>
          <w:p>
            <w:pPr>
              <w:pStyle w:val="Normal"/>
              <w:rPr/>
            </w:pPr>
            <w:r>
              <w:rPr/>
            </w:r>
          </w:p>
        </w:tc>
        <w:tc>
          <w:tcPr>
            <w:tcW w:w="1297" w:type="dxa"/>
            <w:tcBorders>
              <w:top w:val="single" w:sz="2" w:space="0" w:color="000000"/>
              <w:bottom w:val="single" w:sz="2" w:space="0" w:color="000000"/>
              <w:right w:val="single" w:sz="2" w:space="0" w:color="000000"/>
            </w:tcBorders>
            <w:shd w:fill="auto" w:val="clear"/>
            <w:tcMar>
              <w:top w:w="30" w:type="dxa"/>
              <w:bottom w:w="30" w:type="dxa"/>
              <w:right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Number of Shares</w:t>
            </w:r>
          </w:p>
        </w:tc>
        <w:tc>
          <w:tcPr>
            <w:tcW w:w="1691" w:type="dxa"/>
            <w:tcBorders>
              <w:top w:val="single" w:sz="2" w:space="0" w:color="000000"/>
              <w:bottom w:val="single" w:sz="2" w:space="0" w:color="000000"/>
              <w:right w:val="single" w:sz="2" w:space="0" w:color="000000"/>
            </w:tcBorders>
            <w:shd w:fill="auto" w:val="clear"/>
            <w:tcMar>
              <w:top w:w="30" w:type="dxa"/>
              <w:bottom w:w="30" w:type="dxa"/>
              <w:right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Percentage(2)</w:t>
            </w:r>
          </w:p>
        </w:tc>
        <w:tc>
          <w:tcPr>
            <w:tcW w:w="1651" w:type="dxa"/>
            <w:vMerge w:val="continue"/>
            <w:tcBorders>
              <w:top w:val="single" w:sz="2" w:space="0" w:color="000000"/>
              <w:bottom w:val="single" w:sz="2" w:space="0" w:color="000000"/>
              <w:right w:val="single" w:sz="2" w:space="0" w:color="000000"/>
            </w:tcBorders>
            <w:shd w:fill="auto" w:val="clear"/>
            <w:tcMar>
              <w:top w:w="30" w:type="dxa"/>
              <w:bottom w:w="30" w:type="dxa"/>
              <w:right w:w="30" w:type="dxa"/>
            </w:tcMar>
            <w:vAlign w:val="center"/>
          </w:tcPr>
          <w:p>
            <w:pPr>
              <w:pStyle w:val="Normal"/>
              <w:rPr/>
            </w:pPr>
            <w:r>
              <w:rPr/>
            </w:r>
          </w:p>
        </w:tc>
        <w:tc>
          <w:tcPr>
            <w:tcW w:w="1245"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Number of Shares(2)</w:t>
            </w:r>
          </w:p>
        </w:tc>
        <w:tc>
          <w:tcPr>
            <w:tcW w:w="1863" w:type="dxa"/>
            <w:tcBorders>
              <w:top w:val="single" w:sz="2" w:space="0" w:color="000000"/>
              <w:left w:val="single" w:sz="2" w:space="0" w:color="000000"/>
              <w:bottom w:val="single" w:sz="2" w:space="0" w:color="000000"/>
              <w:right w:val="single" w:sz="2" w:space="0" w:color="000000"/>
            </w:tcBorders>
            <w:shd w:fill="auto" w:val="clear"/>
            <w:tcMar>
              <w:top w:w="30" w:type="dxa"/>
              <w:left w:w="28" w:type="dxa"/>
              <w:bottom w:w="30" w:type="dxa"/>
              <w:right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Percentage(2)(3)</w:t>
            </w:r>
          </w:p>
        </w:tc>
      </w:tr>
      <w:tr>
        <w:trPr/>
        <w:tc>
          <w:tcPr>
            <w:tcW w:w="245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 xml:space="preserve">James R. Carnes Revocable Trust u/t/a February 10, 2010(4) </w:t>
            </w:r>
          </w:p>
        </w:tc>
        <w:tc>
          <w:tcPr>
            <w:tcW w:w="1297"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300,000</w:t>
            </w:r>
          </w:p>
        </w:tc>
        <w:tc>
          <w:tcPr>
            <w:tcW w:w="1691"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0.6%</w:t>
            </w:r>
          </w:p>
        </w:tc>
        <w:tc>
          <w:tcPr>
            <w:tcW w:w="1651"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300,000</w:t>
            </w:r>
          </w:p>
        </w:tc>
        <w:tc>
          <w:tcPr>
            <w:tcW w:w="1245"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0</w:t>
            </w:r>
          </w:p>
        </w:tc>
        <w:tc>
          <w:tcPr>
            <w:tcW w:w="1863" w:type="dxa"/>
            <w:tcBorders/>
            <w:shd w:fill="auto" w:val="clear"/>
            <w:vAlign w:val="center"/>
          </w:tcPr>
          <w:p>
            <w:pPr>
              <w:pStyle w:val="TableContents"/>
              <w:spacing w:before="0" w:after="0"/>
              <w:jc w:val="center"/>
              <w:rPr>
                <w:rFonts w:ascii="inherit" w:hAnsi="inherit"/>
                <w:sz w:val="15"/>
              </w:rPr>
            </w:pPr>
            <w:r>
              <w:rPr>
                <w:rFonts w:ascii="inherit" w:hAnsi="inherit"/>
                <w:sz w:val="15"/>
              </w:rPr>
              <w:t>0</w:t>
            </w:r>
          </w:p>
        </w:tc>
      </w:tr>
    </w:tbl>
    <w:p>
      <w:pPr>
        <w:pStyle w:val="TextBody"/>
        <w:spacing w:lineRule="auto" w:line="288" w:before="0" w:after="0"/>
        <w:jc w:val="left"/>
        <w:rPr>
          <w:rFonts w:ascii="inherit" w:hAnsi="inherit"/>
          <w:sz w:val="17"/>
        </w:rPr>
      </w:pPr>
      <w:r>
        <w:rPr>
          <w:rFonts w:ascii="inherit" w:hAnsi="inherit"/>
          <w:sz w:val="17"/>
        </w:rPr>
        <w:t>_______________</w:t>
      </w:r>
    </w:p>
    <w:tbl>
      <w:tblPr>
        <w:tblW w:w="10205" w:type="dxa"/>
        <w:jc w:val="left"/>
        <w:tblInd w:w="0" w:type="dxa"/>
        <w:tblCellMar>
          <w:top w:w="0" w:type="dxa"/>
          <w:left w:w="0" w:type="dxa"/>
          <w:bottom w:w="0" w:type="dxa"/>
          <w:right w:w="0" w:type="dxa"/>
        </w:tblCellMar>
      </w:tblPr>
      <w:tblGrid>
        <w:gridCol w:w="251"/>
        <w:gridCol w:w="9954"/>
      </w:tblGrid>
      <w:tr>
        <w:trPr/>
        <w:tc>
          <w:tcPr>
            <w:tcW w:w="251" w:type="dxa"/>
            <w:tcBorders/>
            <w:shd w:fill="auto" w:val="clear"/>
            <w:vAlign w:val="center"/>
          </w:tcPr>
          <w:p>
            <w:pPr>
              <w:pStyle w:val="TableContents"/>
              <w:spacing w:before="0" w:after="283"/>
              <w:rPr>
                <w:sz w:val="4"/>
                <w:szCs w:val="4"/>
              </w:rPr>
            </w:pPr>
            <w:r>
              <w:rPr>
                <w:sz w:val="4"/>
                <w:szCs w:val="4"/>
              </w:rPr>
            </w:r>
          </w:p>
        </w:tc>
        <w:tc>
          <w:tcPr>
            <w:tcW w:w="9954" w:type="dxa"/>
            <w:tcBorders/>
            <w:shd w:fill="auto" w:val="clear"/>
            <w:vAlign w:val="center"/>
          </w:tcPr>
          <w:p>
            <w:pPr>
              <w:pStyle w:val="TableContents"/>
              <w:spacing w:before="0" w:after="283"/>
              <w:rPr>
                <w:sz w:val="4"/>
                <w:szCs w:val="4"/>
              </w:rPr>
            </w:pPr>
            <w:r>
              <w:rPr>
                <w:sz w:val="4"/>
                <w:szCs w:val="4"/>
              </w:rPr>
            </w:r>
          </w:p>
        </w:tc>
      </w:tr>
      <w:tr>
        <w:trPr/>
        <w:tc>
          <w:tcPr>
            <w:tcW w:w="251"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(1)</w:t>
            </w:r>
          </w:p>
        </w:tc>
        <w:tc>
          <w:tcPr>
            <w:tcW w:w="9954"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Beneficial ownership as used herein has the meaning ascribed thereto under Section 13(d) of the Exchange Act and the rules thereunder.</w:t>
            </w:r>
          </w:p>
        </w:tc>
      </w:tr>
    </w:tbl>
    <w:tbl>
      <w:tblPr>
        <w:tblW w:w="9055" w:type="dxa"/>
        <w:jc w:val="left"/>
        <w:tblInd w:w="0" w:type="dxa"/>
        <w:tblCellMar>
          <w:top w:w="0" w:type="dxa"/>
          <w:left w:w="0" w:type="dxa"/>
          <w:bottom w:w="0" w:type="dxa"/>
          <w:right w:w="0" w:type="dxa"/>
        </w:tblCellMar>
      </w:tblPr>
      <w:tblGrid>
        <w:gridCol w:w="260"/>
        <w:gridCol w:w="8795"/>
      </w:tblGrid>
      <w:tr>
        <w:trPr/>
        <w:tc>
          <w:tcPr>
            <w:tcW w:w="260" w:type="dxa"/>
            <w:tcBorders/>
            <w:shd w:fill="auto" w:val="clear"/>
            <w:vAlign w:val="center"/>
          </w:tcPr>
          <w:p>
            <w:pPr>
              <w:pStyle w:val="TableContents"/>
              <w:spacing w:before="0" w:after="283"/>
              <w:rPr>
                <w:sz w:val="4"/>
                <w:szCs w:val="4"/>
              </w:rPr>
            </w:pPr>
            <w:r>
              <w:rPr>
                <w:sz w:val="4"/>
                <w:szCs w:val="4"/>
              </w:rPr>
            </w:r>
          </w:p>
        </w:tc>
        <w:tc>
          <w:tcPr>
            <w:tcW w:w="8795" w:type="dxa"/>
            <w:tcBorders/>
            <w:shd w:fill="auto" w:val="clear"/>
            <w:vAlign w:val="center"/>
          </w:tcPr>
          <w:p>
            <w:pPr>
              <w:pStyle w:val="TableContents"/>
              <w:spacing w:before="0" w:after="283"/>
              <w:rPr>
                <w:sz w:val="4"/>
                <w:szCs w:val="4"/>
              </w:rPr>
            </w:pPr>
            <w:r>
              <w:rPr>
                <w:sz w:val="4"/>
                <w:szCs w:val="4"/>
              </w:rPr>
            </w:r>
          </w:p>
        </w:tc>
      </w:tr>
      <w:tr>
        <w:trPr/>
        <w:tc>
          <w:tcPr>
            <w:tcW w:w="260"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(2)</w:t>
            </w:r>
          </w:p>
        </w:tc>
        <w:tc>
          <w:tcPr>
            <w:tcW w:w="8795" w:type="dxa"/>
            <w:tcBorders/>
            <w:shd w:fill="auto" w:val="clear"/>
            <w:vAlign w:val="center"/>
          </w:tcPr>
          <w:p>
            <w:pPr>
              <w:pStyle w:val="TableContents"/>
              <w:spacing w:lineRule="auto" w:line="288" w:before="0" w:after="0"/>
              <w:jc w:val="left"/>
              <w:rPr>
                <w:sz w:val="17"/>
              </w:rPr>
            </w:pPr>
            <w:r>
              <w:rPr>
                <w:rFonts w:ascii="inherit" w:hAnsi="inherit"/>
                <w:sz w:val="17"/>
              </w:rPr>
              <w:t xml:space="preserve">Based on 51,262,169 shares of our Class A Non-Voting Common Stock outstanding as of </w:t>
            </w:r>
            <w:r>
              <w:rPr>
                <w:rFonts w:ascii="inherit" w:hAnsi="inherit"/>
                <w:strike w:val="false"/>
                <w:dstrike w:val="false"/>
                <w:color w:val="000000"/>
                <w:sz w:val="17"/>
                <w:u w:val="none"/>
                <w:effect w:val="none"/>
              </w:rPr>
              <w:t>October 1, 2013</w:t>
            </w:r>
            <w:r>
              <w:rPr>
                <w:rFonts w:ascii="inherit" w:hAnsi="inherit"/>
                <w:sz w:val="17"/>
              </w:rPr>
              <w:t>.</w:t>
            </w:r>
          </w:p>
        </w:tc>
      </w:tr>
    </w:tbl>
    <w:tbl>
      <w:tblPr>
        <w:tblW w:w="10205" w:type="dxa"/>
        <w:jc w:val="left"/>
        <w:tblInd w:w="0" w:type="dxa"/>
        <w:tblCellMar>
          <w:top w:w="0" w:type="dxa"/>
          <w:left w:w="0" w:type="dxa"/>
          <w:bottom w:w="0" w:type="dxa"/>
          <w:right w:w="0" w:type="dxa"/>
        </w:tblCellMar>
      </w:tblPr>
      <w:tblGrid>
        <w:gridCol w:w="221"/>
        <w:gridCol w:w="9984"/>
      </w:tblGrid>
      <w:tr>
        <w:trPr/>
        <w:tc>
          <w:tcPr>
            <w:tcW w:w="221" w:type="dxa"/>
            <w:tcBorders/>
            <w:shd w:fill="auto" w:val="clear"/>
            <w:vAlign w:val="center"/>
          </w:tcPr>
          <w:p>
            <w:pPr>
              <w:pStyle w:val="TableContents"/>
              <w:spacing w:before="0" w:after="283"/>
              <w:rPr>
                <w:sz w:val="4"/>
                <w:szCs w:val="4"/>
              </w:rPr>
            </w:pPr>
            <w:r>
              <w:rPr>
                <w:sz w:val="4"/>
                <w:szCs w:val="4"/>
              </w:rPr>
            </w:r>
          </w:p>
        </w:tc>
        <w:tc>
          <w:tcPr>
            <w:tcW w:w="9984" w:type="dxa"/>
            <w:tcBorders/>
            <w:shd w:fill="auto" w:val="clear"/>
            <w:vAlign w:val="center"/>
          </w:tcPr>
          <w:p>
            <w:pPr>
              <w:pStyle w:val="TableContents"/>
              <w:spacing w:before="0" w:after="283"/>
              <w:rPr>
                <w:sz w:val="4"/>
                <w:szCs w:val="4"/>
              </w:rPr>
            </w:pPr>
            <w:r>
              <w:rPr>
                <w:sz w:val="4"/>
                <w:szCs w:val="4"/>
              </w:rPr>
            </w:r>
          </w:p>
        </w:tc>
      </w:tr>
      <w:tr>
        <w:trPr/>
        <w:tc>
          <w:tcPr>
            <w:tcW w:w="221"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(3)</w:t>
            </w:r>
          </w:p>
        </w:tc>
        <w:tc>
          <w:tcPr>
            <w:tcW w:w="9984"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Assumes that the selling stockholder sells all of the shares offered by this prospectus and that prior to the sale of such shares the selling stockholder does not acquire additional shares or dispose of any shares beneficially owned by the selling stockholder that are not being offered pursuant to this prospectus.</w:t>
            </w:r>
          </w:p>
        </w:tc>
      </w:tr>
    </w:tbl>
    <w:tbl>
      <w:tblPr>
        <w:tblW w:w="10205" w:type="dxa"/>
        <w:jc w:val="left"/>
        <w:tblInd w:w="0" w:type="dxa"/>
        <w:tblCellMar>
          <w:top w:w="0" w:type="dxa"/>
          <w:left w:w="0" w:type="dxa"/>
          <w:bottom w:w="0" w:type="dxa"/>
          <w:right w:w="0" w:type="dxa"/>
        </w:tblCellMar>
      </w:tblPr>
      <w:tblGrid>
        <w:gridCol w:w="215"/>
        <w:gridCol w:w="9990"/>
      </w:tblGrid>
      <w:tr>
        <w:trPr/>
        <w:tc>
          <w:tcPr>
            <w:tcW w:w="215" w:type="dxa"/>
            <w:tcBorders/>
            <w:shd w:fill="auto" w:val="clear"/>
            <w:vAlign w:val="center"/>
          </w:tcPr>
          <w:p>
            <w:pPr>
              <w:pStyle w:val="TableContents"/>
              <w:spacing w:before="0" w:after="283"/>
              <w:rPr>
                <w:sz w:val="4"/>
                <w:szCs w:val="4"/>
              </w:rPr>
            </w:pPr>
            <w:r>
              <w:rPr>
                <w:sz w:val="4"/>
                <w:szCs w:val="4"/>
              </w:rPr>
            </w:r>
          </w:p>
        </w:tc>
        <w:tc>
          <w:tcPr>
            <w:tcW w:w="9990" w:type="dxa"/>
            <w:tcBorders/>
            <w:shd w:fill="auto" w:val="clear"/>
            <w:vAlign w:val="center"/>
          </w:tcPr>
          <w:p>
            <w:pPr>
              <w:pStyle w:val="TableContents"/>
              <w:spacing w:before="0" w:after="283"/>
              <w:rPr>
                <w:sz w:val="4"/>
                <w:szCs w:val="4"/>
              </w:rPr>
            </w:pPr>
            <w:r>
              <w:rPr>
                <w:sz w:val="4"/>
                <w:szCs w:val="4"/>
              </w:rPr>
            </w:r>
          </w:p>
        </w:tc>
      </w:tr>
      <w:tr>
        <w:trPr/>
        <w:tc>
          <w:tcPr>
            <w:tcW w:w="215"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 xml:space="preserve">(4) </w:t>
            </w:r>
          </w:p>
        </w:tc>
        <w:tc>
          <w:tcPr>
            <w:tcW w:w="999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James R. Carnes Revocable Trust u/t/a February 10, 2010 is a revocable trust of which James R. Carnes and Melissa C. Carnes are the co-trustees and Mr. Carnes is the sole current beneficiary. Mr. Carnes has sole investment power with respect to the shares of our Class A Non-Voting Common Stock owned of record by James R. Carnes Revocable Trust u/t/a February 10, 2010. Mr. Carnes may be deemed to share beneficial ownership of the shares of our Class A Non-Voting Common Stock owned of record by James R. Carnes Revocable Trust u/t/a February 10, 2010. Shortly after the closing of our acquisition of certain assets pursuant to the Purchase Agreement, Mr. Carnes became, and is currently serving as, an employee of one of our subsidiaries.</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w:t>
      </w:r>
      <w:r>
        <w:br w:type="page"/>
      </w:r>
    </w:p>
    <w:p>
      <w:pPr>
        <w:pStyle w:val="TextBody"/>
        <w:spacing w:before="0" w:after="0"/>
        <w:rPr/>
      </w:pPr>
      <w:r>
        <w:rPr/>
      </w:r>
      <w:bookmarkStart w:id="19" w:name="s7492BDE14C46D20632E86FA02E85176B"/>
      <w:bookmarkStart w:id="20" w:name="s7492BDE14C46D20632E86FA02E85176B"/>
      <w:bookmarkEnd w:id="20"/>
    </w:p>
    <w:p>
      <w:pPr>
        <w:pStyle w:val="TextBody"/>
        <w:spacing w:lineRule="auto" w:line="288" w:before="0" w:after="0"/>
        <w:jc w:val="center"/>
        <w:rPr>
          <w:rFonts w:ascii="inherit" w:hAnsi="inherit"/>
          <w:b/>
          <w:sz w:val="17"/>
        </w:rPr>
      </w:pPr>
      <w:r>
        <w:rPr>
          <w:rFonts w:ascii="inherit" w:hAnsi="inherit"/>
          <w:b/>
          <w:sz w:val="17"/>
        </w:rPr>
        <w:t>PLAN OF DISTRIBUTION</w:t>
      </w:r>
    </w:p>
    <w:p>
      <w:pPr>
        <w:pStyle w:val="TextBody"/>
        <w:spacing w:lineRule="auto" w:line="288" w:before="0" w:after="0"/>
        <w:jc w:val="left"/>
        <w:rPr>
          <w:rFonts w:ascii="inherit" w:hAnsi="inherit"/>
          <w:b/>
          <w:i/>
          <w:sz w:val="17"/>
        </w:rPr>
      </w:pPr>
      <w:r>
        <w:rPr>
          <w:rFonts w:ascii="inherit" w:hAnsi="inherit"/>
          <w:b/>
          <w:i/>
          <w:sz w:val="17"/>
        </w:rPr>
        <w:t>Resales by the Selling Stockholder</w:t>
      </w:r>
    </w:p>
    <w:p>
      <w:pPr>
        <w:pStyle w:val="TextBody"/>
        <w:spacing w:lineRule="auto" w:line="288" w:before="0" w:after="0"/>
        <w:jc w:val="left"/>
        <w:rPr/>
      </w:pPr>
      <w:r>
        <w:rPr/>
        <w:t xml:space="preserve">        </w:t>
      </w:r>
      <w:r>
        <w:rPr>
          <w:rFonts w:ascii="inherit" w:hAnsi="inherit"/>
          <w:sz w:val="17"/>
        </w:rPr>
        <w:t>We are registering the shares of our Class A Non-Voting Common Stock on behalf of the selling stockholder pursuant to the terms of the Purchase Agreement, and we will not receive any of the proceeds from the sale by the selling stockholder of any such shares. The selling stockholder will act independently of us in making decisions with respect to the timing, manner and size of each sale.</w:t>
      </w:r>
    </w:p>
    <w:p>
      <w:pPr>
        <w:pStyle w:val="TextBody"/>
        <w:spacing w:lineRule="auto" w:line="288" w:before="0" w:after="0"/>
        <w:jc w:val="left"/>
        <w:rPr>
          <w:rFonts w:ascii="inherit" w:hAnsi="inherit"/>
          <w:b/>
          <w:i/>
          <w:sz w:val="17"/>
        </w:rPr>
      </w:pPr>
      <w:r>
        <w:rPr>
          <w:rFonts w:ascii="inherit" w:hAnsi="inherit"/>
          <w:b/>
          <w:i/>
          <w:sz w:val="17"/>
        </w:rPr>
        <w:t>Types of Sale Transactions</w:t>
      </w:r>
    </w:p>
    <w:p>
      <w:pPr>
        <w:pStyle w:val="TextBody"/>
        <w:spacing w:lineRule="auto" w:line="288" w:before="0" w:after="0"/>
        <w:jc w:val="left"/>
        <w:rPr/>
      </w:pPr>
      <w:r>
        <w:rPr/>
        <w:t xml:space="preserve">        </w:t>
      </w:r>
      <w:r>
        <w:rPr>
          <w:rFonts w:ascii="inherit" w:hAnsi="inherit"/>
          <w:sz w:val="17"/>
        </w:rPr>
        <w:t>The selling stockholder has informed us that it has adopted a pre-arranged Rule 10b5-1 stock trading plan allowing it to sell all of its shares over time as part of its financial, tax and/or estate planning. The selling stockholder may sell its shares of our Class A Non-Voting Common Stock registered under the registration statement of which this prospectus is a part through such Rule 10b5-1 plan. Under a Rule 10b5-1 plan, a broker executes trades pursuant to parameters established by a selling stockholder when entering into the plan, without further direction from the selling stockholder. The selling stockholder has informed us that it has the right to terminate its Rule 10b5-1 plan in accordance with its terms.</w:t>
      </w:r>
    </w:p>
    <w:p>
      <w:pPr>
        <w:pStyle w:val="TextBody"/>
        <w:spacing w:lineRule="auto" w:line="288" w:before="0" w:after="0"/>
        <w:jc w:val="left"/>
        <w:rPr/>
      </w:pPr>
      <w:r>
        <w:rPr/>
        <w:t xml:space="preserve">        </w:t>
      </w:r>
      <w:r>
        <w:rPr>
          <w:rFonts w:ascii="inherit" w:hAnsi="inherit"/>
          <w:sz w:val="17"/>
        </w:rPr>
        <w:t>The selling stockholder may sell the shares of our Class A Non-Voting Common Stock offered by this prospectus at market prices prevailing at the time of sale, at prices related to such prevailing market prices, at negotiated prices or at fixed prices that may be changed. Sales of shares of our Class A Non-Voting Common Stock by the selling stockholder may occur from time to time in one or more of the following types of transactions (which may involve crosses or block transactions):</w:t>
      </w:r>
    </w:p>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through the NASDAQ Global Select Market or any other securities exchange that quotes our Class A Non-Voting Common Stock;</w:t>
            </w:r>
          </w:p>
        </w:tc>
      </w:tr>
    </w:tbl>
    <w:p>
      <w:pPr>
        <w:pStyle w:val="TextBody"/>
        <w:spacing w:lineRule="auto" w:line="288" w:before="0" w:after="0"/>
        <w:ind w:left="0" w:right="0" w:firstLine="1440"/>
        <w:jc w:val="left"/>
        <w:rPr>
          <w:rFonts w:ascii="inherit" w:hAnsi="inherit"/>
          <w:sz w:val="17"/>
        </w:rPr>
      </w:pPr>
      <w:r>
        <w:rPr>
          <w:rFonts w:ascii="inherit" w:hAnsi="inherit"/>
          <w:sz w:val="17"/>
        </w:rPr>
      </w:r>
    </w:p>
    <w:tbl>
      <w:tblPr>
        <w:tblW w:w="3880" w:type="dxa"/>
        <w:jc w:val="left"/>
        <w:tblInd w:w="0" w:type="dxa"/>
        <w:tblCellMar>
          <w:top w:w="0" w:type="dxa"/>
          <w:left w:w="0" w:type="dxa"/>
          <w:bottom w:w="0" w:type="dxa"/>
          <w:right w:w="0" w:type="dxa"/>
        </w:tblCellMar>
      </w:tblPr>
      <w:tblGrid>
        <w:gridCol w:w="1205"/>
        <w:gridCol w:w="2675"/>
      </w:tblGrid>
      <w:tr>
        <w:trPr/>
        <w:tc>
          <w:tcPr>
            <w:tcW w:w="1205" w:type="dxa"/>
            <w:tcBorders/>
            <w:shd w:fill="auto" w:val="clear"/>
            <w:vAlign w:val="center"/>
          </w:tcPr>
          <w:p>
            <w:pPr>
              <w:pStyle w:val="TableContents"/>
              <w:spacing w:before="0" w:after="283"/>
              <w:rPr>
                <w:sz w:val="4"/>
                <w:szCs w:val="4"/>
              </w:rPr>
            </w:pPr>
            <w:r>
              <w:rPr>
                <w:sz w:val="4"/>
                <w:szCs w:val="4"/>
              </w:rPr>
            </w:r>
          </w:p>
        </w:tc>
        <w:tc>
          <w:tcPr>
            <w:tcW w:w="2675"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267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in the over-the-counter market;</w:t>
            </w:r>
          </w:p>
        </w:tc>
      </w:tr>
    </w:tbl>
    <w:p>
      <w:pPr>
        <w:pStyle w:val="TextBody"/>
        <w:spacing w:lineRule="auto" w:line="288" w:before="0" w:after="0"/>
        <w:ind w:left="0" w:right="0" w:firstLine="1440"/>
        <w:jc w:val="left"/>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in transactions other than on those exchanges or in the over-the-counter market (including negotiated transactions and other private transactions);</w:t>
            </w:r>
          </w:p>
        </w:tc>
      </w:tr>
    </w:tbl>
    <w:p>
      <w:pPr>
        <w:pStyle w:val="TextBody"/>
        <w:spacing w:lineRule="auto" w:line="288" w:before="0" w:after="0"/>
        <w:ind w:left="0" w:right="0" w:firstLine="1440"/>
        <w:jc w:val="left"/>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in short sales (sales of shares completed by delivery of borrowed stock) of our Class A Non-Voting Common Stock, in transactions to cover short sales or otherwise in connection with short sales;</w:t>
            </w:r>
          </w:p>
        </w:tc>
      </w:tr>
    </w:tbl>
    <w:p>
      <w:pPr>
        <w:pStyle w:val="TextBody"/>
        <w:spacing w:lineRule="auto" w:line="288" w:before="0" w:after="0"/>
        <w:ind w:left="0" w:right="0" w:firstLine="1440"/>
        <w:jc w:val="left"/>
        <w:rPr>
          <w:rFonts w:ascii="inherit" w:hAnsi="inherit"/>
          <w:sz w:val="17"/>
        </w:rPr>
      </w:pPr>
      <w:r>
        <w:rPr>
          <w:rFonts w:ascii="inherit" w:hAnsi="inherit"/>
          <w:sz w:val="17"/>
        </w:rPr>
      </w:r>
    </w:p>
    <w:tbl>
      <w:tblPr>
        <w:tblW w:w="7780" w:type="dxa"/>
        <w:jc w:val="left"/>
        <w:tblInd w:w="0" w:type="dxa"/>
        <w:tblCellMar>
          <w:top w:w="0" w:type="dxa"/>
          <w:left w:w="0" w:type="dxa"/>
          <w:bottom w:w="0" w:type="dxa"/>
          <w:right w:w="0" w:type="dxa"/>
        </w:tblCellMar>
      </w:tblPr>
      <w:tblGrid>
        <w:gridCol w:w="1205"/>
        <w:gridCol w:w="6575"/>
      </w:tblGrid>
      <w:tr>
        <w:trPr/>
        <w:tc>
          <w:tcPr>
            <w:tcW w:w="1205" w:type="dxa"/>
            <w:tcBorders/>
            <w:shd w:fill="auto" w:val="clear"/>
            <w:vAlign w:val="center"/>
          </w:tcPr>
          <w:p>
            <w:pPr>
              <w:pStyle w:val="TableContents"/>
              <w:spacing w:before="0" w:after="283"/>
              <w:rPr>
                <w:sz w:val="4"/>
                <w:szCs w:val="4"/>
              </w:rPr>
            </w:pPr>
            <w:r>
              <w:rPr>
                <w:sz w:val="4"/>
                <w:szCs w:val="4"/>
              </w:rPr>
            </w:r>
          </w:p>
        </w:tc>
        <w:tc>
          <w:tcPr>
            <w:tcW w:w="6575"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657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by pledge to secure debts and other obligations or on foreclosure of a pledge; </w:t>
            </w:r>
          </w:p>
        </w:tc>
      </w:tr>
    </w:tbl>
    <w:p>
      <w:pPr>
        <w:pStyle w:val="TextBody"/>
        <w:spacing w:lineRule="auto" w:line="288" w:before="0" w:after="0"/>
        <w:ind w:left="0" w:right="0" w:firstLine="1440"/>
        <w:jc w:val="left"/>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through put or call options, including the writing of exchange-traded call options, or other hedging transactions related to our Class A Non-Voting Common Stock; </w:t>
            </w:r>
          </w:p>
        </w:tc>
      </w:tr>
    </w:tbl>
    <w:p>
      <w:pPr>
        <w:pStyle w:val="TextBody"/>
        <w:spacing w:lineRule="auto" w:line="288" w:before="0" w:after="0"/>
        <w:ind w:left="0" w:right="0" w:firstLine="1440"/>
        <w:jc w:val="left"/>
        <w:rPr>
          <w:rFonts w:ascii="inherit" w:hAnsi="inherit"/>
          <w:sz w:val="17"/>
        </w:rPr>
      </w:pPr>
      <w:r>
        <w:rPr>
          <w:rFonts w:ascii="inherit" w:hAnsi="inherit"/>
          <w:sz w:val="17"/>
        </w:rPr>
      </w:r>
    </w:p>
    <w:tbl>
      <w:tblPr>
        <w:tblW w:w="8095" w:type="dxa"/>
        <w:jc w:val="left"/>
        <w:tblInd w:w="0" w:type="dxa"/>
        <w:tblCellMar>
          <w:top w:w="0" w:type="dxa"/>
          <w:left w:w="0" w:type="dxa"/>
          <w:bottom w:w="0" w:type="dxa"/>
          <w:right w:w="0" w:type="dxa"/>
        </w:tblCellMar>
      </w:tblPr>
      <w:tblGrid>
        <w:gridCol w:w="1205"/>
        <w:gridCol w:w="6890"/>
      </w:tblGrid>
      <w:tr>
        <w:trPr/>
        <w:tc>
          <w:tcPr>
            <w:tcW w:w="1205" w:type="dxa"/>
            <w:tcBorders/>
            <w:shd w:fill="auto" w:val="clear"/>
            <w:vAlign w:val="center"/>
          </w:tcPr>
          <w:p>
            <w:pPr>
              <w:pStyle w:val="TableContents"/>
              <w:spacing w:before="0" w:after="283"/>
              <w:rPr>
                <w:sz w:val="4"/>
                <w:szCs w:val="4"/>
              </w:rPr>
            </w:pPr>
            <w:r>
              <w:rPr>
                <w:sz w:val="4"/>
                <w:szCs w:val="4"/>
              </w:rPr>
            </w:r>
          </w:p>
        </w:tc>
        <w:tc>
          <w:tcPr>
            <w:tcW w:w="689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689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an exchange distribution in accordance with the rules of the applicable exchange; </w:t>
            </w:r>
          </w:p>
        </w:tc>
      </w:tr>
    </w:tbl>
    <w:p>
      <w:pPr>
        <w:pStyle w:val="TextBody"/>
        <w:spacing w:lineRule="auto" w:line="288" w:before="0" w:after="0"/>
        <w:ind w:left="0" w:right="0" w:firstLine="1440"/>
        <w:jc w:val="left"/>
        <w:rPr>
          <w:rFonts w:ascii="inherit" w:hAnsi="inherit"/>
          <w:sz w:val="17"/>
        </w:rPr>
      </w:pPr>
      <w:r>
        <w:rPr>
          <w:rFonts w:ascii="inherit" w:hAnsi="inherit"/>
          <w:sz w:val="17"/>
        </w:rPr>
      </w:r>
    </w:p>
    <w:tbl>
      <w:tblPr>
        <w:tblW w:w="5650" w:type="dxa"/>
        <w:jc w:val="left"/>
        <w:tblInd w:w="0" w:type="dxa"/>
        <w:tblCellMar>
          <w:top w:w="0" w:type="dxa"/>
          <w:left w:w="0" w:type="dxa"/>
          <w:bottom w:w="0" w:type="dxa"/>
          <w:right w:w="0" w:type="dxa"/>
        </w:tblCellMar>
      </w:tblPr>
      <w:tblGrid>
        <w:gridCol w:w="1205"/>
        <w:gridCol w:w="4445"/>
      </w:tblGrid>
      <w:tr>
        <w:trPr/>
        <w:tc>
          <w:tcPr>
            <w:tcW w:w="1205" w:type="dxa"/>
            <w:tcBorders/>
            <w:shd w:fill="auto" w:val="clear"/>
            <w:vAlign w:val="center"/>
          </w:tcPr>
          <w:p>
            <w:pPr>
              <w:pStyle w:val="TableContents"/>
              <w:spacing w:before="0" w:after="283"/>
              <w:rPr>
                <w:sz w:val="4"/>
                <w:szCs w:val="4"/>
              </w:rPr>
            </w:pPr>
            <w:r>
              <w:rPr>
                <w:sz w:val="4"/>
                <w:szCs w:val="4"/>
              </w:rPr>
            </w:r>
          </w:p>
        </w:tc>
        <w:tc>
          <w:tcPr>
            <w:tcW w:w="4445"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444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in a combination of any of the above transactions; or</w:t>
            </w:r>
          </w:p>
        </w:tc>
      </w:tr>
    </w:tbl>
    <w:p>
      <w:pPr>
        <w:pStyle w:val="TextBody"/>
        <w:spacing w:lineRule="auto" w:line="288" w:before="0" w:after="0"/>
        <w:ind w:left="0" w:right="0" w:firstLine="1440"/>
        <w:jc w:val="left"/>
        <w:rPr>
          <w:rFonts w:ascii="inherit" w:hAnsi="inherit"/>
          <w:sz w:val="17"/>
        </w:rPr>
      </w:pPr>
      <w:r>
        <w:rPr>
          <w:rFonts w:ascii="inherit" w:hAnsi="inherit"/>
          <w:sz w:val="17"/>
        </w:rPr>
      </w:r>
    </w:p>
    <w:tbl>
      <w:tblPr>
        <w:tblW w:w="5890" w:type="dxa"/>
        <w:jc w:val="left"/>
        <w:tblInd w:w="0" w:type="dxa"/>
        <w:tblCellMar>
          <w:top w:w="0" w:type="dxa"/>
          <w:left w:w="0" w:type="dxa"/>
          <w:bottom w:w="0" w:type="dxa"/>
          <w:right w:w="0" w:type="dxa"/>
        </w:tblCellMar>
      </w:tblPr>
      <w:tblGrid>
        <w:gridCol w:w="1205"/>
        <w:gridCol w:w="4685"/>
      </w:tblGrid>
      <w:tr>
        <w:trPr/>
        <w:tc>
          <w:tcPr>
            <w:tcW w:w="1205" w:type="dxa"/>
            <w:tcBorders/>
            <w:shd w:fill="auto" w:val="clear"/>
            <w:vAlign w:val="center"/>
          </w:tcPr>
          <w:p>
            <w:pPr>
              <w:pStyle w:val="TableContents"/>
              <w:spacing w:before="0" w:after="283"/>
              <w:rPr>
                <w:sz w:val="4"/>
                <w:szCs w:val="4"/>
              </w:rPr>
            </w:pPr>
            <w:r>
              <w:rPr>
                <w:sz w:val="4"/>
                <w:szCs w:val="4"/>
              </w:rPr>
            </w:r>
          </w:p>
        </w:tc>
        <w:tc>
          <w:tcPr>
            <w:tcW w:w="4685"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468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any other method permitted pursuant to applicable law.</w:t>
            </w:r>
          </w:p>
        </w:tc>
      </w:tr>
    </w:tbl>
    <w:p>
      <w:pPr>
        <w:pStyle w:val="TextBody"/>
        <w:spacing w:lineRule="auto" w:line="288" w:before="0" w:after="0"/>
        <w:ind w:left="0" w:right="0" w:firstLine="1440"/>
        <w:jc w:val="left"/>
        <w:rPr>
          <w:rFonts w:ascii="inherit" w:hAnsi="inherit"/>
          <w:sz w:val="17"/>
        </w:rPr>
      </w:pPr>
      <w:r>
        <w:rPr>
          <w:rFonts w:ascii="inherit" w:hAnsi="inherit"/>
          <w:sz w:val="17"/>
        </w:rPr>
      </w:r>
    </w:p>
    <w:p>
      <w:pPr>
        <w:pStyle w:val="TextBody"/>
        <w:spacing w:lineRule="auto" w:line="288" w:before="0" w:after="0"/>
        <w:ind w:left="0" w:right="0" w:firstLine="720"/>
        <w:jc w:val="left"/>
        <w:rPr>
          <w:rFonts w:ascii="inherit" w:hAnsi="inherit"/>
          <w:sz w:val="17"/>
        </w:rPr>
      </w:pPr>
      <w:r>
        <w:rPr>
          <w:rFonts w:ascii="inherit" w:hAnsi="inherit"/>
          <w:sz w:val="17"/>
        </w:rPr>
        <w:t>The selling stockholder may enter into hedging transactions from time to time in which it may:</w:t>
      </w:r>
    </w:p>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enter into transactions with a broker-dealer or any other person in connection with which such broker-dealer or other person will engage in short sales of our Class A Non-Voting Common Stock, in which case such broker-dealer or other person may use shares of our Class A Non-Voting Common Stock received from the selling stockholder to close out its short positions;</w:t>
            </w:r>
          </w:p>
        </w:tc>
      </w:tr>
    </w:tbl>
    <w:p>
      <w:pPr>
        <w:pStyle w:val="TextBody"/>
        <w:spacing w:lineRule="auto" w:line="288" w:before="0" w:after="0"/>
        <w:ind w:left="0" w:right="0" w:firstLine="1440"/>
        <w:jc w:val="left"/>
        <w:rPr>
          <w:rFonts w:ascii="inherit" w:hAnsi="inherit"/>
          <w:sz w:val="17"/>
        </w:rPr>
      </w:pPr>
      <w:r>
        <w:rPr>
          <w:rFonts w:ascii="inherit" w:hAnsi="inherit"/>
          <w:sz w:val="17"/>
        </w:rPr>
      </w:r>
    </w:p>
    <w:p>
      <w:pPr>
        <w:pStyle w:val="TextBody"/>
        <w:rPr/>
      </w:pPr>
      <w:r>
        <w:rPr/>
      </w:r>
      <w:r>
        <w:br w:type="page"/>
      </w:r>
    </w:p>
    <w:p>
      <w:pPr>
        <w:pStyle w:val="TextBody"/>
        <w:spacing w:before="0" w:after="0"/>
        <w:rPr/>
      </w:pPr>
      <w:r>
        <w:rPr/>
      </w:r>
      <w:bookmarkStart w:id="21" w:name="s7492BDE14C46D20632E86FA02E85176B1"/>
      <w:bookmarkStart w:id="22" w:name="s7492BDE14C46D20632E86FA02E85176B1"/>
      <w:bookmarkEnd w:id="22"/>
    </w:p>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sell our Class A Non-Voting Common Stock short itself and redeliver shares offered by this prospectus to close out its short positions or to close out stock loans incurred in connection with its short positions;</w:t>
            </w:r>
          </w:p>
        </w:tc>
      </w:tr>
    </w:tbl>
    <w:p>
      <w:pPr>
        <w:pStyle w:val="TextBody"/>
        <w:spacing w:lineRule="auto" w:line="288" w:before="0" w:after="0"/>
        <w:ind w:left="0" w:right="0" w:firstLine="1440"/>
        <w:jc w:val="left"/>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enter into option or other types of transactions that require the selling stockholder to deliver our Class A Non-Voting Common Stock to a broker-dealer or any other person, who will then resell or transfer the Class A Non-Voting Common Stock under this prospectus; or</w:t>
            </w:r>
          </w:p>
        </w:tc>
      </w:tr>
    </w:tbl>
    <w:p>
      <w:pPr>
        <w:pStyle w:val="TextBody"/>
        <w:spacing w:lineRule="auto" w:line="288" w:before="0" w:after="0"/>
        <w:ind w:left="0" w:right="0" w:firstLine="1440"/>
        <w:jc w:val="left"/>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loan or pledge our Class A Non-Voting Common Stock to a broker-dealer or any other person, who may sell the loaned shares or, in an event of default in the case of a pledge, sell the pledged shares under this prospectus.</w:t>
            </w:r>
          </w:p>
        </w:tc>
      </w:tr>
    </w:tbl>
    <w:p>
      <w:pPr>
        <w:pStyle w:val="TextBody"/>
        <w:spacing w:lineRule="auto" w:line="288" w:before="0" w:after="0"/>
        <w:ind w:left="0" w:right="0" w:firstLine="1440"/>
        <w:jc w:val="left"/>
        <w:rPr>
          <w:rFonts w:ascii="inherit" w:hAnsi="inherit"/>
          <w:sz w:val="17"/>
        </w:rPr>
      </w:pPr>
      <w:r>
        <w:rPr>
          <w:rFonts w:ascii="inherit" w:hAnsi="inherit"/>
          <w:sz w:val="17"/>
        </w:rPr>
      </w:r>
    </w:p>
    <w:p>
      <w:pPr>
        <w:pStyle w:val="TextBody"/>
        <w:spacing w:lineRule="auto" w:line="288" w:before="0" w:after="0"/>
        <w:ind w:left="0" w:right="0" w:firstLine="720"/>
        <w:jc w:val="left"/>
        <w:rPr>
          <w:rFonts w:ascii="inherit" w:hAnsi="inherit"/>
          <w:sz w:val="17"/>
        </w:rPr>
      </w:pPr>
      <w:r>
        <w:rPr>
          <w:rFonts w:ascii="inherit" w:hAnsi="inherit"/>
          <w:sz w:val="17"/>
        </w:rPr>
        <w:t>The selling stockholder may use broker-dealers or other persons to sell its shares in transactions that may include one or more of the following:</w:t>
      </w:r>
    </w:p>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 block trade in which a broker-dealer or other person may resell a portion of the block, as principal or agent, in order to facilitate the transaction;</w:t>
            </w:r>
          </w:p>
        </w:tc>
      </w:tr>
    </w:tbl>
    <w:p>
      <w:pPr>
        <w:pStyle w:val="TextBody"/>
        <w:spacing w:lineRule="auto" w:line="288" w:before="0" w:after="0"/>
        <w:ind w:left="0" w:right="0" w:firstLine="1440"/>
        <w:jc w:val="left"/>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purchases by a broker-dealer or other person, as principal, and resale by the broker-dealer or other person for its account; or</w:t>
            </w:r>
          </w:p>
        </w:tc>
      </w:tr>
    </w:tbl>
    <w:p>
      <w:pPr>
        <w:pStyle w:val="TextBody"/>
        <w:spacing w:lineRule="auto" w:line="288" w:before="0" w:after="0"/>
        <w:ind w:left="0" w:right="0" w:firstLine="1440"/>
        <w:jc w:val="left"/>
        <w:rPr>
          <w:rFonts w:ascii="inherit" w:hAnsi="inherit"/>
          <w:sz w:val="17"/>
        </w:rPr>
      </w:pPr>
      <w:r>
        <w:rPr>
          <w:rFonts w:ascii="inherit" w:hAnsi="inherit"/>
          <w:sz w:val="17"/>
        </w:rPr>
      </w:r>
    </w:p>
    <w:tbl>
      <w:tblPr>
        <w:tblW w:w="9115" w:type="dxa"/>
        <w:jc w:val="left"/>
        <w:tblInd w:w="0" w:type="dxa"/>
        <w:tblCellMar>
          <w:top w:w="0" w:type="dxa"/>
          <w:left w:w="0" w:type="dxa"/>
          <w:bottom w:w="0" w:type="dxa"/>
          <w:right w:w="0" w:type="dxa"/>
        </w:tblCellMar>
      </w:tblPr>
      <w:tblGrid>
        <w:gridCol w:w="1205"/>
        <w:gridCol w:w="7910"/>
      </w:tblGrid>
      <w:tr>
        <w:trPr/>
        <w:tc>
          <w:tcPr>
            <w:tcW w:w="1205" w:type="dxa"/>
            <w:tcBorders/>
            <w:shd w:fill="auto" w:val="clear"/>
            <w:vAlign w:val="center"/>
          </w:tcPr>
          <w:p>
            <w:pPr>
              <w:pStyle w:val="TableContents"/>
              <w:spacing w:before="0" w:after="283"/>
              <w:rPr>
                <w:sz w:val="4"/>
                <w:szCs w:val="4"/>
              </w:rPr>
            </w:pPr>
            <w:r>
              <w:rPr>
                <w:sz w:val="4"/>
                <w:szCs w:val="4"/>
              </w:rPr>
            </w:r>
          </w:p>
        </w:tc>
        <w:tc>
          <w:tcPr>
            <w:tcW w:w="791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791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ordinary brokerage transactions and transactions in which a broker-dealer solicits purchasers.</w:t>
            </w:r>
          </w:p>
        </w:tc>
      </w:tr>
    </w:tbl>
    <w:p>
      <w:pPr>
        <w:pStyle w:val="TextBody"/>
        <w:spacing w:lineRule="auto" w:line="288" w:before="0" w:after="0"/>
        <w:ind w:left="0" w:right="0" w:firstLine="1440"/>
        <w:jc w:val="left"/>
        <w:rPr>
          <w:rFonts w:ascii="inherit" w:hAnsi="inherit"/>
          <w:sz w:val="17"/>
        </w:rPr>
      </w:pPr>
      <w:r>
        <w:rPr>
          <w:rFonts w:ascii="inherit" w:hAnsi="inherit"/>
          <w:sz w:val="17"/>
        </w:rPr>
      </w:r>
    </w:p>
    <w:p>
      <w:pPr>
        <w:pStyle w:val="TextBody"/>
        <w:spacing w:lineRule="auto" w:line="288" w:before="0" w:after="0"/>
        <w:ind w:left="0" w:right="0" w:firstLine="720"/>
        <w:jc w:val="left"/>
        <w:rPr>
          <w:rFonts w:ascii="inherit" w:hAnsi="inherit"/>
          <w:sz w:val="17"/>
        </w:rPr>
      </w:pPr>
      <w:r>
        <w:rPr>
          <w:rFonts w:ascii="inherit" w:hAnsi="inherit"/>
          <w:sz w:val="17"/>
        </w:rPr>
        <w:t>Resales by the selling stockholder may be made directly to investors or through securities firms acting as underwriters, brokers or dealers. When resales are to be made through a securities firm, the securities firm may be engaged to act as the selling stockholder’s agent in the resale of the shares of our Class A Non-Voting Common Stock by the selling stockholder or the securities firm may purchase shares of our Class A Non-Voting Common Stock from the selling stockholder as principal and thereafter resell those shares from time to time. The fees earned by or paid to the securities firm may be the normal stock exchange commission or negotiated commissions or underwriting discounts or concessions to the extent permissible. The securities firm may resell the securities through other securities dealers, and commissions or concessions to those other dealers may be allowed.</w:t>
      </w:r>
    </w:p>
    <w:p>
      <w:pPr>
        <w:pStyle w:val="TextBody"/>
        <w:spacing w:lineRule="auto" w:line="288" w:before="0" w:after="0"/>
        <w:ind w:left="0" w:right="0" w:firstLine="720"/>
        <w:jc w:val="left"/>
        <w:rPr>
          <w:rFonts w:ascii="inherit" w:hAnsi="inherit"/>
          <w:sz w:val="17"/>
        </w:rPr>
      </w:pPr>
      <w:r>
        <w:rPr>
          <w:rFonts w:ascii="inherit" w:hAnsi="inherit"/>
          <w:sz w:val="17"/>
        </w:rPr>
        <w:t>The selling stockholder and any agent, broker or dealer that participates in sales of our Class A Non-Voting Common Stock offered by this prospectus may be deemed “underwriters” under the Securities Act, and any commissions or other consideration received by any agent, broker or dealer may be considered underwriting discounts or commissions under the Securities Act.</w:t>
      </w:r>
    </w:p>
    <w:p>
      <w:pPr>
        <w:pStyle w:val="TextBody"/>
        <w:spacing w:lineRule="auto" w:line="288" w:before="0" w:after="0"/>
        <w:ind w:left="0" w:right="0" w:firstLine="720"/>
        <w:jc w:val="left"/>
        <w:rPr>
          <w:rFonts w:ascii="inherit" w:hAnsi="inherit"/>
          <w:sz w:val="17"/>
        </w:rPr>
      </w:pPr>
      <w:r>
        <w:rPr>
          <w:rFonts w:ascii="inherit" w:hAnsi="inherit"/>
          <w:sz w:val="17"/>
        </w:rPr>
        <w:t>Instead of selling shares of our Class A Non-Voting Common Stock under this prospectus, the selling stockholder may sell shares of our Class A Non-Voting Common Stock in compliance with the provisions of Rule 144 under the Securities Act, if available.</w:t>
      </w:r>
    </w:p>
    <w:p>
      <w:pPr>
        <w:pStyle w:val="TextBody"/>
        <w:spacing w:lineRule="auto" w:line="288" w:before="0" w:after="0"/>
        <w:jc w:val="left"/>
        <w:rPr>
          <w:rFonts w:ascii="inherit" w:hAnsi="inherit"/>
          <w:b/>
          <w:i/>
          <w:sz w:val="17"/>
        </w:rPr>
      </w:pPr>
      <w:r>
        <w:rPr>
          <w:rFonts w:ascii="inherit" w:hAnsi="inherit"/>
          <w:b/>
          <w:i/>
          <w:sz w:val="17"/>
        </w:rPr>
        <w:t>Regulation M</w:t>
      </w:r>
    </w:p>
    <w:p>
      <w:pPr>
        <w:pStyle w:val="TextBody"/>
        <w:spacing w:lineRule="auto" w:line="288" w:before="0" w:after="0"/>
        <w:ind w:left="0" w:right="0" w:firstLine="720"/>
        <w:jc w:val="left"/>
        <w:rPr>
          <w:rFonts w:ascii="inherit" w:hAnsi="inherit"/>
          <w:sz w:val="17"/>
        </w:rPr>
      </w:pPr>
      <w:r>
        <w:rPr>
          <w:rFonts w:ascii="inherit" w:hAnsi="inherit"/>
          <w:sz w:val="17"/>
        </w:rPr>
        <w:t>We have informed the selling stockholder that the anti-manipulation provisions of Regulation M under the Exchange Act may apply to its sales of our Class A Non-Voting Common Stock.</w:t>
      </w:r>
    </w:p>
    <w:p>
      <w:pPr>
        <w:pStyle w:val="TextBody"/>
        <w:spacing w:lineRule="auto" w:line="288" w:before="0" w:after="0"/>
        <w:jc w:val="left"/>
        <w:rPr>
          <w:rFonts w:ascii="inherit" w:hAnsi="inherit"/>
          <w:b/>
          <w:i/>
          <w:sz w:val="17"/>
        </w:rPr>
      </w:pPr>
      <w:r>
        <w:rPr>
          <w:rFonts w:ascii="inherit" w:hAnsi="inherit"/>
          <w:b/>
          <w:i/>
          <w:sz w:val="17"/>
        </w:rPr>
        <w:t>Indemnification</w:t>
      </w:r>
    </w:p>
    <w:p>
      <w:pPr>
        <w:pStyle w:val="TextBody"/>
        <w:spacing w:lineRule="auto" w:line="288" w:before="0" w:after="0"/>
        <w:ind w:left="0" w:right="0" w:firstLine="720"/>
        <w:jc w:val="left"/>
        <w:rPr>
          <w:rFonts w:ascii="inherit" w:hAnsi="inherit"/>
          <w:sz w:val="17"/>
        </w:rPr>
      </w:pPr>
      <w:r>
        <w:rPr>
          <w:rFonts w:ascii="inherit" w:hAnsi="inherit"/>
          <w:sz w:val="17"/>
        </w:rPr>
        <w:t>We have agreed to indemnify the selling stockholder against certain liabilities arising under the Securities Act from sales of our Class A Non-Voting Common Stock. The selling stockholder may agree to indemnify any agent, broker or dealer that participates in sales of our Class A Non-Voting Common Stock against liabilities arising under the Securities Act from sales of our Class A Non-Voting Common Stock.</w:t>
      </w:r>
    </w:p>
    <w:p>
      <w:pPr>
        <w:pStyle w:val="TextBody"/>
        <w:rPr/>
      </w:pPr>
      <w:r>
        <w:rPr/>
      </w:r>
      <w:r>
        <w:br w:type="page"/>
      </w:r>
    </w:p>
    <w:p>
      <w:pPr>
        <w:pStyle w:val="TextBody"/>
        <w:spacing w:before="0" w:after="0"/>
        <w:rPr/>
      </w:pPr>
      <w:r>
        <w:rPr/>
      </w:r>
      <w:bookmarkStart w:id="23" w:name="s7492BDE14C46D20632E86FA02E85176B2"/>
      <w:bookmarkStart w:id="24" w:name="s7492BDE14C46D20632E86FA02E85176B2"/>
      <w:bookmarkEnd w:id="24"/>
    </w:p>
    <w:p>
      <w:pPr>
        <w:pStyle w:val="TextBody"/>
        <w:spacing w:lineRule="auto" w:line="288" w:before="0" w:after="0"/>
        <w:jc w:val="left"/>
        <w:rPr>
          <w:rFonts w:ascii="inherit" w:hAnsi="inherit"/>
          <w:b/>
          <w:i/>
          <w:sz w:val="17"/>
        </w:rPr>
      </w:pPr>
      <w:r>
        <w:rPr>
          <w:rFonts w:ascii="inherit" w:hAnsi="inherit"/>
          <w:b/>
          <w:i/>
          <w:sz w:val="17"/>
        </w:rPr>
        <w:t>Effectiveness of Registration Statement</w:t>
      </w:r>
    </w:p>
    <w:p>
      <w:pPr>
        <w:pStyle w:val="TextBody"/>
        <w:spacing w:lineRule="auto" w:line="288" w:before="0" w:after="0"/>
        <w:ind w:left="0" w:right="0" w:firstLine="720"/>
        <w:jc w:val="left"/>
        <w:rPr>
          <w:rFonts w:ascii="inherit" w:hAnsi="inherit"/>
          <w:sz w:val="17"/>
        </w:rPr>
      </w:pPr>
      <w:r>
        <w:rPr>
          <w:rFonts w:ascii="inherit" w:hAnsi="inherit"/>
          <w:sz w:val="17"/>
        </w:rPr>
        <w:t>Pursuant to the terms of the Purchase Agreement, we will keep the registration statement of which this prospectus is a part continuously effective for a period ending on the later of (i) the sale of all of the shares of our Class A Non-Voting Common Stock received pursuant to the Purchase Agreement, and (ii) the date on which all such shares may be sold under Rule 144 of the Securities Act without any limitation as to volume or manner of sale and without the requirement for us to be in compliance with the current public information requirement of Rule 144.</w:t>
      </w:r>
    </w:p>
    <w:p>
      <w:pPr>
        <w:pStyle w:val="TextBody"/>
        <w:spacing w:lineRule="auto" w:line="288" w:before="0" w:after="0"/>
        <w:ind w:left="0" w:right="0" w:firstLine="720"/>
        <w:jc w:val="left"/>
        <w:rPr>
          <w:rFonts w:ascii="inherit" w:hAnsi="inherit"/>
          <w:sz w:val="17"/>
        </w:rPr>
      </w:pPr>
      <w:r>
        <w:rPr>
          <w:rFonts w:ascii="inherit" w:hAnsi="inherit"/>
          <w:sz w:val="17"/>
        </w:rPr>
        <w:t>We are permitted to suspend the use of this prospectus if we have determined that continued use would require public disclosure by us of material non-public information. Such suspensions shall be for a period not to exceed 45 consecutive days and an aggregate of 90 days during any 12-month period.</w:t>
      </w:r>
    </w:p>
    <w:p>
      <w:pPr>
        <w:pStyle w:val="TextBody"/>
        <w:spacing w:lineRule="auto" w:line="288" w:before="0" w:after="0"/>
        <w:jc w:val="left"/>
        <w:rPr>
          <w:rFonts w:ascii="inherit" w:hAnsi="inherit"/>
          <w:b/>
          <w:i/>
          <w:sz w:val="17"/>
        </w:rPr>
      </w:pPr>
      <w:r>
        <w:rPr>
          <w:rFonts w:ascii="inherit" w:hAnsi="inherit"/>
          <w:b/>
          <w:i/>
          <w:sz w:val="17"/>
        </w:rPr>
        <w:t>Expenses of this Offering</w:t>
      </w:r>
    </w:p>
    <w:p>
      <w:pPr>
        <w:pStyle w:val="TextBody"/>
        <w:spacing w:lineRule="auto" w:line="288" w:before="0" w:after="0"/>
        <w:ind w:left="0" w:right="0" w:firstLine="720"/>
        <w:jc w:val="left"/>
        <w:rPr>
          <w:rFonts w:ascii="inherit" w:hAnsi="inherit"/>
          <w:sz w:val="17"/>
        </w:rPr>
      </w:pPr>
      <w:r>
        <w:rPr>
          <w:rFonts w:ascii="inherit" w:hAnsi="inherit"/>
          <w:sz w:val="17"/>
        </w:rPr>
        <w:t>We have agreed, among other things, to pay all costs, fees and expenses incurred by us in connection with the registration of the shares of our Class A Non-Voting Common Stock covered by this prospectus, including all SEC fees, blue sky fees, printing expenses, transfer agent fees and legal and accounting fees. We are not responsible for the legal fees and expenses of the selling stockholder.</w:t>
      </w:r>
    </w:p>
    <w:p>
      <w:pPr>
        <w:pStyle w:val="TextBody"/>
        <w:rPr/>
      </w:pPr>
      <w:r>
        <w:rPr/>
      </w:r>
      <w:r>
        <w:br w:type="page"/>
      </w:r>
    </w:p>
    <w:p>
      <w:pPr>
        <w:pStyle w:val="TextBody"/>
        <w:spacing w:before="0" w:after="0"/>
        <w:rPr/>
      </w:pPr>
      <w:r>
        <w:rPr/>
      </w:r>
      <w:bookmarkStart w:id="25" w:name="s99FAE426D05CE050B9546FA02EB60612"/>
      <w:bookmarkStart w:id="26" w:name="s99FAE426D05CE050B9546FA02EB60612"/>
      <w:bookmarkEnd w:id="26"/>
    </w:p>
    <w:p>
      <w:pPr>
        <w:pStyle w:val="TextBody"/>
        <w:spacing w:lineRule="auto" w:line="288" w:before="0" w:after="0"/>
        <w:jc w:val="center"/>
        <w:rPr>
          <w:rFonts w:ascii="inherit" w:hAnsi="inherit"/>
          <w:b/>
          <w:sz w:val="17"/>
        </w:rPr>
      </w:pPr>
      <w:r>
        <w:rPr>
          <w:rFonts w:ascii="inherit" w:hAnsi="inherit"/>
          <w:b/>
          <w:sz w:val="17"/>
        </w:rPr>
        <w:t>LEGAL MATTERS</w:t>
      </w:r>
    </w:p>
    <w:p>
      <w:pPr>
        <w:pStyle w:val="TextBody"/>
        <w:spacing w:lineRule="auto" w:line="288" w:before="0" w:after="0"/>
        <w:ind w:left="0" w:right="0" w:firstLine="720"/>
        <w:jc w:val="left"/>
        <w:rPr>
          <w:rFonts w:ascii="inherit" w:hAnsi="inherit"/>
          <w:sz w:val="17"/>
        </w:rPr>
      </w:pPr>
      <w:r>
        <w:rPr>
          <w:rFonts w:ascii="inherit" w:hAnsi="inherit"/>
          <w:sz w:val="17"/>
        </w:rPr>
        <w:t>The validity of the shares of our Class A Non-Voting Common Stock to be offered by this prospectus will be passed upon for us by Vinson &amp; Elkins L.L.P., Dallas, Texas.</w:t>
      </w:r>
    </w:p>
    <w:p>
      <w:pPr>
        <w:pStyle w:val="TextBody"/>
        <w:spacing w:lineRule="auto" w:line="288" w:before="0" w:after="0"/>
        <w:jc w:val="center"/>
        <w:rPr>
          <w:rFonts w:ascii="inherit" w:hAnsi="inherit"/>
          <w:b/>
          <w:sz w:val="17"/>
        </w:rPr>
      </w:pPr>
      <w:bookmarkStart w:id="27" w:name="s7D60E64F54731D41F8E76FA02ED88289"/>
      <w:bookmarkEnd w:id="27"/>
      <w:r>
        <w:rPr>
          <w:rFonts w:ascii="inherit" w:hAnsi="inherit"/>
          <w:b/>
          <w:sz w:val="17"/>
        </w:rPr>
        <w:t>EXPERTS</w:t>
      </w:r>
    </w:p>
    <w:p>
      <w:pPr>
        <w:pStyle w:val="TextBody"/>
        <w:spacing w:lineRule="auto" w:line="288" w:before="0" w:after="0"/>
        <w:ind w:left="0" w:right="0" w:firstLine="720"/>
        <w:jc w:val="left"/>
        <w:rPr>
          <w:rFonts w:ascii="inherit" w:hAnsi="inherit"/>
          <w:sz w:val="17"/>
        </w:rPr>
      </w:pPr>
      <w:r>
        <w:rPr>
          <w:rFonts w:ascii="inherit" w:hAnsi="inherit"/>
          <w:sz w:val="17"/>
        </w:rPr>
        <w:t>The consolidated financial statements of EZCORP, Inc. as of September 30, 2012 and 2011, and for each of the three years in the period ended September 30, 2012, and the effectiveness of our internal control over financial reporting as of September 30, 2012, have been audited by BDO USA, LLP, independent registered public accounting firm, as set forth in their reports included in our Current Report on Form 8-K filed on October 3, 2013 and incorporated herein by reference. Such consolidated financial statements are incorporated herein by reference in reliance upon such reports given on the authority of such firm as experts in accounting and auditing.</w:t>
      </w:r>
    </w:p>
    <w:p>
      <w:pPr>
        <w:pStyle w:val="TextBody"/>
        <w:spacing w:lineRule="auto" w:line="288" w:before="0" w:after="0"/>
        <w:jc w:val="center"/>
        <w:rPr>
          <w:rFonts w:ascii="inherit" w:hAnsi="inherit"/>
          <w:b/>
          <w:sz w:val="17"/>
        </w:rPr>
      </w:pPr>
      <w:bookmarkStart w:id="28" w:name="s234C946FC47D6AFF2A356FA02F0D1541"/>
      <w:bookmarkEnd w:id="28"/>
      <w:r>
        <w:rPr>
          <w:rFonts w:ascii="inherit" w:hAnsi="inherit"/>
          <w:b/>
          <w:sz w:val="17"/>
        </w:rPr>
        <w:t>WHERE YOU CAN FIND MORE INFORMATION</w:t>
      </w:r>
    </w:p>
    <w:p>
      <w:pPr>
        <w:pStyle w:val="TextBody"/>
        <w:spacing w:lineRule="auto" w:line="288" w:before="0" w:after="0"/>
        <w:ind w:left="0" w:right="0" w:firstLine="720"/>
        <w:jc w:val="left"/>
        <w:rPr>
          <w:rFonts w:ascii="inherit" w:hAnsi="inherit"/>
          <w:sz w:val="17"/>
        </w:rPr>
      </w:pPr>
      <w:r>
        <w:rPr>
          <w:rFonts w:ascii="inherit" w:hAnsi="inherit"/>
          <w:sz w:val="17"/>
        </w:rPr>
        <w:t>We file annual and quarterly reports and other reports and information with the SEC. You may read and copy any of our reports, statements or other information on file at the SEC’s Public Reference Room located at 100 F Street, N.E., Washington, D.C. 20549. Please call the SEC at 1-800-SEC-0330 for further information regarding its Public Reference Room. Our SEC filings, including the complete registration statement of which this prospectus is a part, are available to the public from commercial document retrieval services and also are available at the website maintained by the SEC at www.sec.gov.</w:t>
      </w:r>
    </w:p>
    <w:p>
      <w:pPr>
        <w:pStyle w:val="TextBody"/>
        <w:spacing w:lineRule="auto" w:line="288" w:before="0" w:after="0"/>
        <w:ind w:left="0" w:right="0" w:firstLine="720"/>
        <w:jc w:val="left"/>
        <w:rPr>
          <w:rFonts w:ascii="inherit" w:hAnsi="inherit"/>
          <w:sz w:val="17"/>
        </w:rPr>
      </w:pPr>
      <w:r>
        <w:rPr>
          <w:rFonts w:ascii="inherit" w:hAnsi="inherit"/>
          <w:sz w:val="17"/>
        </w:rPr>
        <w:t>We maintain a website at www.ezcorp.com. All of our reports filed with the SEC are accessible, free of charge, through the Investor Relations section of our website as soon as reasonably practicable after electronic filing. Information on our website or any other website is not incorporated by reference into this prospectus and does not constitute a part of this prospectus, and you should not rely on that information in making your investment decision unless that information is also in this prospectus or has been expressly incorporated by reference into this prospectus.</w:t>
      </w:r>
    </w:p>
    <w:p>
      <w:pPr>
        <w:pStyle w:val="TextBody"/>
        <w:spacing w:lineRule="auto" w:line="288" w:before="0" w:after="0"/>
        <w:jc w:val="center"/>
        <w:rPr>
          <w:rFonts w:ascii="inherit" w:hAnsi="inherit"/>
          <w:b/>
          <w:sz w:val="17"/>
        </w:rPr>
      </w:pPr>
      <w:bookmarkStart w:id="29" w:name="s2E3F1F9640D1D6234C7E6FA02F2BD441"/>
      <w:bookmarkEnd w:id="29"/>
      <w:r>
        <w:rPr>
          <w:rFonts w:ascii="inherit" w:hAnsi="inherit"/>
          <w:b/>
          <w:sz w:val="17"/>
        </w:rPr>
        <w:t>INCORPORATION OF DOCUMENTS BY REFERENCE</w:t>
      </w:r>
    </w:p>
    <w:p>
      <w:pPr>
        <w:pStyle w:val="TextBody"/>
        <w:spacing w:lineRule="auto" w:line="288" w:before="0" w:after="0"/>
        <w:ind w:left="0" w:right="0" w:firstLine="720"/>
        <w:jc w:val="left"/>
        <w:rPr>
          <w:rFonts w:ascii="inherit" w:hAnsi="inherit"/>
          <w:sz w:val="17"/>
        </w:rPr>
      </w:pPr>
      <w:r>
        <w:rPr>
          <w:rFonts w:ascii="inherit" w:hAnsi="inherit"/>
          <w:sz w:val="17"/>
        </w:rPr>
        <w:t>The SEC allows us to incorporate by reference the information that we file with the SEC, which means that we disclose important information to you by referring you to those documents. The information incorporated by reference is an important part of this prospectus, and information we file later with the SEC will automatically update and supersede this information. Except to the extent that information in those documents is deemed furnished and not filed pursuant to applicable securities laws and regulations, we incorporate by reference the documents listed below that we previously filed with the SEC under the Exchange Act:</w:t>
      </w:r>
    </w:p>
    <w:tbl>
      <w:tblPr>
        <w:tblW w:w="10205" w:type="dxa"/>
        <w:jc w:val="left"/>
        <w:tblInd w:w="0" w:type="dxa"/>
        <w:tblCellMar>
          <w:top w:w="0" w:type="dxa"/>
          <w:left w:w="0" w:type="dxa"/>
          <w:bottom w:w="0" w:type="dxa"/>
          <w:right w:w="0" w:type="dxa"/>
        </w:tblCellMar>
      </w:tblPr>
      <w:tblGrid>
        <w:gridCol w:w="560"/>
        <w:gridCol w:w="9645"/>
      </w:tblGrid>
      <w:tr>
        <w:trPr/>
        <w:tc>
          <w:tcPr>
            <w:tcW w:w="560" w:type="dxa"/>
            <w:tcBorders/>
            <w:shd w:fill="auto" w:val="clear"/>
            <w:vAlign w:val="center"/>
          </w:tcPr>
          <w:p>
            <w:pPr>
              <w:pStyle w:val="TableContents"/>
              <w:spacing w:before="0" w:after="283"/>
              <w:rPr>
                <w:sz w:val="4"/>
                <w:szCs w:val="4"/>
              </w:rPr>
            </w:pPr>
            <w:r>
              <w:rPr>
                <w:sz w:val="4"/>
                <w:szCs w:val="4"/>
              </w:rPr>
            </w:r>
          </w:p>
        </w:tc>
        <w:tc>
          <w:tcPr>
            <w:tcW w:w="9645" w:type="dxa"/>
            <w:tcBorders/>
            <w:shd w:fill="auto" w:val="clear"/>
            <w:vAlign w:val="center"/>
          </w:tcPr>
          <w:p>
            <w:pPr>
              <w:pStyle w:val="TableContents"/>
              <w:spacing w:before="0" w:after="283"/>
              <w:rPr>
                <w:sz w:val="4"/>
                <w:szCs w:val="4"/>
              </w:rPr>
            </w:pPr>
            <w:r>
              <w:rPr>
                <w:sz w:val="4"/>
                <w:szCs w:val="4"/>
              </w:rPr>
            </w:r>
          </w:p>
        </w:tc>
      </w:tr>
      <w:tr>
        <w:trPr/>
        <w:tc>
          <w:tcPr>
            <w:tcW w:w="560" w:type="dxa"/>
            <w:tcBorders/>
            <w:shd w:fill="auto" w:val="clear"/>
            <w:vAlign w:val="center"/>
          </w:tcPr>
          <w:p>
            <w:pPr>
              <w:pStyle w:val="TableContents"/>
              <w:spacing w:lineRule="auto" w:line="288" w:before="0" w:after="0"/>
              <w:ind w:left="0" w:right="0" w:firstLine="435"/>
              <w:rPr/>
            </w:pPr>
            <w:r>
              <w:rPr/>
              <w:t>•</w:t>
            </w:r>
          </w:p>
        </w:tc>
        <w:tc>
          <w:tcPr>
            <w:tcW w:w="9645" w:type="dxa"/>
            <w:tcBorders/>
            <w:shd w:fill="auto" w:val="clear"/>
            <w:vAlign w:val="center"/>
          </w:tcPr>
          <w:p>
            <w:pPr>
              <w:pStyle w:val="TableContents"/>
              <w:spacing w:lineRule="auto" w:line="288" w:before="0" w:after="0"/>
              <w:ind w:left="0" w:right="0" w:hanging="435"/>
              <w:jc w:val="left"/>
              <w:rPr>
                <w:rFonts w:ascii="inherit" w:hAnsi="inherit"/>
                <w:sz w:val="17"/>
              </w:rPr>
            </w:pPr>
            <w:r>
              <w:rPr>
                <w:rFonts w:ascii="inherit" w:hAnsi="inherit"/>
                <w:sz w:val="17"/>
              </w:rPr>
              <w:t>Our Annual Report on Form 10-K for the year ended September 30, 2012 (excluding the information contained therein under “Item 1. Business,” “Item 2. Properties,” “Item 6. Selected Financial Data,” “Item 7. Management’s Discussion and Analysis of Financial Condition and Results of Operations” and “Item 8. Financial Statements and Supplementary Data” as updated by our Current Report on Form 8-K filed with the SEC on October 3, 2013);</w:t>
            </w:r>
          </w:p>
        </w:tc>
      </w:tr>
    </w:tbl>
    <w:tbl>
      <w:tblPr>
        <w:tblW w:w="10205" w:type="dxa"/>
        <w:jc w:val="left"/>
        <w:tblInd w:w="0" w:type="dxa"/>
        <w:tblCellMar>
          <w:top w:w="0" w:type="dxa"/>
          <w:left w:w="0" w:type="dxa"/>
          <w:bottom w:w="0" w:type="dxa"/>
          <w:right w:w="0" w:type="dxa"/>
        </w:tblCellMar>
      </w:tblPr>
      <w:tblGrid>
        <w:gridCol w:w="560"/>
        <w:gridCol w:w="9645"/>
      </w:tblGrid>
      <w:tr>
        <w:trPr/>
        <w:tc>
          <w:tcPr>
            <w:tcW w:w="560" w:type="dxa"/>
            <w:tcBorders/>
            <w:shd w:fill="auto" w:val="clear"/>
            <w:vAlign w:val="center"/>
          </w:tcPr>
          <w:p>
            <w:pPr>
              <w:pStyle w:val="TableContents"/>
              <w:spacing w:before="0" w:after="283"/>
              <w:rPr>
                <w:sz w:val="4"/>
                <w:szCs w:val="4"/>
              </w:rPr>
            </w:pPr>
            <w:r>
              <w:rPr>
                <w:sz w:val="4"/>
                <w:szCs w:val="4"/>
              </w:rPr>
            </w:r>
          </w:p>
        </w:tc>
        <w:tc>
          <w:tcPr>
            <w:tcW w:w="9645" w:type="dxa"/>
            <w:tcBorders/>
            <w:shd w:fill="auto" w:val="clear"/>
            <w:vAlign w:val="center"/>
          </w:tcPr>
          <w:p>
            <w:pPr>
              <w:pStyle w:val="TableContents"/>
              <w:spacing w:before="0" w:after="283"/>
              <w:rPr>
                <w:sz w:val="4"/>
                <w:szCs w:val="4"/>
              </w:rPr>
            </w:pPr>
            <w:r>
              <w:rPr>
                <w:sz w:val="4"/>
                <w:szCs w:val="4"/>
              </w:rPr>
            </w:r>
          </w:p>
        </w:tc>
      </w:tr>
      <w:tr>
        <w:trPr/>
        <w:tc>
          <w:tcPr>
            <w:tcW w:w="560" w:type="dxa"/>
            <w:tcBorders/>
            <w:shd w:fill="auto" w:val="clear"/>
            <w:vAlign w:val="center"/>
          </w:tcPr>
          <w:p>
            <w:pPr>
              <w:pStyle w:val="TableContents"/>
              <w:spacing w:lineRule="auto" w:line="288" w:before="0" w:after="0"/>
              <w:ind w:left="0" w:right="0" w:firstLine="435"/>
              <w:rPr/>
            </w:pPr>
            <w:r>
              <w:rPr/>
              <w:t>•</w:t>
            </w:r>
          </w:p>
        </w:tc>
        <w:tc>
          <w:tcPr>
            <w:tcW w:w="9645" w:type="dxa"/>
            <w:tcBorders/>
            <w:shd w:fill="auto" w:val="clear"/>
            <w:vAlign w:val="center"/>
          </w:tcPr>
          <w:p>
            <w:pPr>
              <w:pStyle w:val="TableContents"/>
              <w:spacing w:lineRule="auto" w:line="288" w:before="0" w:after="0"/>
              <w:ind w:left="0" w:right="0" w:hanging="435"/>
              <w:jc w:val="left"/>
              <w:rPr>
                <w:rFonts w:ascii="inherit" w:hAnsi="inherit"/>
                <w:sz w:val="17"/>
              </w:rPr>
            </w:pPr>
            <w:r>
              <w:rPr>
                <w:rFonts w:ascii="inherit" w:hAnsi="inherit"/>
                <w:sz w:val="17"/>
              </w:rPr>
              <w:t>Our Quarterly Reports on Form 10-Q for the quarterly periods ended December 31, 2012, March 31, 2013 and June 30, 2013;</w:t>
            </w:r>
          </w:p>
        </w:tc>
      </w:tr>
    </w:tbl>
    <w:tbl>
      <w:tblPr>
        <w:tblW w:w="10205" w:type="dxa"/>
        <w:jc w:val="left"/>
        <w:tblInd w:w="0" w:type="dxa"/>
        <w:tblCellMar>
          <w:top w:w="0" w:type="dxa"/>
          <w:left w:w="0" w:type="dxa"/>
          <w:bottom w:w="0" w:type="dxa"/>
          <w:right w:w="0" w:type="dxa"/>
        </w:tblCellMar>
      </w:tblPr>
      <w:tblGrid>
        <w:gridCol w:w="560"/>
        <w:gridCol w:w="9645"/>
      </w:tblGrid>
      <w:tr>
        <w:trPr/>
        <w:tc>
          <w:tcPr>
            <w:tcW w:w="560" w:type="dxa"/>
            <w:tcBorders/>
            <w:shd w:fill="auto" w:val="clear"/>
            <w:vAlign w:val="center"/>
          </w:tcPr>
          <w:p>
            <w:pPr>
              <w:pStyle w:val="TableContents"/>
              <w:spacing w:before="0" w:after="283"/>
              <w:rPr>
                <w:sz w:val="4"/>
                <w:szCs w:val="4"/>
              </w:rPr>
            </w:pPr>
            <w:r>
              <w:rPr>
                <w:sz w:val="4"/>
                <w:szCs w:val="4"/>
              </w:rPr>
            </w:r>
          </w:p>
        </w:tc>
        <w:tc>
          <w:tcPr>
            <w:tcW w:w="9645" w:type="dxa"/>
            <w:tcBorders/>
            <w:shd w:fill="auto" w:val="clear"/>
            <w:vAlign w:val="center"/>
          </w:tcPr>
          <w:p>
            <w:pPr>
              <w:pStyle w:val="TableContents"/>
              <w:spacing w:before="0" w:after="283"/>
              <w:rPr>
                <w:sz w:val="4"/>
                <w:szCs w:val="4"/>
              </w:rPr>
            </w:pPr>
            <w:r>
              <w:rPr>
                <w:sz w:val="4"/>
                <w:szCs w:val="4"/>
              </w:rPr>
            </w:r>
          </w:p>
        </w:tc>
      </w:tr>
      <w:tr>
        <w:trPr/>
        <w:tc>
          <w:tcPr>
            <w:tcW w:w="560" w:type="dxa"/>
            <w:tcBorders/>
            <w:shd w:fill="auto" w:val="clear"/>
            <w:vAlign w:val="center"/>
          </w:tcPr>
          <w:p>
            <w:pPr>
              <w:pStyle w:val="TableContents"/>
              <w:spacing w:lineRule="auto" w:line="288" w:before="0" w:after="0"/>
              <w:ind w:left="0" w:right="0" w:firstLine="435"/>
              <w:rPr/>
            </w:pPr>
            <w:r>
              <w:rPr/>
              <w:t>•</w:t>
            </w:r>
          </w:p>
        </w:tc>
        <w:tc>
          <w:tcPr>
            <w:tcW w:w="9645" w:type="dxa"/>
            <w:tcBorders/>
            <w:shd w:fill="auto" w:val="clear"/>
            <w:vAlign w:val="center"/>
          </w:tcPr>
          <w:p>
            <w:pPr>
              <w:pStyle w:val="TableContents"/>
              <w:spacing w:lineRule="auto" w:line="288" w:before="0" w:after="0"/>
              <w:ind w:left="0" w:right="0" w:hanging="435"/>
              <w:jc w:val="left"/>
              <w:rPr>
                <w:rFonts w:ascii="inherit" w:hAnsi="inherit"/>
                <w:sz w:val="17"/>
              </w:rPr>
            </w:pPr>
            <w:r>
              <w:rPr>
                <w:rFonts w:ascii="inherit" w:hAnsi="inherit"/>
                <w:sz w:val="17"/>
              </w:rPr>
              <w:t>Our Current Reports on Form 8-K filed with the SEC on October 4, 2012, October 29, 2012, November 27, 2012, December 4, 2012, December 13, 2012, December 20, 2012 (2), February 25, 2013, June 5, 2013, July 1, 2013, August 1, 2013, October 2, 2013 and October 3, 2013 (excluding any information furnished pursuant to Item 2.02 or Item 7.01); and</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8</w:t>
      </w:r>
      <w:r>
        <w:br w:type="page"/>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815"/>
        <w:gridCol w:w="9390"/>
      </w:tblGrid>
      <w:tr>
        <w:trPr/>
        <w:tc>
          <w:tcPr>
            <w:tcW w:w="815" w:type="dxa"/>
            <w:tcBorders/>
            <w:shd w:fill="auto" w:val="clear"/>
            <w:vAlign w:val="center"/>
          </w:tcPr>
          <w:p>
            <w:pPr>
              <w:pStyle w:val="TableContents"/>
              <w:spacing w:before="0" w:after="283"/>
              <w:rPr>
                <w:sz w:val="4"/>
                <w:szCs w:val="4"/>
              </w:rPr>
            </w:pPr>
            <w:r>
              <w:rPr>
                <w:sz w:val="4"/>
                <w:szCs w:val="4"/>
              </w:rPr>
            </w:r>
          </w:p>
        </w:tc>
        <w:tc>
          <w:tcPr>
            <w:tcW w:w="9390" w:type="dxa"/>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lineRule="auto" w:line="288" w:before="0" w:after="0"/>
              <w:ind w:left="0" w:right="0" w:firstLine="690"/>
              <w:rPr/>
            </w:pPr>
            <w:r>
              <w:rPr/>
              <w:t>•</w:t>
            </w:r>
          </w:p>
        </w:tc>
        <w:tc>
          <w:tcPr>
            <w:tcW w:w="939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description of our Class A Non-Voting Common Stock set forth in Exhibit 4.1 to the Current Report on Form 8-K filed with the SEC on October 2, 2013, including any amendment or report filed for the purpose of updating such description.</w:t>
            </w:r>
          </w:p>
        </w:tc>
      </w:tr>
    </w:tbl>
    <w:p>
      <w:pPr>
        <w:pStyle w:val="TextBody"/>
        <w:spacing w:lineRule="auto" w:line="288" w:before="0" w:after="0"/>
        <w:ind w:left="0" w:right="0" w:firstLine="720"/>
        <w:jc w:val="left"/>
        <w:rPr>
          <w:rFonts w:ascii="inherit" w:hAnsi="inherit"/>
          <w:sz w:val="17"/>
        </w:rPr>
      </w:pPr>
      <w:r>
        <w:rPr>
          <w:rFonts w:ascii="inherit" w:hAnsi="inherit"/>
          <w:sz w:val="17"/>
        </w:rPr>
      </w:r>
    </w:p>
    <w:p>
      <w:pPr>
        <w:pStyle w:val="TextBody"/>
        <w:spacing w:lineRule="auto" w:line="288" w:before="0" w:after="0"/>
        <w:ind w:left="0" w:right="0" w:firstLine="720"/>
        <w:jc w:val="left"/>
        <w:rPr>
          <w:rFonts w:ascii="inherit" w:hAnsi="inherit"/>
          <w:sz w:val="17"/>
        </w:rPr>
      </w:pPr>
      <w:r>
        <w:rPr>
          <w:rFonts w:ascii="inherit" w:hAnsi="inherit"/>
          <w:sz w:val="17"/>
        </w:rPr>
        <w:t>We also incorporate by reference each of the documents that we file with the SEC under Section 13(a), 13(c), 14 or 15(d) of the Exchange Act (excluding any information furnished and not filed with the SEC) after the date of this prospectus until all of the shares of our Class A Non-Voting Common Stock offered by this prospectus are sold.</w:t>
      </w:r>
    </w:p>
    <w:p>
      <w:pPr>
        <w:pStyle w:val="TextBody"/>
        <w:spacing w:lineRule="auto" w:line="288" w:before="0" w:after="0"/>
        <w:ind w:left="0" w:right="0" w:firstLine="720"/>
        <w:jc w:val="left"/>
        <w:rPr>
          <w:rFonts w:ascii="inherit" w:hAnsi="inherit"/>
          <w:sz w:val="17"/>
        </w:rPr>
      </w:pPr>
      <w:r>
        <w:rPr>
          <w:rFonts w:ascii="inherit" w:hAnsi="inherit"/>
          <w:sz w:val="17"/>
        </w:rPr>
        <w:t>You may obtain copies of any of these filings from us as described below or through the SEC as described above. Documents incorporated by reference are available on our website at www.ezcorp.com and are available without charge, excluding exhibits, unless an exhibit has been specifically incorporated by reference into this prospectus, by making a request at:</w:t>
      </w:r>
    </w:p>
    <w:p>
      <w:pPr>
        <w:pStyle w:val="TextBody"/>
        <w:spacing w:lineRule="auto" w:line="288" w:before="0" w:after="0"/>
        <w:jc w:val="center"/>
        <w:rPr>
          <w:rFonts w:ascii="inherit" w:hAnsi="inherit"/>
          <w:sz w:val="17"/>
        </w:rPr>
      </w:pPr>
      <w:r>
        <w:rPr>
          <w:rFonts w:ascii="inherit" w:hAnsi="inherit"/>
          <w:sz w:val="17"/>
        </w:rPr>
        <w:t>EZCORP, Inc.</w:t>
      </w:r>
    </w:p>
    <w:p>
      <w:pPr>
        <w:pStyle w:val="TextBody"/>
        <w:spacing w:lineRule="auto" w:line="288" w:before="0" w:after="0"/>
        <w:jc w:val="center"/>
        <w:rPr>
          <w:rFonts w:ascii="inherit" w:hAnsi="inherit"/>
          <w:sz w:val="17"/>
        </w:rPr>
      </w:pPr>
      <w:r>
        <w:rPr>
          <w:rFonts w:ascii="inherit" w:hAnsi="inherit"/>
          <w:sz w:val="17"/>
        </w:rPr>
        <w:t>1901 Capital Parkway</w:t>
      </w:r>
    </w:p>
    <w:p>
      <w:pPr>
        <w:pStyle w:val="TextBody"/>
        <w:spacing w:lineRule="auto" w:line="288" w:before="0" w:after="0"/>
        <w:jc w:val="center"/>
        <w:rPr>
          <w:rFonts w:ascii="inherit" w:hAnsi="inherit"/>
          <w:sz w:val="17"/>
        </w:rPr>
      </w:pPr>
      <w:r>
        <w:rPr>
          <w:rFonts w:ascii="inherit" w:hAnsi="inherit"/>
          <w:sz w:val="17"/>
        </w:rPr>
        <w:t>Austin, Texas 78746</w:t>
      </w:r>
    </w:p>
    <w:p>
      <w:pPr>
        <w:pStyle w:val="TextBody"/>
        <w:spacing w:lineRule="auto" w:line="288" w:before="0" w:after="0"/>
        <w:jc w:val="center"/>
        <w:rPr>
          <w:rFonts w:ascii="inherit" w:hAnsi="inherit"/>
          <w:sz w:val="17"/>
        </w:rPr>
      </w:pPr>
      <w:r>
        <w:rPr>
          <w:rFonts w:ascii="inherit" w:hAnsi="inherit"/>
          <w:sz w:val="17"/>
        </w:rPr>
        <w:t>Attn: Corporate Secretary</w:t>
      </w:r>
    </w:p>
    <w:p>
      <w:pPr>
        <w:pStyle w:val="TextBody"/>
        <w:spacing w:lineRule="auto" w:line="288" w:before="0" w:after="0"/>
        <w:jc w:val="center"/>
        <w:rPr>
          <w:rFonts w:ascii="inherit" w:hAnsi="inherit"/>
          <w:sz w:val="17"/>
        </w:rPr>
      </w:pPr>
      <w:r>
        <w:rPr>
          <w:rFonts w:ascii="inherit" w:hAnsi="inherit"/>
          <w:sz w:val="17"/>
        </w:rPr>
        <w:t>Telephone: 512-314-3400</w:t>
      </w:r>
    </w:p>
    <w:p>
      <w:pPr>
        <w:pStyle w:val="TextBody"/>
        <w:spacing w:lineRule="auto" w:line="288" w:before="0" w:after="0"/>
        <w:jc w:val="center"/>
        <w:rPr>
          <w:sz w:val="17"/>
        </w:rPr>
      </w:pPr>
      <w:r>
        <w:rPr>
          <w:rFonts w:ascii="inherit" w:hAnsi="inherit"/>
          <w:sz w:val="17"/>
        </w:rPr>
        <w:t xml:space="preserve">Email: </w:t>
      </w:r>
      <w:r>
        <w:rPr>
          <w:rFonts w:ascii="inherit" w:hAnsi="inherit"/>
          <w:sz w:val="17"/>
          <w:u w:val="single"/>
        </w:rPr>
        <w:t>Investor_Relations@ezcorp.com</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9</w:t>
      </w:r>
      <w:r>
        <w:br w:type="page"/>
      </w:r>
    </w:p>
    <w:p>
      <w:pPr>
        <w:pStyle w:val="TextBody"/>
        <w:spacing w:before="0" w:after="0"/>
        <w:rPr/>
      </w:pPr>
      <w:r>
        <w:rPr/>
      </w:r>
      <w:bookmarkStart w:id="30" w:name="sf7c50fc1bbe4493a90028929305da65c"/>
      <w:bookmarkStart w:id="31" w:name="sf7c50fc1bbe4493a90028929305da65c"/>
      <w:bookmarkEnd w:id="31"/>
    </w:p>
    <w:p>
      <w:pPr>
        <w:pStyle w:val="TextBody"/>
        <w:spacing w:lineRule="auto" w:line="288" w:before="0" w:after="0"/>
        <w:jc w:val="center"/>
        <w:rPr>
          <w:rFonts w:ascii="inherit" w:hAnsi="inherit"/>
          <w:b/>
          <w:sz w:val="17"/>
        </w:rPr>
      </w:pPr>
      <w:r>
        <w:rPr>
          <w:rFonts w:ascii="inherit" w:hAnsi="inherit"/>
          <w:b/>
          <w:sz w:val="17"/>
        </w:rPr>
        <w:t>PART II</w:t>
      </w:r>
    </w:p>
    <w:p>
      <w:pPr>
        <w:pStyle w:val="TextBody"/>
        <w:spacing w:lineRule="auto" w:line="288" w:before="0" w:after="0"/>
        <w:jc w:val="center"/>
        <w:rPr>
          <w:rFonts w:ascii="inherit" w:hAnsi="inherit"/>
          <w:b/>
          <w:sz w:val="17"/>
        </w:rPr>
      </w:pPr>
      <w:r>
        <w:rPr>
          <w:rFonts w:ascii="inherit" w:hAnsi="inherit"/>
          <w:b/>
          <w:sz w:val="17"/>
        </w:rPr>
        <w:t>INFORMATION NOT REQUIRED IN PROSPECTUS</w:t>
      </w:r>
    </w:p>
    <w:p>
      <w:pPr>
        <w:pStyle w:val="TextBody"/>
        <w:spacing w:lineRule="auto" w:line="288" w:before="0" w:after="0"/>
        <w:jc w:val="left"/>
        <w:rPr>
          <w:rFonts w:ascii="inherit" w:hAnsi="inherit"/>
          <w:b/>
          <w:sz w:val="17"/>
        </w:rPr>
      </w:pPr>
      <w:bookmarkStart w:id="32" w:name="s649e957e4fe448eda098abb707346a5a"/>
      <w:bookmarkEnd w:id="32"/>
      <w:r>
        <w:rPr>
          <w:rFonts w:ascii="inherit" w:hAnsi="inherit"/>
          <w:b/>
          <w:sz w:val="17"/>
        </w:rPr>
        <w:t>Item 14. Other Expenses of Issuance and Distribution</w:t>
      </w:r>
    </w:p>
    <w:p>
      <w:pPr>
        <w:pStyle w:val="TextBody"/>
        <w:spacing w:lineRule="auto" w:line="288" w:before="0" w:after="0"/>
        <w:ind w:left="0" w:right="0" w:firstLine="720"/>
        <w:jc w:val="left"/>
        <w:rPr>
          <w:rFonts w:ascii="inherit" w:hAnsi="inherit"/>
          <w:sz w:val="17"/>
        </w:rPr>
      </w:pPr>
      <w:r>
        <w:rPr>
          <w:rFonts w:ascii="inherit" w:hAnsi="inherit"/>
          <w:sz w:val="17"/>
        </w:rPr>
        <w:t>The table below sets forth the expenses payable by EZCORP, Inc. (the “Company”) in connection with the offering of the shares of the Company’s Class A Non-Voting Common Stock being registered hereby. The selling stockholder will not bear any portion of such expenses. All amounts are estimates except the Securities and Exchange Commission (“SEC”) registration fee.</w:t>
      </w:r>
    </w:p>
    <w:tbl>
      <w:tblPr>
        <w:tblW w:w="10205" w:type="dxa"/>
        <w:jc w:val="left"/>
        <w:tblInd w:w="0" w:type="dxa"/>
        <w:tblCellMar>
          <w:top w:w="0" w:type="dxa"/>
          <w:left w:w="0" w:type="dxa"/>
          <w:bottom w:w="0" w:type="dxa"/>
          <w:right w:w="0" w:type="dxa"/>
        </w:tblCellMar>
      </w:tblPr>
      <w:tblGrid>
        <w:gridCol w:w="7598"/>
        <w:gridCol w:w="326"/>
        <w:gridCol w:w="171"/>
        <w:gridCol w:w="1990"/>
        <w:gridCol w:w="120"/>
      </w:tblGrid>
      <w:tr>
        <w:trPr/>
        <w:tc>
          <w:tcPr>
            <w:tcW w:w="10205" w:type="dxa"/>
            <w:gridSpan w:val="5"/>
            <w:tcBorders/>
            <w:shd w:fill="auto" w:val="clear"/>
            <w:vAlign w:val="center"/>
          </w:tcPr>
          <w:p>
            <w:pPr>
              <w:pStyle w:val="TableContents"/>
              <w:spacing w:before="0" w:after="283"/>
              <w:rPr>
                <w:sz w:val="4"/>
                <w:szCs w:val="4"/>
              </w:rPr>
            </w:pPr>
            <w:r>
              <w:rPr>
                <w:sz w:val="4"/>
                <w:szCs w:val="4"/>
              </w:rPr>
            </w:r>
          </w:p>
        </w:tc>
      </w:tr>
      <w:tr>
        <w:trPr/>
        <w:tc>
          <w:tcPr>
            <w:tcW w:w="7598"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9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7598"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Item</w:t>
            </w:r>
          </w:p>
        </w:tc>
        <w:tc>
          <w:tcPr>
            <w:tcW w:w="326" w:type="dxa"/>
            <w:tcBorders/>
            <w:shd w:fill="auto" w:val="clear"/>
            <w:vAlign w:val="center"/>
          </w:tcPr>
          <w:p>
            <w:pPr>
              <w:pStyle w:val="TableContents"/>
              <w:spacing w:before="0" w:after="0"/>
              <w:ind w:left="0" w:right="0" w:firstLine="30"/>
              <w:rPr/>
            </w:pPr>
            <w:r>
              <w:rPr/>
              <w:t> </w:t>
            </w:r>
          </w:p>
        </w:tc>
        <w:tc>
          <w:tcPr>
            <w:tcW w:w="228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Amount to be paid</w:t>
            </w:r>
          </w:p>
        </w:tc>
      </w:tr>
      <w:tr>
        <w:trPr/>
        <w:tc>
          <w:tcPr>
            <w:tcW w:w="7598"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 xml:space="preserve">SEC registration fee </w:t>
            </w:r>
          </w:p>
        </w:tc>
        <w:tc>
          <w:tcPr>
            <w:tcW w:w="326" w:type="dxa"/>
            <w:tcBorders/>
            <w:shd w:fill="auto" w:val="clear"/>
            <w:vAlign w:val="center"/>
          </w:tcPr>
          <w:p>
            <w:pPr>
              <w:pStyle w:val="TableContents"/>
              <w:spacing w:before="0" w:after="0"/>
              <w:ind w:left="0" w:right="0" w:firstLine="30"/>
              <w:rPr/>
            </w:pPr>
            <w:r>
              <w:rPr/>
              <w:t> </w:t>
            </w:r>
          </w:p>
        </w:tc>
        <w:tc>
          <w:tcPr>
            <w:tcW w:w="17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990" w:type="dxa"/>
            <w:tcBorders/>
            <w:shd w:fill="auto" w:val="clear"/>
            <w:vAlign w:val="center"/>
          </w:tcPr>
          <w:p>
            <w:pPr>
              <w:pStyle w:val="TableContents"/>
              <w:spacing w:before="0" w:after="0"/>
              <w:jc w:val="right"/>
              <w:rPr>
                <w:rFonts w:ascii="inherit" w:hAnsi="inherit"/>
                <w:sz w:val="17"/>
              </w:rPr>
            </w:pPr>
            <w:r>
              <w:rPr>
                <w:rFonts w:ascii="inherit" w:hAnsi="inherit"/>
                <w:sz w:val="17"/>
              </w:rPr>
              <w:t>612.00</w:t>
            </w:r>
          </w:p>
        </w:tc>
        <w:tc>
          <w:tcPr>
            <w:tcW w:w="1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5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Legal fees and expenses </w:t>
            </w:r>
          </w:p>
        </w:tc>
        <w:tc>
          <w:tcPr>
            <w:tcW w:w="326" w:type="dxa"/>
            <w:tcBorders/>
            <w:shd w:fill="auto" w:val="clear"/>
            <w:vAlign w:val="center"/>
          </w:tcPr>
          <w:p>
            <w:pPr>
              <w:pStyle w:val="TableContents"/>
              <w:spacing w:before="0" w:after="0"/>
              <w:ind w:left="0" w:right="0" w:firstLine="30"/>
              <w:rPr/>
            </w:pPr>
            <w:r>
              <w:rPr/>
              <w:t> </w:t>
            </w:r>
          </w:p>
        </w:tc>
        <w:tc>
          <w:tcPr>
            <w:tcW w:w="216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25,000</w:t>
            </w:r>
          </w:p>
        </w:tc>
        <w:tc>
          <w:tcPr>
            <w:tcW w:w="1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5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Accountant's fees and expenses </w:t>
            </w:r>
          </w:p>
        </w:tc>
        <w:tc>
          <w:tcPr>
            <w:tcW w:w="326" w:type="dxa"/>
            <w:tcBorders/>
            <w:shd w:fill="auto" w:val="clear"/>
            <w:vAlign w:val="center"/>
          </w:tcPr>
          <w:p>
            <w:pPr>
              <w:pStyle w:val="TableContents"/>
              <w:spacing w:before="0" w:after="0"/>
              <w:ind w:left="0" w:right="0" w:firstLine="30"/>
              <w:rPr/>
            </w:pPr>
            <w:r>
              <w:rPr/>
              <w:t> </w:t>
            </w:r>
          </w:p>
        </w:tc>
        <w:tc>
          <w:tcPr>
            <w:tcW w:w="216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25,000</w:t>
            </w:r>
          </w:p>
        </w:tc>
        <w:tc>
          <w:tcPr>
            <w:tcW w:w="12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5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Total </w:t>
            </w:r>
          </w:p>
        </w:tc>
        <w:tc>
          <w:tcPr>
            <w:tcW w:w="326" w:type="dxa"/>
            <w:tcBorders/>
            <w:shd w:fill="auto" w:val="clear"/>
            <w:vAlign w:val="center"/>
          </w:tcPr>
          <w:p>
            <w:pPr>
              <w:pStyle w:val="TableContents"/>
              <w:spacing w:before="0" w:after="0"/>
              <w:ind w:left="0" w:right="0" w:firstLine="30"/>
              <w:rPr/>
            </w:pPr>
            <w:r>
              <w:rPr/>
              <w:t> </w:t>
            </w:r>
          </w:p>
        </w:tc>
        <w:tc>
          <w:tcPr>
            <w:tcW w:w="17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99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50,612</w:t>
            </w:r>
          </w:p>
        </w:tc>
        <w:tc>
          <w:tcPr>
            <w:tcW w:w="120"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b/>
          <w:sz w:val="17"/>
        </w:rPr>
      </w:pPr>
      <w:bookmarkStart w:id="33" w:name="sd9a72435b08b47ac9099583cde93cf8c"/>
      <w:bookmarkEnd w:id="33"/>
      <w:r>
        <w:rPr>
          <w:rFonts w:ascii="inherit" w:hAnsi="inherit"/>
          <w:b/>
          <w:sz w:val="17"/>
        </w:rPr>
        <w:t xml:space="preserve">Item 15. Indemnification of Directors and Officers </w:t>
      </w:r>
    </w:p>
    <w:p>
      <w:pPr>
        <w:pStyle w:val="TextBody"/>
        <w:spacing w:lineRule="auto" w:line="288" w:before="0" w:after="0"/>
        <w:ind w:left="0" w:right="0" w:firstLine="720"/>
        <w:jc w:val="left"/>
        <w:rPr>
          <w:rFonts w:ascii="inherit" w:hAnsi="inherit"/>
          <w:sz w:val="17"/>
        </w:rPr>
      </w:pPr>
      <w:r>
        <w:rPr>
          <w:rFonts w:ascii="inherit" w:hAnsi="inherit"/>
          <w:sz w:val="17"/>
        </w:rPr>
        <w:t>Article Eighth of the Company’s Amended and Restated Certificate of Incorporation provides that the Company shall indemnify its present or former directors and officers, and may indemnify any employee or agent of the Company, to the fullest extent permitted by law, including under the Delaware General Corporation Law (the “DGCL”).</w:t>
      </w:r>
    </w:p>
    <w:p>
      <w:pPr>
        <w:pStyle w:val="TextBody"/>
        <w:spacing w:lineRule="auto" w:line="288" w:before="0" w:after="0"/>
        <w:ind w:left="0" w:right="0" w:firstLine="720"/>
        <w:jc w:val="left"/>
        <w:rPr>
          <w:rFonts w:ascii="inherit" w:hAnsi="inherit"/>
          <w:sz w:val="17"/>
        </w:rPr>
      </w:pPr>
      <w:r>
        <w:rPr>
          <w:rFonts w:ascii="inherit" w:hAnsi="inherit"/>
          <w:sz w:val="17"/>
        </w:rPr>
        <w:t>Section 145(a) of the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if he acted in good faith and in a manner the person reasonably believed to be in or not opposed to the best interests of the corporation and, with respect to any criminal action or proceeding, had no reasonable cause to believe the person’s conduct was unlawful.</w:t>
      </w:r>
    </w:p>
    <w:p>
      <w:pPr>
        <w:pStyle w:val="TextBody"/>
        <w:spacing w:lineRule="auto" w:line="288" w:before="0" w:after="0"/>
        <w:ind w:left="0" w:right="0" w:firstLine="720"/>
        <w:jc w:val="left"/>
        <w:rPr>
          <w:rFonts w:ascii="inherit" w:hAnsi="inherit"/>
          <w:sz w:val="17"/>
        </w:rPr>
      </w:pPr>
      <w:r>
        <w:rPr>
          <w:rFonts w:ascii="inherit" w:hAnsi="inherit"/>
          <w:sz w:val="17"/>
        </w:rPr>
        <w:t>Section 145(b) of the DGCL provides that 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the action or suit if the person acted in good faith and in a manner the person reasonably believed to be in or not opposed to the best interests of the corporation and except that no indemnification shall be made in respect of any claim, issue or matter as to which the person shall have been adjudged to be liable to the corporation unless and only to the extent that the Delaware Court of Chancery or the court in which the action or suit was brought shall determine upon application that, despite the adjudication of liability but in view of all the circumstances of the case, the person is fairly and reasonably entitled to indemnity for the expenses which the Delaware Court of Chancery or such other court shall deem proper.</w:t>
      </w:r>
    </w:p>
    <w:p>
      <w:pPr>
        <w:pStyle w:val="TextBody"/>
        <w:spacing w:lineRule="auto" w:line="288" w:before="0" w:after="0"/>
        <w:ind w:left="0" w:right="0" w:firstLine="720"/>
        <w:jc w:val="left"/>
        <w:rPr>
          <w:rFonts w:ascii="inherit" w:hAnsi="inherit"/>
          <w:sz w:val="17"/>
        </w:rPr>
      </w:pPr>
      <w:r>
        <w:rPr>
          <w:rFonts w:ascii="inherit" w:hAnsi="inherit"/>
          <w:sz w:val="17"/>
        </w:rPr>
        <w:t>Section 145(c) of the DGCL provides that to the extent that a present or former director or officer of a corporation has been successful on the merits or otherwise in defense of any action, suit or proceeding referred to in Section 145(a) and (b), or in defense of any claim, issue or matter therein, the person shall be indemnified against expenses (including attorneys’ fees) actually and reasonably incurred by the person in connection therewith.</w:t>
      </w:r>
    </w:p>
    <w:p>
      <w:pPr>
        <w:pStyle w:val="TextBody"/>
        <w:spacing w:before="0" w:after="0"/>
        <w:rPr/>
      </w:pPr>
      <w:r>
        <w:rPr/>
      </w:r>
    </w:p>
    <w:p>
      <w:pPr>
        <w:pStyle w:val="TextBody"/>
        <w:spacing w:lineRule="auto" w:line="288"/>
        <w:rPr>
          <w:sz w:val="17"/>
        </w:rPr>
      </w:pPr>
      <w:r>
        <w:rPr>
          <w:rFonts w:ascii="inherit" w:hAnsi="inherit"/>
          <w:sz w:val="12"/>
        </w:rPr>
        <w:t>2</w:t>
      </w:r>
      <w:r>
        <w:rPr>
          <w:sz w:val="17"/>
        </w:rPr>
        <w:t xml:space="preserve">  </w:t>
      </w:r>
      <w:r>
        <w:rPr>
          <w:rFonts w:ascii="inherit" w:hAnsi="inherit"/>
          <w:b/>
          <w:sz w:val="17"/>
        </w:rPr>
        <w:t>[NTD: Calculate by multiplying maximum aggregate offering price by 0.00012880.]</w:t>
      </w:r>
      <w:r>
        <w:br w:type="page"/>
      </w:r>
    </w:p>
    <w:p>
      <w:pPr>
        <w:pStyle w:val="TextBody"/>
        <w:spacing w:before="0" w:after="0"/>
        <w:rPr/>
      </w:pPr>
      <w:r>
        <w:rPr/>
      </w:r>
    </w:p>
    <w:p>
      <w:pPr>
        <w:pStyle w:val="TextBody"/>
        <w:spacing w:lineRule="auto" w:line="288" w:before="0" w:after="0"/>
        <w:ind w:left="0" w:right="0" w:firstLine="720"/>
        <w:jc w:val="left"/>
        <w:rPr>
          <w:rFonts w:ascii="inherit" w:hAnsi="inherit"/>
          <w:sz w:val="17"/>
        </w:rPr>
      </w:pPr>
      <w:r>
        <w:rPr>
          <w:rFonts w:ascii="inherit" w:hAnsi="inherit"/>
          <w:sz w:val="17"/>
        </w:rPr>
        <w:t>Section 145(d) of the DGCL provides that any indemnification under Section 145(a) and (b)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Section 145(a) and (b). The determination shall be made, with respect to a person who is a director or officer of the corporation at the time of such determination, (1) by a majority vote of the directors who are not parties to such action, suit or proceeding, even though less than a quorum, (2) by a committee of such directors designated by majority vote of such directors, even though less than a quorum, (3) if there are no such directors, or if such directors so direct, by independent legal counsel in a written opinion or (4) by the stockholders.</w:t>
      </w:r>
    </w:p>
    <w:p>
      <w:pPr>
        <w:pStyle w:val="TextBody"/>
        <w:spacing w:lineRule="auto" w:line="288" w:before="0" w:after="0"/>
        <w:ind w:left="0" w:right="0" w:firstLine="720"/>
        <w:jc w:val="left"/>
        <w:rPr>
          <w:rFonts w:ascii="inherit" w:hAnsi="inherit"/>
          <w:sz w:val="17"/>
        </w:rPr>
      </w:pPr>
      <w:r>
        <w:rPr>
          <w:rFonts w:ascii="inherit" w:hAnsi="inherit"/>
          <w:sz w:val="17"/>
        </w:rPr>
        <w:t>Section 145(e) of the DGCL provides that expenses (including attorneys’ fees) incurred by an officer or director of the corporation in defending any civil, criminal, administrative or investigative action, suit or proceeding may be paid by the corporation in advance of the final disposition of such action, suit or proceeding upon receipt of an undertaking by or on behalf of the director or officer to repay such amount if it shall ultimately be determined that the person is not entitled to be indemnified by the corporation as authorized under Section 145. The expenses (including attorneys’ fees) incurred by former directors and officers or other employees and agents of the corporation, or by persons serving at the request of the corporation as directors, officers, employees or agents of another corporation, partnership, joint venture, trust or other enterprise, may be so paid upon those terms and conditions, if any, as the corporation deems appropriate.</w:t>
      </w:r>
    </w:p>
    <w:p>
      <w:pPr>
        <w:pStyle w:val="TextBody"/>
        <w:spacing w:lineRule="auto" w:line="288" w:before="0" w:after="0"/>
        <w:ind w:left="0" w:right="0" w:firstLine="720"/>
        <w:jc w:val="left"/>
        <w:rPr>
          <w:rFonts w:ascii="inherit" w:hAnsi="inherit"/>
          <w:sz w:val="17"/>
        </w:rPr>
      </w:pPr>
      <w:r>
        <w:rPr>
          <w:rFonts w:ascii="inherit" w:hAnsi="inherit"/>
          <w:sz w:val="17"/>
        </w:rPr>
        <w:t>Section 145(f) of the DGCL provides that the indemnification and advancement of expenses provided by, or granted pursuant to, Section 145 shall not be deemed exclusive of any other rights to which those seeking indemnification or advancement of expenses may be entitled under any bylaw, agreement, vote of stockholders or disinterested directors or otherwise.</w:t>
      </w:r>
    </w:p>
    <w:p>
      <w:pPr>
        <w:pStyle w:val="TextBody"/>
        <w:spacing w:lineRule="auto" w:line="288" w:before="0" w:after="0"/>
        <w:ind w:left="0" w:right="0" w:firstLine="720"/>
        <w:jc w:val="left"/>
        <w:rPr>
          <w:rFonts w:ascii="inherit" w:hAnsi="inherit"/>
          <w:sz w:val="17"/>
        </w:rPr>
      </w:pPr>
      <w:r>
        <w:rPr>
          <w:rFonts w:ascii="inherit" w:hAnsi="inherit"/>
          <w:sz w:val="17"/>
        </w:rPr>
        <w:t>Section 145(g) of the DGCL provides that a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the person and incurred by the person in any such capacity, or arising out of the person’s status as such, whether or not the corporation would have the power to indemnify the person against such liability under Section 145. The Company maintains directors’ and officers’ liability insurance for the benefit of its directors and officers.</w:t>
      </w:r>
    </w:p>
    <w:p>
      <w:pPr>
        <w:pStyle w:val="TextBody"/>
        <w:spacing w:lineRule="auto" w:line="288" w:before="0" w:after="0"/>
        <w:ind w:left="0" w:right="0" w:firstLine="720"/>
        <w:jc w:val="left"/>
        <w:rPr>
          <w:rFonts w:ascii="inherit" w:hAnsi="inherit"/>
          <w:sz w:val="17"/>
        </w:rPr>
      </w:pPr>
      <w:r>
        <w:rPr>
          <w:rFonts w:ascii="inherit" w:hAnsi="inherit"/>
          <w:sz w:val="17"/>
        </w:rPr>
        <w:t>Section 145(j) of the DGCL provides that the indemnification and advancement of expenses provided by, or granted pursuant to, Section 145 shall, unless otherwise provided when authorized or ratified, continue as to a person who has ceased to be a director, officer, employee or agent and shall inure to the benefit of the heirs, executors and administrators of such a person.</w:t>
      </w:r>
    </w:p>
    <w:p>
      <w:pPr>
        <w:pStyle w:val="TextBody"/>
        <w:spacing w:lineRule="auto" w:line="288" w:before="0" w:after="0"/>
        <w:ind w:left="0" w:right="0" w:firstLine="720"/>
        <w:jc w:val="left"/>
        <w:rPr>
          <w:rFonts w:ascii="inherit" w:hAnsi="inherit"/>
          <w:sz w:val="17"/>
        </w:rPr>
      </w:pPr>
      <w:r>
        <w:rPr>
          <w:rFonts w:ascii="inherit" w:hAnsi="inherit"/>
          <w:sz w:val="17"/>
        </w:rPr>
        <w:t>The above discussion of the Company’s Amended and Restated Certificate of Incorporation and the DGCL is not intended to be exhaustive and is respectively qualified by entirety to the Company’s Amended and Restated Certificate of Incorporation and the DGCL.</w:t>
      </w:r>
    </w:p>
    <w:p>
      <w:pPr>
        <w:pStyle w:val="TextBody"/>
        <w:spacing w:lineRule="auto" w:line="288" w:before="0" w:after="0"/>
        <w:jc w:val="left"/>
        <w:rPr>
          <w:rFonts w:ascii="inherit" w:hAnsi="inherit"/>
          <w:b/>
          <w:sz w:val="17"/>
        </w:rPr>
      </w:pPr>
      <w:bookmarkStart w:id="34" w:name="s42e9c3abaa3141c2af9fe2a2837bc0c8"/>
      <w:bookmarkEnd w:id="34"/>
      <w:r>
        <w:rPr>
          <w:rFonts w:ascii="inherit" w:hAnsi="inherit"/>
          <w:b/>
          <w:sz w:val="17"/>
        </w:rPr>
        <w:t xml:space="preserve">Item 16. Exhibits </w:t>
      </w:r>
    </w:p>
    <w:p>
      <w:pPr>
        <w:pStyle w:val="TextBody"/>
        <w:spacing w:lineRule="auto" w:line="288" w:before="0" w:after="0"/>
        <w:ind w:left="0" w:right="0" w:firstLine="540"/>
        <w:jc w:val="left"/>
        <w:rPr>
          <w:rFonts w:ascii="inherit" w:hAnsi="inherit"/>
          <w:sz w:val="17"/>
        </w:rPr>
      </w:pPr>
      <w:r>
        <w:rPr>
          <w:rFonts w:ascii="inherit" w:hAnsi="inherit"/>
          <w:sz w:val="17"/>
        </w:rPr>
        <w:t>The attached Exhibit Index is incorporated herein by reference.</w:t>
      </w:r>
    </w:p>
    <w:p>
      <w:pPr>
        <w:pStyle w:val="TextBody"/>
        <w:spacing w:lineRule="auto" w:line="288" w:before="0" w:after="0"/>
        <w:jc w:val="left"/>
        <w:rPr>
          <w:rFonts w:ascii="inherit" w:hAnsi="inherit"/>
          <w:b/>
          <w:sz w:val="17"/>
        </w:rPr>
      </w:pPr>
      <w:bookmarkStart w:id="35" w:name="sb8e228aea9fd4399b51e376e8291682d"/>
      <w:bookmarkEnd w:id="35"/>
      <w:r>
        <w:rPr>
          <w:rFonts w:ascii="inherit" w:hAnsi="inherit"/>
          <w:b/>
          <w:sz w:val="17"/>
        </w:rPr>
        <w:t>Item 17. Undertakings</w:t>
      </w:r>
    </w:p>
    <w:tbl>
      <w:tblPr>
        <w:tblW w:w="4270" w:type="dxa"/>
        <w:jc w:val="left"/>
        <w:tblInd w:w="0" w:type="dxa"/>
        <w:tblCellMar>
          <w:top w:w="0" w:type="dxa"/>
          <w:left w:w="0" w:type="dxa"/>
          <w:bottom w:w="0" w:type="dxa"/>
          <w:right w:w="0" w:type="dxa"/>
        </w:tblCellMar>
      </w:tblPr>
      <w:tblGrid>
        <w:gridCol w:w="260"/>
        <w:gridCol w:w="4010"/>
      </w:tblGrid>
      <w:tr>
        <w:trPr/>
        <w:tc>
          <w:tcPr>
            <w:tcW w:w="260" w:type="dxa"/>
            <w:tcBorders/>
            <w:shd w:fill="auto" w:val="clear"/>
            <w:vAlign w:val="center"/>
          </w:tcPr>
          <w:p>
            <w:pPr>
              <w:pStyle w:val="TableContents"/>
              <w:spacing w:before="0" w:after="283"/>
              <w:rPr>
                <w:sz w:val="4"/>
                <w:szCs w:val="4"/>
              </w:rPr>
            </w:pPr>
            <w:r>
              <w:rPr>
                <w:sz w:val="4"/>
                <w:szCs w:val="4"/>
              </w:rPr>
            </w:r>
          </w:p>
        </w:tc>
        <w:tc>
          <w:tcPr>
            <w:tcW w:w="4010" w:type="dxa"/>
            <w:tcBorders/>
            <w:shd w:fill="auto" w:val="clear"/>
            <w:vAlign w:val="center"/>
          </w:tcPr>
          <w:p>
            <w:pPr>
              <w:pStyle w:val="TableContents"/>
              <w:spacing w:before="0" w:after="283"/>
              <w:rPr>
                <w:sz w:val="4"/>
                <w:szCs w:val="4"/>
              </w:rPr>
            </w:pPr>
            <w:r>
              <w:rPr>
                <w:sz w:val="4"/>
                <w:szCs w:val="4"/>
              </w:rPr>
            </w:r>
          </w:p>
        </w:tc>
      </w:tr>
      <w:tr>
        <w:trPr/>
        <w:tc>
          <w:tcPr>
            <w:tcW w:w="260"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(a)</w:t>
            </w:r>
          </w:p>
        </w:tc>
        <w:tc>
          <w:tcPr>
            <w:tcW w:w="401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undersigned registrant hereby undertakes:</w:t>
            </w:r>
          </w:p>
        </w:tc>
      </w:tr>
    </w:tbl>
    <w:tbl>
      <w:tblPr>
        <w:tblW w:w="10205" w:type="dxa"/>
        <w:jc w:val="left"/>
        <w:tblInd w:w="0" w:type="dxa"/>
        <w:tblCellMar>
          <w:top w:w="0" w:type="dxa"/>
          <w:left w:w="0" w:type="dxa"/>
          <w:bottom w:w="0" w:type="dxa"/>
          <w:right w:w="0" w:type="dxa"/>
        </w:tblCellMar>
      </w:tblPr>
      <w:tblGrid>
        <w:gridCol w:w="972"/>
        <w:gridCol w:w="9233"/>
      </w:tblGrid>
      <w:tr>
        <w:trPr/>
        <w:tc>
          <w:tcPr>
            <w:tcW w:w="972" w:type="dxa"/>
            <w:tcBorders/>
            <w:shd w:fill="auto" w:val="clear"/>
            <w:vAlign w:val="center"/>
          </w:tcPr>
          <w:p>
            <w:pPr>
              <w:pStyle w:val="TableContents"/>
              <w:spacing w:before="0" w:after="283"/>
              <w:rPr>
                <w:sz w:val="4"/>
                <w:szCs w:val="4"/>
              </w:rPr>
            </w:pPr>
            <w:r>
              <w:rPr>
                <w:sz w:val="4"/>
                <w:szCs w:val="4"/>
              </w:rPr>
            </w:r>
          </w:p>
        </w:tc>
        <w:tc>
          <w:tcPr>
            <w:tcW w:w="9233" w:type="dxa"/>
            <w:tcBorders/>
            <w:shd w:fill="auto" w:val="clear"/>
            <w:vAlign w:val="center"/>
          </w:tcPr>
          <w:p>
            <w:pPr>
              <w:pStyle w:val="TableContents"/>
              <w:spacing w:before="0" w:after="283"/>
              <w:rPr>
                <w:sz w:val="4"/>
                <w:szCs w:val="4"/>
              </w:rPr>
            </w:pPr>
            <w:r>
              <w:rPr>
                <w:sz w:val="4"/>
                <w:szCs w:val="4"/>
              </w:rPr>
            </w:r>
          </w:p>
        </w:tc>
      </w:tr>
      <w:tr>
        <w:trPr/>
        <w:tc>
          <w:tcPr>
            <w:tcW w:w="972"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(1)</w:t>
            </w:r>
          </w:p>
        </w:tc>
        <w:tc>
          <w:tcPr>
            <w:tcW w:w="9233"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To file, during any period in which offers or sales are being made, a post-effective amendment to this registration statement:</w:t>
            </w:r>
          </w:p>
        </w:tc>
      </w:tr>
    </w:tbl>
    <w:p>
      <w:pPr>
        <w:pStyle w:val="TextBody"/>
        <w:rPr/>
      </w:pPr>
      <w:r>
        <w:rPr/>
      </w:r>
      <w:r>
        <w:br w:type="page"/>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1637"/>
        <w:gridCol w:w="8568"/>
      </w:tblGrid>
      <w:tr>
        <w:trPr/>
        <w:tc>
          <w:tcPr>
            <w:tcW w:w="1637" w:type="dxa"/>
            <w:tcBorders/>
            <w:shd w:fill="auto" w:val="clear"/>
            <w:vAlign w:val="center"/>
          </w:tcPr>
          <w:p>
            <w:pPr>
              <w:pStyle w:val="TableContents"/>
              <w:spacing w:before="0" w:after="283"/>
              <w:rPr>
                <w:sz w:val="4"/>
                <w:szCs w:val="4"/>
              </w:rPr>
            </w:pPr>
            <w:r>
              <w:rPr>
                <w:sz w:val="4"/>
                <w:szCs w:val="4"/>
              </w:rPr>
            </w:r>
          </w:p>
        </w:tc>
        <w:tc>
          <w:tcPr>
            <w:tcW w:w="8568" w:type="dxa"/>
            <w:tcBorders/>
            <w:shd w:fill="auto" w:val="clear"/>
            <w:vAlign w:val="center"/>
          </w:tcPr>
          <w:p>
            <w:pPr>
              <w:pStyle w:val="TableContents"/>
              <w:spacing w:before="0" w:after="283"/>
              <w:rPr>
                <w:sz w:val="4"/>
                <w:szCs w:val="4"/>
              </w:rPr>
            </w:pPr>
            <w:r>
              <w:rPr>
                <w:sz w:val="4"/>
                <w:szCs w:val="4"/>
              </w:rPr>
            </w:r>
          </w:p>
        </w:tc>
      </w:tr>
      <w:tr>
        <w:trPr/>
        <w:tc>
          <w:tcPr>
            <w:tcW w:w="1637"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(i)</w:t>
            </w:r>
          </w:p>
        </w:tc>
        <w:tc>
          <w:tcPr>
            <w:tcW w:w="8568"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To include any prospectus required by Section 10(a)(3) of the Securities Act of 1933 (the “Securities Act”);</w:t>
            </w:r>
          </w:p>
        </w:tc>
      </w:tr>
    </w:tbl>
    <w:tbl>
      <w:tblPr>
        <w:tblW w:w="10205" w:type="dxa"/>
        <w:jc w:val="left"/>
        <w:tblInd w:w="0" w:type="dxa"/>
        <w:tblCellMar>
          <w:top w:w="0" w:type="dxa"/>
          <w:left w:w="0" w:type="dxa"/>
          <w:bottom w:w="0" w:type="dxa"/>
          <w:right w:w="0" w:type="dxa"/>
        </w:tblCellMar>
      </w:tblPr>
      <w:tblGrid>
        <w:gridCol w:w="1630"/>
        <w:gridCol w:w="8575"/>
      </w:tblGrid>
      <w:tr>
        <w:trPr/>
        <w:tc>
          <w:tcPr>
            <w:tcW w:w="1630" w:type="dxa"/>
            <w:tcBorders/>
            <w:shd w:fill="auto" w:val="clear"/>
            <w:vAlign w:val="center"/>
          </w:tcPr>
          <w:p>
            <w:pPr>
              <w:pStyle w:val="TableContents"/>
              <w:spacing w:before="0" w:after="283"/>
              <w:rPr>
                <w:sz w:val="4"/>
                <w:szCs w:val="4"/>
              </w:rPr>
            </w:pPr>
            <w:r>
              <w:rPr>
                <w:sz w:val="4"/>
                <w:szCs w:val="4"/>
              </w:rPr>
            </w:r>
          </w:p>
        </w:tc>
        <w:tc>
          <w:tcPr>
            <w:tcW w:w="8575" w:type="dxa"/>
            <w:tcBorders/>
            <w:shd w:fill="auto" w:val="clear"/>
            <w:vAlign w:val="center"/>
          </w:tcPr>
          <w:p>
            <w:pPr>
              <w:pStyle w:val="TableContents"/>
              <w:spacing w:before="0" w:after="283"/>
              <w:rPr>
                <w:sz w:val="4"/>
                <w:szCs w:val="4"/>
              </w:rPr>
            </w:pPr>
            <w:r>
              <w:rPr>
                <w:sz w:val="4"/>
                <w:szCs w:val="4"/>
              </w:rPr>
            </w:r>
          </w:p>
        </w:tc>
      </w:tr>
      <w:tr>
        <w:trPr/>
        <w:tc>
          <w:tcPr>
            <w:tcW w:w="1630"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(ii)</w:t>
            </w:r>
          </w:p>
        </w:tc>
        <w:tc>
          <w:tcPr>
            <w:tcW w:w="857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 and</w:t>
            </w:r>
          </w:p>
        </w:tc>
      </w:tr>
    </w:tbl>
    <w:tbl>
      <w:tblPr>
        <w:tblW w:w="10205" w:type="dxa"/>
        <w:jc w:val="left"/>
        <w:tblInd w:w="0" w:type="dxa"/>
        <w:tblCellMar>
          <w:top w:w="0" w:type="dxa"/>
          <w:left w:w="0" w:type="dxa"/>
          <w:bottom w:w="0" w:type="dxa"/>
          <w:right w:w="0" w:type="dxa"/>
        </w:tblCellMar>
      </w:tblPr>
      <w:tblGrid>
        <w:gridCol w:w="1698"/>
        <w:gridCol w:w="8507"/>
      </w:tblGrid>
      <w:tr>
        <w:trPr/>
        <w:tc>
          <w:tcPr>
            <w:tcW w:w="1698" w:type="dxa"/>
            <w:tcBorders/>
            <w:shd w:fill="auto" w:val="clear"/>
            <w:vAlign w:val="center"/>
          </w:tcPr>
          <w:p>
            <w:pPr>
              <w:pStyle w:val="TableContents"/>
              <w:spacing w:before="0" w:after="283"/>
              <w:rPr>
                <w:sz w:val="4"/>
                <w:szCs w:val="4"/>
              </w:rPr>
            </w:pPr>
            <w:r>
              <w:rPr>
                <w:sz w:val="4"/>
                <w:szCs w:val="4"/>
              </w:rPr>
            </w:r>
          </w:p>
        </w:tc>
        <w:tc>
          <w:tcPr>
            <w:tcW w:w="8507" w:type="dxa"/>
            <w:tcBorders/>
            <w:shd w:fill="auto" w:val="clear"/>
            <w:vAlign w:val="center"/>
          </w:tcPr>
          <w:p>
            <w:pPr>
              <w:pStyle w:val="TableContents"/>
              <w:spacing w:before="0" w:after="283"/>
              <w:rPr>
                <w:sz w:val="4"/>
                <w:szCs w:val="4"/>
              </w:rPr>
            </w:pPr>
            <w:r>
              <w:rPr>
                <w:sz w:val="4"/>
                <w:szCs w:val="4"/>
              </w:rPr>
            </w:r>
          </w:p>
        </w:tc>
      </w:tr>
      <w:tr>
        <w:trPr/>
        <w:tc>
          <w:tcPr>
            <w:tcW w:w="1698"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(iii)</w:t>
            </w:r>
          </w:p>
        </w:tc>
        <w:tc>
          <w:tcPr>
            <w:tcW w:w="8507"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To include any material information with respect to the plan of distribution not previously disclosed in this registration statement or any material change to such information in this registration statement;</w:t>
            </w:r>
          </w:p>
        </w:tc>
      </w:tr>
    </w:tbl>
    <w:p>
      <w:pPr>
        <w:pStyle w:val="TextBody"/>
        <w:spacing w:lineRule="auto" w:line="288" w:before="0" w:after="0"/>
        <w:ind w:left="0" w:right="0" w:firstLine="1440"/>
        <w:jc w:val="left"/>
        <w:rPr>
          <w:rFonts w:ascii="inherit" w:hAnsi="inherit"/>
          <w:sz w:val="17"/>
        </w:rPr>
      </w:pPr>
      <w:r>
        <w:rPr>
          <w:rFonts w:ascii="inherit" w:hAnsi="inherit"/>
          <w:sz w:val="17"/>
        </w:rPr>
        <w:t>provided, however, that paragraphs (i), (ii) and (iii) do not apply if the information required to be included in a post-effective amendment by those paragraphs is contained in reports filed with or furnished to the SEC by the registrant pursuant to Section 13 or Section 15(d) of the Securities Exchange Act of 1934 (the “Exchange Act”) that are incorporated by reference in the registration statement or is contained in a form of prospectus filed pursuant to Rule 424(b) that is part of the registration statement;</w:t>
      </w:r>
    </w:p>
    <w:tbl>
      <w:tblPr>
        <w:tblW w:w="10205" w:type="dxa"/>
        <w:jc w:val="left"/>
        <w:tblInd w:w="0" w:type="dxa"/>
        <w:tblCellMar>
          <w:top w:w="0" w:type="dxa"/>
          <w:left w:w="0" w:type="dxa"/>
          <w:bottom w:w="0" w:type="dxa"/>
          <w:right w:w="0" w:type="dxa"/>
        </w:tblCellMar>
      </w:tblPr>
      <w:tblGrid>
        <w:gridCol w:w="939"/>
        <w:gridCol w:w="9266"/>
      </w:tblGrid>
      <w:tr>
        <w:trPr/>
        <w:tc>
          <w:tcPr>
            <w:tcW w:w="939" w:type="dxa"/>
            <w:tcBorders/>
            <w:shd w:fill="auto" w:val="clear"/>
            <w:vAlign w:val="center"/>
          </w:tcPr>
          <w:p>
            <w:pPr>
              <w:pStyle w:val="TableContents"/>
              <w:spacing w:before="0" w:after="283"/>
              <w:rPr>
                <w:sz w:val="4"/>
                <w:szCs w:val="4"/>
              </w:rPr>
            </w:pPr>
            <w:r>
              <w:rPr>
                <w:sz w:val="4"/>
                <w:szCs w:val="4"/>
              </w:rPr>
            </w:r>
          </w:p>
        </w:tc>
        <w:tc>
          <w:tcPr>
            <w:tcW w:w="9266" w:type="dxa"/>
            <w:tcBorders/>
            <w:shd w:fill="auto" w:val="clear"/>
            <w:vAlign w:val="center"/>
          </w:tcPr>
          <w:p>
            <w:pPr>
              <w:pStyle w:val="TableContents"/>
              <w:spacing w:before="0" w:after="283"/>
              <w:rPr>
                <w:sz w:val="4"/>
                <w:szCs w:val="4"/>
              </w:rPr>
            </w:pPr>
            <w:r>
              <w:rPr>
                <w:sz w:val="4"/>
                <w:szCs w:val="4"/>
              </w:rPr>
            </w:r>
          </w:p>
        </w:tc>
      </w:tr>
      <w:tr>
        <w:trPr/>
        <w:tc>
          <w:tcPr>
            <w:tcW w:w="939"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(2)</w:t>
            </w:r>
          </w:p>
        </w:tc>
        <w:tc>
          <w:tcPr>
            <w:tcW w:w="9266"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tc>
      </w:tr>
    </w:tbl>
    <w:tbl>
      <w:tblPr>
        <w:tblW w:w="10205" w:type="dxa"/>
        <w:jc w:val="left"/>
        <w:tblInd w:w="0" w:type="dxa"/>
        <w:tblCellMar>
          <w:top w:w="0" w:type="dxa"/>
          <w:left w:w="0" w:type="dxa"/>
          <w:bottom w:w="0" w:type="dxa"/>
          <w:right w:w="0" w:type="dxa"/>
        </w:tblCellMar>
      </w:tblPr>
      <w:tblGrid>
        <w:gridCol w:w="958"/>
        <w:gridCol w:w="9247"/>
      </w:tblGrid>
      <w:tr>
        <w:trPr/>
        <w:tc>
          <w:tcPr>
            <w:tcW w:w="958" w:type="dxa"/>
            <w:tcBorders/>
            <w:shd w:fill="auto" w:val="clear"/>
            <w:vAlign w:val="center"/>
          </w:tcPr>
          <w:p>
            <w:pPr>
              <w:pStyle w:val="TableContents"/>
              <w:spacing w:before="0" w:after="283"/>
              <w:rPr>
                <w:sz w:val="4"/>
                <w:szCs w:val="4"/>
              </w:rPr>
            </w:pPr>
            <w:r>
              <w:rPr>
                <w:sz w:val="4"/>
                <w:szCs w:val="4"/>
              </w:rPr>
            </w:r>
          </w:p>
        </w:tc>
        <w:tc>
          <w:tcPr>
            <w:tcW w:w="9247" w:type="dxa"/>
            <w:tcBorders/>
            <w:shd w:fill="auto" w:val="clear"/>
            <w:vAlign w:val="center"/>
          </w:tcPr>
          <w:p>
            <w:pPr>
              <w:pStyle w:val="TableContents"/>
              <w:spacing w:before="0" w:after="283"/>
              <w:rPr>
                <w:sz w:val="4"/>
                <w:szCs w:val="4"/>
              </w:rPr>
            </w:pPr>
            <w:r>
              <w:rPr>
                <w:sz w:val="4"/>
                <w:szCs w:val="4"/>
              </w:rPr>
            </w:r>
          </w:p>
        </w:tc>
      </w:tr>
      <w:tr>
        <w:trPr/>
        <w:tc>
          <w:tcPr>
            <w:tcW w:w="958"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(3)</w:t>
            </w:r>
          </w:p>
        </w:tc>
        <w:tc>
          <w:tcPr>
            <w:tcW w:w="9247"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To remove from registration by means of a post-effective amendment any of the securities being registered which remain unsold at the termination of the offering;</w:t>
            </w:r>
          </w:p>
        </w:tc>
      </w:tr>
    </w:tbl>
    <w:tbl>
      <w:tblPr>
        <w:tblW w:w="8035" w:type="dxa"/>
        <w:jc w:val="left"/>
        <w:tblInd w:w="0" w:type="dxa"/>
        <w:tblCellMar>
          <w:top w:w="0" w:type="dxa"/>
          <w:left w:w="0" w:type="dxa"/>
          <w:bottom w:w="0" w:type="dxa"/>
          <w:right w:w="0" w:type="dxa"/>
        </w:tblCellMar>
      </w:tblPr>
      <w:tblGrid>
        <w:gridCol w:w="980"/>
        <w:gridCol w:w="7055"/>
      </w:tblGrid>
      <w:tr>
        <w:trPr/>
        <w:tc>
          <w:tcPr>
            <w:tcW w:w="980" w:type="dxa"/>
            <w:tcBorders/>
            <w:shd w:fill="auto" w:val="clear"/>
            <w:vAlign w:val="center"/>
          </w:tcPr>
          <w:p>
            <w:pPr>
              <w:pStyle w:val="TableContents"/>
              <w:spacing w:before="0" w:after="283"/>
              <w:rPr>
                <w:sz w:val="4"/>
                <w:szCs w:val="4"/>
              </w:rPr>
            </w:pPr>
            <w:r>
              <w:rPr>
                <w:sz w:val="4"/>
                <w:szCs w:val="4"/>
              </w:rPr>
            </w:r>
          </w:p>
        </w:tc>
        <w:tc>
          <w:tcPr>
            <w:tcW w:w="7055" w:type="dxa"/>
            <w:tcBorders/>
            <w:shd w:fill="auto" w:val="clear"/>
            <w:vAlign w:val="center"/>
          </w:tcPr>
          <w:p>
            <w:pPr>
              <w:pStyle w:val="TableContents"/>
              <w:spacing w:before="0" w:after="283"/>
              <w:rPr>
                <w:sz w:val="4"/>
                <w:szCs w:val="4"/>
              </w:rPr>
            </w:pPr>
            <w:r>
              <w:rPr>
                <w:sz w:val="4"/>
                <w:szCs w:val="4"/>
              </w:rPr>
            </w:r>
          </w:p>
        </w:tc>
      </w:tr>
      <w:tr>
        <w:trPr/>
        <w:tc>
          <w:tcPr>
            <w:tcW w:w="980"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(4)</w:t>
            </w:r>
          </w:p>
        </w:tc>
        <w:tc>
          <w:tcPr>
            <w:tcW w:w="705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That, for purposes of determining liability under the Securities Act to any purchaser:</w:t>
            </w:r>
          </w:p>
        </w:tc>
      </w:tr>
    </w:tbl>
    <w:tbl>
      <w:tblPr>
        <w:tblW w:w="10205" w:type="dxa"/>
        <w:jc w:val="left"/>
        <w:tblInd w:w="0" w:type="dxa"/>
        <w:tblCellMar>
          <w:top w:w="0" w:type="dxa"/>
          <w:left w:w="0" w:type="dxa"/>
          <w:bottom w:w="0" w:type="dxa"/>
          <w:right w:w="0" w:type="dxa"/>
        </w:tblCellMar>
      </w:tblPr>
      <w:tblGrid>
        <w:gridCol w:w="1605"/>
        <w:gridCol w:w="8600"/>
      </w:tblGrid>
      <w:tr>
        <w:trPr/>
        <w:tc>
          <w:tcPr>
            <w:tcW w:w="1605" w:type="dxa"/>
            <w:tcBorders/>
            <w:shd w:fill="auto" w:val="clear"/>
            <w:vAlign w:val="center"/>
          </w:tcPr>
          <w:p>
            <w:pPr>
              <w:pStyle w:val="TableContents"/>
              <w:spacing w:before="0" w:after="283"/>
              <w:rPr>
                <w:sz w:val="4"/>
                <w:szCs w:val="4"/>
              </w:rPr>
            </w:pPr>
            <w:r>
              <w:rPr>
                <w:sz w:val="4"/>
                <w:szCs w:val="4"/>
              </w:rPr>
            </w:r>
          </w:p>
        </w:tc>
        <w:tc>
          <w:tcPr>
            <w:tcW w:w="8600" w:type="dxa"/>
            <w:tcBorders/>
            <w:shd w:fill="auto" w:val="clear"/>
            <w:vAlign w:val="center"/>
          </w:tcPr>
          <w:p>
            <w:pPr>
              <w:pStyle w:val="TableContents"/>
              <w:spacing w:before="0" w:after="283"/>
              <w:rPr>
                <w:sz w:val="4"/>
                <w:szCs w:val="4"/>
              </w:rPr>
            </w:pPr>
            <w:r>
              <w:rPr>
                <w:sz w:val="4"/>
                <w:szCs w:val="4"/>
              </w:rPr>
            </w:r>
          </w:p>
        </w:tc>
      </w:tr>
      <w:tr>
        <w:trPr/>
        <w:tc>
          <w:tcPr>
            <w:tcW w:w="1605"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(i)</w:t>
            </w:r>
          </w:p>
        </w:tc>
        <w:tc>
          <w:tcPr>
            <w:tcW w:w="86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Each prospectus filed by the registrant pursuant to Rule 424(b)(3) shall be deemed to be part of the registration statement as of the date the filed prospectus was deemed part of and included in the registration statement; and</w:t>
            </w:r>
          </w:p>
        </w:tc>
      </w:tr>
    </w:tbl>
    <w:tbl>
      <w:tblPr>
        <w:tblW w:w="10205" w:type="dxa"/>
        <w:jc w:val="left"/>
        <w:tblInd w:w="0" w:type="dxa"/>
        <w:tblCellMar>
          <w:top w:w="0" w:type="dxa"/>
          <w:left w:w="0" w:type="dxa"/>
          <w:bottom w:w="0" w:type="dxa"/>
          <w:right w:w="0" w:type="dxa"/>
        </w:tblCellMar>
      </w:tblPr>
      <w:tblGrid>
        <w:gridCol w:w="1629"/>
        <w:gridCol w:w="8576"/>
      </w:tblGrid>
      <w:tr>
        <w:trPr/>
        <w:tc>
          <w:tcPr>
            <w:tcW w:w="1629" w:type="dxa"/>
            <w:tcBorders/>
            <w:shd w:fill="auto" w:val="clear"/>
            <w:vAlign w:val="center"/>
          </w:tcPr>
          <w:p>
            <w:pPr>
              <w:pStyle w:val="TableContents"/>
              <w:spacing w:before="0" w:after="283"/>
              <w:rPr>
                <w:sz w:val="4"/>
                <w:szCs w:val="4"/>
              </w:rPr>
            </w:pPr>
            <w:r>
              <w:rPr>
                <w:sz w:val="4"/>
                <w:szCs w:val="4"/>
              </w:rPr>
            </w:r>
          </w:p>
        </w:tc>
        <w:tc>
          <w:tcPr>
            <w:tcW w:w="8576" w:type="dxa"/>
            <w:tcBorders/>
            <w:shd w:fill="auto" w:val="clear"/>
            <w:vAlign w:val="center"/>
          </w:tcPr>
          <w:p>
            <w:pPr>
              <w:pStyle w:val="TableContents"/>
              <w:spacing w:before="0" w:after="283"/>
              <w:rPr>
                <w:sz w:val="4"/>
                <w:szCs w:val="4"/>
              </w:rPr>
            </w:pPr>
            <w:r>
              <w:rPr>
                <w:sz w:val="4"/>
                <w:szCs w:val="4"/>
              </w:rPr>
            </w:r>
          </w:p>
        </w:tc>
      </w:tr>
      <w:tr>
        <w:trPr/>
        <w:tc>
          <w:tcPr>
            <w:tcW w:w="1629"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(ii)</w:t>
            </w:r>
          </w:p>
        </w:tc>
        <w:tc>
          <w:tcPr>
            <w:tcW w:w="8576"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w:t>
            </w:r>
          </w:p>
        </w:tc>
      </w:tr>
    </w:tbl>
    <w:p>
      <w:pPr>
        <w:pStyle w:val="TextBody"/>
        <w:rPr/>
      </w:pPr>
      <w:r>
        <w:rPr/>
      </w:r>
      <w:r>
        <w:br w:type="page"/>
      </w:r>
    </w:p>
    <w:p>
      <w:pPr>
        <w:pStyle w:val="TextBody"/>
        <w:spacing w:before="0" w:after="0"/>
        <w:rPr/>
      </w:pPr>
      <w:r>
        <w:rPr/>
      </w:r>
    </w:p>
    <w:p>
      <w:pPr>
        <w:pStyle w:val="TextBody"/>
        <w:spacing w:lineRule="auto" w:line="288" w:before="0" w:after="0"/>
        <w:ind w:left="0" w:right="0" w:firstLine="2160"/>
        <w:jc w:val="left"/>
        <w:rPr>
          <w:rFonts w:ascii="inherit" w:hAnsi="inherit"/>
          <w:sz w:val="17"/>
        </w:rPr>
      </w:pPr>
      <w:r>
        <w:rPr>
          <w:rFonts w:ascii="inherit" w:hAnsi="inherit"/>
          <w:sz w:val="17"/>
        </w:rPr>
        <w:t>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tbl>
      <w:tblPr>
        <w:tblW w:w="10205" w:type="dxa"/>
        <w:jc w:val="left"/>
        <w:tblInd w:w="0" w:type="dxa"/>
        <w:tblCellMar>
          <w:top w:w="0" w:type="dxa"/>
          <w:left w:w="0" w:type="dxa"/>
          <w:bottom w:w="0" w:type="dxa"/>
          <w:right w:w="0" w:type="dxa"/>
        </w:tblCellMar>
      </w:tblPr>
      <w:tblGrid>
        <w:gridCol w:w="211"/>
        <w:gridCol w:w="9994"/>
      </w:tblGrid>
      <w:tr>
        <w:trPr/>
        <w:tc>
          <w:tcPr>
            <w:tcW w:w="211" w:type="dxa"/>
            <w:tcBorders/>
            <w:shd w:fill="auto" w:val="clear"/>
            <w:vAlign w:val="center"/>
          </w:tcPr>
          <w:p>
            <w:pPr>
              <w:pStyle w:val="TableContents"/>
              <w:spacing w:before="0" w:after="283"/>
              <w:rPr>
                <w:sz w:val="4"/>
                <w:szCs w:val="4"/>
              </w:rPr>
            </w:pPr>
            <w:r>
              <w:rPr>
                <w:sz w:val="4"/>
                <w:szCs w:val="4"/>
              </w:rPr>
            </w:r>
          </w:p>
        </w:tc>
        <w:tc>
          <w:tcPr>
            <w:tcW w:w="9994" w:type="dxa"/>
            <w:tcBorders/>
            <w:shd w:fill="auto" w:val="clear"/>
            <w:vAlign w:val="center"/>
          </w:tcPr>
          <w:p>
            <w:pPr>
              <w:pStyle w:val="TableContents"/>
              <w:spacing w:before="0" w:after="283"/>
              <w:rPr>
                <w:sz w:val="4"/>
                <w:szCs w:val="4"/>
              </w:rPr>
            </w:pPr>
            <w:r>
              <w:rPr>
                <w:sz w:val="4"/>
                <w:szCs w:val="4"/>
              </w:rPr>
            </w:r>
          </w:p>
        </w:tc>
      </w:tr>
      <w:tr>
        <w:trPr/>
        <w:tc>
          <w:tcPr>
            <w:tcW w:w="211"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(b)</w:t>
            </w:r>
          </w:p>
        </w:tc>
        <w:tc>
          <w:tcPr>
            <w:tcW w:w="9994"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That, for purposes of determining any liability under the Securities Act, each filing of the registrant’s annual report pursuant to Section 13(a) or Section 15(d) of the Exchange Act (and, where applicable, each filing of an employee benefit plan’s annual report pursuant to Section 15(s) of the Exchange Act) that is incorporated by reference in this registration statement shall be deemed to be a new registration statement relating to the securities offered herein, and the offering of such securities at that time shall be deemed to be the initial bona fide offering thereof.</w:t>
            </w:r>
          </w:p>
        </w:tc>
      </w:tr>
    </w:tbl>
    <w:tbl>
      <w:tblPr>
        <w:tblW w:w="10205" w:type="dxa"/>
        <w:jc w:val="left"/>
        <w:tblInd w:w="0" w:type="dxa"/>
        <w:tblCellMar>
          <w:top w:w="0" w:type="dxa"/>
          <w:left w:w="0" w:type="dxa"/>
          <w:bottom w:w="0" w:type="dxa"/>
          <w:right w:w="0" w:type="dxa"/>
        </w:tblCellMar>
      </w:tblPr>
      <w:tblGrid>
        <w:gridCol w:w="190"/>
        <w:gridCol w:w="10015"/>
      </w:tblGrid>
      <w:tr>
        <w:trPr/>
        <w:tc>
          <w:tcPr>
            <w:tcW w:w="190" w:type="dxa"/>
            <w:tcBorders/>
            <w:shd w:fill="auto" w:val="clear"/>
            <w:vAlign w:val="center"/>
          </w:tcPr>
          <w:p>
            <w:pPr>
              <w:pStyle w:val="TableContents"/>
              <w:spacing w:before="0" w:after="283"/>
              <w:rPr>
                <w:sz w:val="4"/>
                <w:szCs w:val="4"/>
              </w:rPr>
            </w:pPr>
            <w:r>
              <w:rPr>
                <w:sz w:val="4"/>
                <w:szCs w:val="4"/>
              </w:rPr>
            </w:r>
          </w:p>
        </w:tc>
        <w:tc>
          <w:tcPr>
            <w:tcW w:w="10015" w:type="dxa"/>
            <w:tcBorders/>
            <w:shd w:fill="auto" w:val="clear"/>
            <w:vAlign w:val="center"/>
          </w:tcPr>
          <w:p>
            <w:pPr>
              <w:pStyle w:val="TableContents"/>
              <w:spacing w:before="0" w:after="283"/>
              <w:rPr>
                <w:sz w:val="4"/>
                <w:szCs w:val="4"/>
              </w:rPr>
            </w:pPr>
            <w:r>
              <w:rPr>
                <w:sz w:val="4"/>
                <w:szCs w:val="4"/>
              </w:rPr>
            </w:r>
          </w:p>
        </w:tc>
      </w:tr>
      <w:tr>
        <w:trPr/>
        <w:tc>
          <w:tcPr>
            <w:tcW w:w="190"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(c)</w:t>
            </w:r>
          </w:p>
        </w:tc>
        <w:tc>
          <w:tcPr>
            <w:tcW w:w="1001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the registrant is against public policy as expressed in the Securities Act and will be governed by the final adjudication of such issue.</w:t>
            </w:r>
          </w:p>
        </w:tc>
      </w:tr>
    </w:tbl>
    <w:p>
      <w:pPr>
        <w:pStyle w:val="TextBody"/>
        <w:rPr/>
      </w:pPr>
      <w:r>
        <w:rPr/>
      </w:r>
      <w:r>
        <w:br w:type="page"/>
      </w:r>
    </w:p>
    <w:p>
      <w:pPr>
        <w:pStyle w:val="TextBody"/>
        <w:spacing w:before="0" w:after="0"/>
        <w:rPr/>
      </w:pPr>
      <w:r>
        <w:rPr/>
      </w:r>
      <w:bookmarkStart w:id="36" w:name="s50596A4D4F88D219ACD76FA02F62859C"/>
      <w:bookmarkStart w:id="37" w:name="s50596A4D4F88D219ACD76FA02F62859C"/>
      <w:bookmarkEnd w:id="37"/>
    </w:p>
    <w:p>
      <w:pPr>
        <w:pStyle w:val="TextBody"/>
        <w:spacing w:lineRule="auto" w:line="288" w:before="0" w:after="0"/>
        <w:jc w:val="center"/>
        <w:rPr>
          <w:rFonts w:ascii="inherit" w:hAnsi="inherit"/>
          <w:b/>
          <w:sz w:val="17"/>
        </w:rPr>
      </w:pPr>
      <w:r>
        <w:rPr>
          <w:rFonts w:ascii="inherit" w:hAnsi="inherit"/>
          <w:b/>
          <w:sz w:val="17"/>
        </w:rPr>
        <w:t>SIGNATURES</w:t>
      </w:r>
    </w:p>
    <w:p>
      <w:pPr>
        <w:pStyle w:val="TextBody"/>
        <w:spacing w:lineRule="auto" w:line="288" w:before="0" w:after="0"/>
        <w:ind w:left="0" w:right="0" w:firstLine="720"/>
        <w:jc w:val="left"/>
        <w:rPr>
          <w:rFonts w:ascii="inherit" w:hAnsi="inherit"/>
          <w:sz w:val="17"/>
        </w:rPr>
      </w:pPr>
      <w:r>
        <w:rPr>
          <w:rFonts w:ascii="inherit" w:hAnsi="inherit"/>
          <w:sz w:val="17"/>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Austin, State of Texas, on the 8th day of October, 2013.</w:t>
      </w:r>
    </w:p>
    <w:tbl>
      <w:tblPr>
        <w:tblW w:w="9060" w:type="dxa"/>
        <w:jc w:val="center"/>
        <w:tblInd w:w="0" w:type="dxa"/>
        <w:tblCellMar>
          <w:top w:w="0" w:type="dxa"/>
          <w:left w:w="0" w:type="dxa"/>
          <w:bottom w:w="0" w:type="dxa"/>
          <w:right w:w="0" w:type="dxa"/>
        </w:tblCellMar>
      </w:tblPr>
      <w:tblGrid>
        <w:gridCol w:w="4621"/>
        <w:gridCol w:w="453"/>
        <w:gridCol w:w="3171"/>
        <w:gridCol w:w="815"/>
      </w:tblGrid>
      <w:tr>
        <w:trPr/>
        <w:tc>
          <w:tcPr>
            <w:tcW w:w="9060" w:type="dxa"/>
            <w:gridSpan w:val="4"/>
            <w:tcBorders/>
            <w:shd w:fill="auto" w:val="clear"/>
            <w:vAlign w:val="center"/>
          </w:tcPr>
          <w:p>
            <w:pPr>
              <w:pStyle w:val="TableContents"/>
              <w:spacing w:before="0" w:after="283"/>
              <w:rPr>
                <w:sz w:val="4"/>
                <w:szCs w:val="4"/>
              </w:rPr>
            </w:pPr>
            <w:r>
              <w:rPr>
                <w:sz w:val="4"/>
                <w:szCs w:val="4"/>
              </w:rPr>
            </w:r>
          </w:p>
        </w:tc>
      </w:tr>
      <w:tr>
        <w:trPr/>
        <w:tc>
          <w:tcPr>
            <w:tcW w:w="4621"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3171"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621" w:type="dxa"/>
            <w:tcBorders/>
            <w:shd w:fill="auto" w:val="clear"/>
            <w:vAlign w:val="center"/>
          </w:tcPr>
          <w:p>
            <w:pPr>
              <w:pStyle w:val="TableContents"/>
              <w:spacing w:before="0" w:after="0"/>
              <w:ind w:left="0" w:right="0" w:firstLine="30"/>
              <w:rPr/>
            </w:pPr>
            <w:r>
              <w:rPr/>
              <w:t> </w:t>
            </w:r>
          </w:p>
        </w:tc>
        <w:tc>
          <w:tcPr>
            <w:tcW w:w="3624" w:type="dxa"/>
            <w:gridSpan w:val="2"/>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EZCORP, INC.</w:t>
            </w:r>
          </w:p>
        </w:tc>
        <w:tc>
          <w:tcPr>
            <w:tcW w:w="815" w:type="dxa"/>
            <w:tcBorders/>
            <w:shd w:fill="auto" w:val="clear"/>
            <w:vAlign w:val="center"/>
          </w:tcPr>
          <w:p>
            <w:pPr>
              <w:pStyle w:val="TableContents"/>
              <w:spacing w:before="0" w:after="0"/>
              <w:ind w:left="0" w:right="0" w:firstLine="30"/>
              <w:rPr/>
            </w:pPr>
            <w:r>
              <w:rPr/>
              <w:t> </w:t>
            </w:r>
          </w:p>
        </w:tc>
      </w:tr>
      <w:tr>
        <w:trPr/>
        <w:tc>
          <w:tcPr>
            <w:tcW w:w="4621" w:type="dxa"/>
            <w:tcBorders/>
            <w:shd w:fill="auto" w:val="clear"/>
            <w:vAlign w:val="center"/>
          </w:tcPr>
          <w:p>
            <w:pPr>
              <w:pStyle w:val="TableContents"/>
              <w:spacing w:before="0" w:after="0"/>
              <w:ind w:left="0" w:right="0" w:firstLine="30"/>
              <w:rPr/>
            </w:pPr>
            <w:r>
              <w:rPr/>
              <w:t> </w:t>
            </w:r>
          </w:p>
        </w:tc>
        <w:tc>
          <w:tcPr>
            <w:tcW w:w="453" w:type="dxa"/>
            <w:tcBorders/>
            <w:shd w:fill="auto" w:val="clear"/>
            <w:vAlign w:val="center"/>
          </w:tcPr>
          <w:p>
            <w:pPr>
              <w:pStyle w:val="TableContents"/>
              <w:spacing w:before="0" w:after="0"/>
              <w:ind w:left="0" w:right="0" w:firstLine="30"/>
              <w:rPr/>
            </w:pPr>
            <w:r>
              <w:rPr/>
              <w:t> </w:t>
            </w:r>
          </w:p>
        </w:tc>
        <w:tc>
          <w:tcPr>
            <w:tcW w:w="3171" w:type="dxa"/>
            <w:tcBorders/>
            <w:shd w:fill="auto" w:val="clear"/>
            <w:vAlign w:val="center"/>
          </w:tcPr>
          <w:p>
            <w:pPr>
              <w:pStyle w:val="TableContents"/>
              <w:spacing w:before="0" w:after="0"/>
              <w:ind w:left="0" w:right="0" w:firstLine="30"/>
              <w:rPr/>
            </w:pPr>
            <w:r>
              <w:rPr/>
              <w:t> </w:t>
            </w:r>
          </w:p>
        </w:tc>
        <w:tc>
          <w:tcPr>
            <w:tcW w:w="815" w:type="dxa"/>
            <w:tcBorders/>
            <w:shd w:fill="auto" w:val="clear"/>
            <w:vAlign w:val="center"/>
          </w:tcPr>
          <w:p>
            <w:pPr>
              <w:pStyle w:val="TableContents"/>
              <w:spacing w:before="0" w:after="0"/>
              <w:ind w:left="0" w:right="0" w:firstLine="30"/>
              <w:rPr/>
            </w:pPr>
            <w:r>
              <w:rPr/>
              <w:t> </w:t>
            </w:r>
          </w:p>
        </w:tc>
      </w:tr>
      <w:tr>
        <w:trPr/>
        <w:tc>
          <w:tcPr>
            <w:tcW w:w="4621" w:type="dxa"/>
            <w:tcBorders/>
            <w:shd w:fill="auto" w:val="clear"/>
            <w:vAlign w:val="center"/>
          </w:tcPr>
          <w:p>
            <w:pPr>
              <w:pStyle w:val="TableContents"/>
              <w:spacing w:before="0" w:after="0"/>
              <w:ind w:left="0" w:right="0" w:firstLine="30"/>
              <w:rPr/>
            </w:pPr>
            <w:r>
              <w:rPr/>
              <w:t> </w:t>
            </w:r>
          </w:p>
        </w:tc>
        <w:tc>
          <w:tcPr>
            <w:tcW w:w="4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By:</w:t>
            </w:r>
          </w:p>
        </w:tc>
        <w:tc>
          <w:tcPr>
            <w:tcW w:w="3171"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Paul E. Rothamel</w:t>
            </w:r>
          </w:p>
        </w:tc>
        <w:tc>
          <w:tcPr>
            <w:tcW w:w="815" w:type="dxa"/>
            <w:tcBorders/>
            <w:shd w:fill="auto" w:val="clear"/>
            <w:vAlign w:val="center"/>
          </w:tcPr>
          <w:p>
            <w:pPr>
              <w:pStyle w:val="TableContents"/>
              <w:spacing w:before="0" w:after="0"/>
              <w:ind w:left="0" w:right="0" w:firstLine="30"/>
              <w:rPr/>
            </w:pPr>
            <w:r>
              <w:rPr/>
              <w:t> </w:t>
            </w:r>
          </w:p>
        </w:tc>
      </w:tr>
      <w:tr>
        <w:trPr/>
        <w:tc>
          <w:tcPr>
            <w:tcW w:w="4621" w:type="dxa"/>
            <w:tcBorders/>
            <w:shd w:fill="auto" w:val="clear"/>
            <w:vAlign w:val="center"/>
          </w:tcPr>
          <w:p>
            <w:pPr>
              <w:pStyle w:val="TableContents"/>
              <w:spacing w:before="0" w:after="0"/>
              <w:ind w:left="0" w:right="0" w:firstLine="30"/>
              <w:rPr/>
            </w:pPr>
            <w:r>
              <w:rPr/>
              <w:t> </w:t>
            </w:r>
          </w:p>
        </w:tc>
        <w:tc>
          <w:tcPr>
            <w:tcW w:w="453" w:type="dxa"/>
            <w:tcBorders/>
            <w:shd w:fill="auto" w:val="clear"/>
            <w:vAlign w:val="center"/>
          </w:tcPr>
          <w:p>
            <w:pPr>
              <w:pStyle w:val="TableContents"/>
              <w:spacing w:before="0" w:after="0"/>
              <w:ind w:left="0" w:right="0" w:firstLine="30"/>
              <w:rPr/>
            </w:pPr>
            <w:r>
              <w:rPr/>
              <w:t> </w:t>
            </w:r>
          </w:p>
        </w:tc>
        <w:tc>
          <w:tcPr>
            <w:tcW w:w="31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Paul E. Rothamel</w:t>
            </w:r>
          </w:p>
        </w:tc>
        <w:tc>
          <w:tcPr>
            <w:tcW w:w="815" w:type="dxa"/>
            <w:tcBorders/>
            <w:shd w:fill="auto" w:val="clear"/>
            <w:vAlign w:val="center"/>
          </w:tcPr>
          <w:p>
            <w:pPr>
              <w:pStyle w:val="TableContents"/>
              <w:spacing w:before="0" w:after="0"/>
              <w:ind w:left="0" w:right="0" w:firstLine="30"/>
              <w:rPr/>
            </w:pPr>
            <w:r>
              <w:rPr/>
              <w:t> </w:t>
            </w:r>
          </w:p>
        </w:tc>
      </w:tr>
      <w:tr>
        <w:trPr/>
        <w:tc>
          <w:tcPr>
            <w:tcW w:w="4621" w:type="dxa"/>
            <w:tcBorders/>
            <w:shd w:fill="auto" w:val="clear"/>
            <w:vAlign w:val="center"/>
          </w:tcPr>
          <w:p>
            <w:pPr>
              <w:pStyle w:val="TableContents"/>
              <w:spacing w:before="0" w:after="0"/>
              <w:ind w:left="0" w:right="0" w:firstLine="30"/>
              <w:rPr/>
            </w:pPr>
            <w:r>
              <w:rPr/>
              <w:t> </w:t>
            </w:r>
          </w:p>
        </w:tc>
        <w:tc>
          <w:tcPr>
            <w:tcW w:w="453" w:type="dxa"/>
            <w:tcBorders/>
            <w:shd w:fill="auto" w:val="clear"/>
            <w:vAlign w:val="center"/>
          </w:tcPr>
          <w:p>
            <w:pPr>
              <w:pStyle w:val="TableContents"/>
              <w:spacing w:before="0" w:after="0"/>
              <w:ind w:left="0" w:right="0" w:firstLine="30"/>
              <w:rPr/>
            </w:pPr>
            <w:r>
              <w:rPr/>
              <w:t> </w:t>
            </w:r>
          </w:p>
        </w:tc>
        <w:tc>
          <w:tcPr>
            <w:tcW w:w="31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President and Chief Executive Officer</w:t>
            </w:r>
          </w:p>
        </w:tc>
        <w:tc>
          <w:tcPr>
            <w:tcW w:w="815" w:type="dxa"/>
            <w:tcBorders/>
            <w:shd w:fill="auto" w:val="clear"/>
            <w:vAlign w:val="center"/>
          </w:tcPr>
          <w:p>
            <w:pPr>
              <w:pStyle w:val="TableContents"/>
              <w:spacing w:before="0" w:after="0"/>
              <w:rPr/>
            </w:pPr>
            <w:r>
              <w:rPr/>
              <w:t> </w:t>
            </w:r>
          </w:p>
        </w:tc>
      </w:tr>
    </w:tbl>
    <w:p>
      <w:pPr>
        <w:pStyle w:val="TextBody"/>
        <w:spacing w:lineRule="auto" w:line="288" w:before="0" w:after="0"/>
        <w:ind w:left="0" w:right="0" w:firstLine="720"/>
        <w:jc w:val="left"/>
        <w:rPr>
          <w:rFonts w:ascii="inherit" w:hAnsi="inherit"/>
          <w:sz w:val="17"/>
        </w:rPr>
      </w:pPr>
      <w:r>
        <w:rPr>
          <w:rFonts w:ascii="inherit" w:hAnsi="inherit"/>
          <w:sz w:val="17"/>
        </w:rPr>
        <w:t>Each person whose signature appears below hereby authorizes and appoints Thomas H. Welch, Jr. as his true and lawful attorney-in-fact and agent, with full power of substitution and resubstitution, for him and in his name, place and stead, in any and all capacities, to sign on his behalf individually and in the capacity stated below any and all amendments (including post-effective amendments) to this registration statement, and to file the same, with all exhibits thereto, and all other documents in connection therewith, with the Securities and Exchange Commission, granting unto said attorney-in-fact and agent full power and authority to do and perform each and every act and thing requisite and necessary to be done, as fully to all intents and purposes as he might or could do in person, hereby ratifying and confirming all that said attorney-in-fact and agent or his substitute or substitutes, may lawfully do or cause to be done by virtue hereof.</w:t>
      </w:r>
    </w:p>
    <w:p>
      <w:pPr>
        <w:pStyle w:val="TextBody"/>
        <w:spacing w:lineRule="auto" w:line="288" w:before="0" w:after="0"/>
        <w:ind w:left="0" w:right="0" w:firstLine="720"/>
        <w:jc w:val="left"/>
        <w:rPr>
          <w:rFonts w:ascii="inherit" w:hAnsi="inherit"/>
          <w:sz w:val="17"/>
        </w:rPr>
      </w:pPr>
      <w:r>
        <w:rPr>
          <w:rFonts w:ascii="inherit" w:hAnsi="inherit"/>
          <w:sz w:val="17"/>
        </w:rPr>
        <w:t>Pursuant to the requirements of the Securities Act of 1933, this registration statement has been signed by the following persons in the capacities indicated on the 8th day of October, 2013.</w:t>
      </w:r>
    </w:p>
    <w:p>
      <w:pPr>
        <w:pStyle w:val="TextBody"/>
        <w:spacing w:lineRule="auto" w:line="288" w:before="0" w:after="0"/>
        <w:ind w:left="0" w:right="0" w:firstLine="720"/>
        <w:jc w:val="left"/>
        <w:rPr>
          <w:rFonts w:ascii="inherit" w:hAnsi="inherit"/>
          <w:sz w:val="17"/>
        </w:rPr>
      </w:pPr>
      <w:r>
        <w:rPr>
          <w:rFonts w:ascii="inherit" w:hAnsi="inherit"/>
          <w:sz w:val="17"/>
        </w:rPr>
      </w:r>
    </w:p>
    <w:tbl>
      <w:tblPr>
        <w:tblW w:w="8104" w:type="dxa"/>
        <w:jc w:val="left"/>
        <w:tblInd w:w="0" w:type="dxa"/>
        <w:tblCellMar>
          <w:top w:w="0" w:type="dxa"/>
          <w:left w:w="0" w:type="dxa"/>
          <w:bottom w:w="0" w:type="dxa"/>
          <w:right w:w="0" w:type="dxa"/>
        </w:tblCellMar>
      </w:tblPr>
      <w:tblGrid>
        <w:gridCol w:w="3890"/>
        <w:gridCol w:w="243"/>
        <w:gridCol w:w="3971"/>
      </w:tblGrid>
      <w:tr>
        <w:trPr/>
        <w:tc>
          <w:tcPr>
            <w:tcW w:w="8104" w:type="dxa"/>
            <w:gridSpan w:val="3"/>
            <w:tcBorders/>
            <w:shd w:fill="auto" w:val="clear"/>
            <w:vAlign w:val="center"/>
          </w:tcPr>
          <w:p>
            <w:pPr>
              <w:pStyle w:val="TableContents"/>
              <w:spacing w:before="0" w:after="283"/>
              <w:rPr>
                <w:sz w:val="4"/>
                <w:szCs w:val="4"/>
              </w:rPr>
            </w:pPr>
            <w:r>
              <w:rPr>
                <w:sz w:val="4"/>
                <w:szCs w:val="4"/>
              </w:rPr>
            </w:r>
          </w:p>
        </w:tc>
      </w:tr>
      <w:tr>
        <w:trPr/>
        <w:tc>
          <w:tcPr>
            <w:tcW w:w="3890"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397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89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Signature</w:t>
            </w:r>
          </w:p>
        </w:tc>
        <w:tc>
          <w:tcPr>
            <w:tcW w:w="243" w:type="dxa"/>
            <w:tcBorders/>
            <w:shd w:fill="auto" w:val="clear"/>
            <w:vAlign w:val="center"/>
          </w:tcPr>
          <w:p>
            <w:pPr>
              <w:pStyle w:val="TableContents"/>
              <w:spacing w:before="0" w:after="0"/>
              <w:ind w:left="0" w:right="0" w:firstLine="30"/>
              <w:rPr/>
            </w:pPr>
            <w:r>
              <w:rPr/>
              <w:t> </w:t>
            </w:r>
          </w:p>
        </w:tc>
        <w:tc>
          <w:tcPr>
            <w:tcW w:w="3971"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Title</w:t>
            </w:r>
          </w:p>
        </w:tc>
      </w:tr>
      <w:tr>
        <w:trPr/>
        <w:tc>
          <w:tcPr>
            <w:tcW w:w="38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243" w:type="dxa"/>
            <w:tcBorders/>
            <w:shd w:fill="auto" w:val="clear"/>
            <w:vAlign w:val="center"/>
          </w:tcPr>
          <w:p>
            <w:pPr>
              <w:pStyle w:val="TableContents"/>
              <w:spacing w:before="0" w:after="0"/>
              <w:ind w:left="0" w:right="0" w:firstLine="30"/>
              <w:rPr/>
            </w:pPr>
            <w:r>
              <w:rPr/>
              <w:t> </w:t>
            </w:r>
          </w:p>
        </w:tc>
        <w:tc>
          <w:tcPr>
            <w:tcW w:w="3971"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r>
      <w:tr>
        <w:trPr/>
        <w:tc>
          <w:tcPr>
            <w:tcW w:w="3890" w:type="dxa"/>
            <w:tcBorders/>
            <w:shd w:fill="auto" w:val="clear"/>
            <w:vAlign w:val="center"/>
          </w:tcPr>
          <w:p>
            <w:pPr>
              <w:pStyle w:val="TableContents"/>
              <w:spacing w:before="0" w:after="0"/>
              <w:ind w:left="0" w:right="0" w:firstLine="30"/>
              <w:rPr/>
            </w:pPr>
            <w:r>
              <w:rPr/>
              <w:t> </w:t>
            </w:r>
          </w:p>
        </w:tc>
        <w:tc>
          <w:tcPr>
            <w:tcW w:w="243" w:type="dxa"/>
            <w:tcBorders/>
            <w:shd w:fill="auto" w:val="clear"/>
            <w:vAlign w:val="center"/>
          </w:tcPr>
          <w:p>
            <w:pPr>
              <w:pStyle w:val="TableContents"/>
              <w:spacing w:before="0" w:after="0"/>
              <w:ind w:left="0" w:right="0" w:firstLine="30"/>
              <w:rPr/>
            </w:pPr>
            <w:r>
              <w:rPr/>
              <w:t> </w:t>
            </w:r>
          </w:p>
        </w:tc>
        <w:tc>
          <w:tcPr>
            <w:tcW w:w="3971" w:type="dxa"/>
            <w:tcBorders/>
            <w:shd w:fill="auto" w:val="clear"/>
            <w:vAlign w:val="center"/>
          </w:tcPr>
          <w:p>
            <w:pPr>
              <w:pStyle w:val="TableContents"/>
              <w:spacing w:before="0" w:after="0"/>
              <w:ind w:left="0" w:right="0" w:firstLine="30"/>
              <w:rPr/>
            </w:pPr>
            <w:r>
              <w:rPr/>
              <w:t> </w:t>
            </w:r>
          </w:p>
        </w:tc>
      </w:tr>
      <w:tr>
        <w:trPr/>
        <w:tc>
          <w:tcPr>
            <w:tcW w:w="3890" w:type="dxa"/>
            <w:tcBorders/>
            <w:shd w:fill="auto" w:val="clear"/>
            <w:vAlign w:val="center"/>
          </w:tcPr>
          <w:p>
            <w:pPr>
              <w:pStyle w:val="TableContents"/>
              <w:spacing w:before="0" w:after="0"/>
              <w:ind w:left="0" w:right="0" w:firstLine="30"/>
              <w:rPr/>
            </w:pPr>
            <w:r>
              <w:rPr/>
              <w:t> </w:t>
            </w:r>
          </w:p>
        </w:tc>
        <w:tc>
          <w:tcPr>
            <w:tcW w:w="243" w:type="dxa"/>
            <w:tcBorders/>
            <w:shd w:fill="auto" w:val="clear"/>
            <w:vAlign w:val="center"/>
          </w:tcPr>
          <w:p>
            <w:pPr>
              <w:pStyle w:val="TableContents"/>
              <w:spacing w:before="0" w:after="0"/>
              <w:ind w:left="0" w:right="0" w:firstLine="30"/>
              <w:rPr/>
            </w:pPr>
            <w:r>
              <w:rPr/>
              <w:t> </w:t>
            </w:r>
          </w:p>
        </w:tc>
        <w:tc>
          <w:tcPr>
            <w:tcW w:w="3971" w:type="dxa"/>
            <w:tcBorders/>
            <w:shd w:fill="auto" w:val="clear"/>
            <w:vAlign w:val="center"/>
          </w:tcPr>
          <w:p>
            <w:pPr>
              <w:pStyle w:val="TableContents"/>
              <w:spacing w:before="0" w:after="0"/>
              <w:ind w:left="0" w:right="0" w:firstLine="30"/>
              <w:rPr/>
            </w:pPr>
            <w:r>
              <w:rPr/>
              <w:t> </w:t>
            </w:r>
          </w:p>
        </w:tc>
      </w:tr>
      <w:tr>
        <w:trPr/>
        <w:tc>
          <w:tcPr>
            <w:tcW w:w="389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/s/ Sterling B. Brinkley</w:t>
            </w:r>
          </w:p>
        </w:tc>
        <w:tc>
          <w:tcPr>
            <w:tcW w:w="243" w:type="dxa"/>
            <w:tcBorders/>
            <w:shd w:fill="auto" w:val="clear"/>
            <w:vAlign w:val="center"/>
          </w:tcPr>
          <w:p>
            <w:pPr>
              <w:pStyle w:val="TableContents"/>
              <w:spacing w:before="0" w:after="0"/>
              <w:ind w:left="0" w:right="0" w:firstLine="30"/>
              <w:rPr/>
            </w:pPr>
            <w:r>
              <w:rPr/>
              <w:t> </w:t>
            </w:r>
          </w:p>
        </w:tc>
        <w:tc>
          <w:tcPr>
            <w:tcW w:w="39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Chairman of the Board</w:t>
            </w:r>
          </w:p>
        </w:tc>
      </w:tr>
      <w:tr>
        <w:trPr/>
        <w:tc>
          <w:tcPr>
            <w:tcW w:w="3890" w:type="dxa"/>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sz w:val="17"/>
              </w:rPr>
            </w:pPr>
            <w:r>
              <w:rPr>
                <w:rFonts w:ascii="inherit" w:hAnsi="inherit"/>
                <w:sz w:val="17"/>
              </w:rPr>
              <w:t>Sterling B. Brinkley</w:t>
            </w:r>
          </w:p>
        </w:tc>
        <w:tc>
          <w:tcPr>
            <w:tcW w:w="243" w:type="dxa"/>
            <w:tcBorders/>
            <w:shd w:fill="auto" w:val="clear"/>
            <w:vAlign w:val="center"/>
          </w:tcPr>
          <w:p>
            <w:pPr>
              <w:pStyle w:val="TableContents"/>
              <w:spacing w:before="0" w:after="0"/>
              <w:ind w:left="0" w:right="0" w:firstLine="30"/>
              <w:rPr/>
            </w:pPr>
            <w:r>
              <w:rPr/>
              <w:t> </w:t>
            </w:r>
          </w:p>
        </w:tc>
        <w:tc>
          <w:tcPr>
            <w:tcW w:w="3971" w:type="dxa"/>
            <w:tcBorders/>
            <w:shd w:fill="auto" w:val="clear"/>
            <w:vAlign w:val="center"/>
          </w:tcPr>
          <w:p>
            <w:pPr>
              <w:pStyle w:val="TableContents"/>
              <w:spacing w:before="0" w:after="0"/>
              <w:ind w:left="0" w:right="0" w:firstLine="30"/>
              <w:rPr/>
            </w:pPr>
            <w:r>
              <w:rPr/>
              <w:t> </w:t>
            </w:r>
          </w:p>
        </w:tc>
      </w:tr>
      <w:tr>
        <w:trPr/>
        <w:tc>
          <w:tcPr>
            <w:tcW w:w="3890" w:type="dxa"/>
            <w:tcBorders/>
            <w:shd w:fill="auto" w:val="clear"/>
            <w:vAlign w:val="center"/>
          </w:tcPr>
          <w:p>
            <w:pPr>
              <w:pStyle w:val="TableContents"/>
              <w:spacing w:before="0" w:after="0"/>
              <w:ind w:left="0" w:right="0" w:firstLine="30"/>
              <w:rPr/>
            </w:pPr>
            <w:r>
              <w:rPr/>
              <w:t> </w:t>
            </w:r>
          </w:p>
        </w:tc>
        <w:tc>
          <w:tcPr>
            <w:tcW w:w="243" w:type="dxa"/>
            <w:tcBorders/>
            <w:shd w:fill="auto" w:val="clear"/>
            <w:vAlign w:val="center"/>
          </w:tcPr>
          <w:p>
            <w:pPr>
              <w:pStyle w:val="TableContents"/>
              <w:spacing w:before="0" w:after="0"/>
              <w:ind w:left="0" w:right="0" w:firstLine="30"/>
              <w:rPr/>
            </w:pPr>
            <w:r>
              <w:rPr/>
              <w:t> </w:t>
            </w:r>
          </w:p>
        </w:tc>
        <w:tc>
          <w:tcPr>
            <w:tcW w:w="3971" w:type="dxa"/>
            <w:tcBorders/>
            <w:shd w:fill="auto" w:val="clear"/>
            <w:vAlign w:val="center"/>
          </w:tcPr>
          <w:p>
            <w:pPr>
              <w:pStyle w:val="TableContents"/>
              <w:spacing w:before="0" w:after="0"/>
              <w:ind w:left="0" w:right="0" w:firstLine="30"/>
              <w:rPr/>
            </w:pPr>
            <w:r>
              <w:rPr/>
              <w:t> </w:t>
            </w:r>
          </w:p>
        </w:tc>
      </w:tr>
      <w:tr>
        <w:trPr/>
        <w:tc>
          <w:tcPr>
            <w:tcW w:w="3890" w:type="dxa"/>
            <w:tcBorders/>
            <w:shd w:fill="auto" w:val="clear"/>
            <w:vAlign w:val="center"/>
          </w:tcPr>
          <w:p>
            <w:pPr>
              <w:pStyle w:val="TableContents"/>
              <w:spacing w:before="0" w:after="0"/>
              <w:ind w:left="0" w:right="0" w:firstLine="30"/>
              <w:rPr/>
            </w:pPr>
            <w:r>
              <w:rPr/>
              <w:t> </w:t>
            </w:r>
          </w:p>
        </w:tc>
        <w:tc>
          <w:tcPr>
            <w:tcW w:w="243" w:type="dxa"/>
            <w:tcBorders/>
            <w:shd w:fill="auto" w:val="clear"/>
            <w:vAlign w:val="center"/>
          </w:tcPr>
          <w:p>
            <w:pPr>
              <w:pStyle w:val="TableContents"/>
              <w:spacing w:before="0" w:after="0"/>
              <w:ind w:left="0" w:right="0" w:firstLine="30"/>
              <w:rPr/>
            </w:pPr>
            <w:r>
              <w:rPr/>
              <w:t> </w:t>
            </w:r>
          </w:p>
        </w:tc>
        <w:tc>
          <w:tcPr>
            <w:tcW w:w="3971" w:type="dxa"/>
            <w:tcBorders/>
            <w:shd w:fill="auto" w:val="clear"/>
            <w:vAlign w:val="center"/>
          </w:tcPr>
          <w:p>
            <w:pPr>
              <w:pStyle w:val="TableContents"/>
              <w:spacing w:before="0" w:after="0"/>
              <w:ind w:left="0" w:right="0" w:firstLine="30"/>
              <w:rPr/>
            </w:pPr>
            <w:r>
              <w:rPr/>
              <w:t> </w:t>
            </w:r>
          </w:p>
        </w:tc>
      </w:tr>
      <w:tr>
        <w:trPr/>
        <w:tc>
          <w:tcPr>
            <w:tcW w:w="3890" w:type="dxa"/>
            <w:tcBorders/>
            <w:shd w:fill="auto" w:val="clear"/>
            <w:vAlign w:val="center"/>
          </w:tcPr>
          <w:p>
            <w:pPr>
              <w:pStyle w:val="TableContents"/>
              <w:spacing w:before="0" w:after="0"/>
              <w:ind w:left="0" w:right="0" w:firstLine="30"/>
              <w:rPr/>
            </w:pPr>
            <w:r>
              <w:rPr/>
              <w:t> </w:t>
            </w:r>
          </w:p>
        </w:tc>
        <w:tc>
          <w:tcPr>
            <w:tcW w:w="243" w:type="dxa"/>
            <w:tcBorders/>
            <w:shd w:fill="auto" w:val="clear"/>
            <w:vAlign w:val="center"/>
          </w:tcPr>
          <w:p>
            <w:pPr>
              <w:pStyle w:val="TableContents"/>
              <w:spacing w:before="0" w:after="0"/>
              <w:ind w:left="0" w:right="0" w:firstLine="30"/>
              <w:rPr/>
            </w:pPr>
            <w:r>
              <w:rPr/>
              <w:t> </w:t>
            </w:r>
          </w:p>
        </w:tc>
        <w:tc>
          <w:tcPr>
            <w:tcW w:w="3971" w:type="dxa"/>
            <w:tcBorders/>
            <w:shd w:fill="auto" w:val="clear"/>
            <w:vAlign w:val="center"/>
          </w:tcPr>
          <w:p>
            <w:pPr>
              <w:pStyle w:val="TableContents"/>
              <w:spacing w:before="0" w:after="0"/>
              <w:ind w:left="0" w:right="0" w:firstLine="30"/>
              <w:rPr/>
            </w:pPr>
            <w:r>
              <w:rPr/>
              <w:t> </w:t>
            </w:r>
          </w:p>
        </w:tc>
      </w:tr>
      <w:tr>
        <w:trPr/>
        <w:tc>
          <w:tcPr>
            <w:tcW w:w="389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/s/ Paul E. Rothamel</w:t>
            </w:r>
          </w:p>
        </w:tc>
        <w:tc>
          <w:tcPr>
            <w:tcW w:w="243" w:type="dxa"/>
            <w:tcBorders/>
            <w:shd w:fill="auto" w:val="clear"/>
            <w:vAlign w:val="center"/>
          </w:tcPr>
          <w:p>
            <w:pPr>
              <w:pStyle w:val="TableContents"/>
              <w:spacing w:before="0" w:after="0"/>
              <w:ind w:left="0" w:right="0" w:firstLine="30"/>
              <w:rPr/>
            </w:pPr>
            <w:r>
              <w:rPr/>
              <w:t> </w:t>
            </w:r>
          </w:p>
        </w:tc>
        <w:tc>
          <w:tcPr>
            <w:tcW w:w="39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President, Chief Executive Officer and Director</w:t>
            </w:r>
          </w:p>
        </w:tc>
      </w:tr>
      <w:tr>
        <w:trPr/>
        <w:tc>
          <w:tcPr>
            <w:tcW w:w="3890" w:type="dxa"/>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sz w:val="17"/>
              </w:rPr>
            </w:pPr>
            <w:r>
              <w:rPr>
                <w:rFonts w:ascii="inherit" w:hAnsi="inherit"/>
                <w:sz w:val="17"/>
              </w:rPr>
              <w:t>Paul E. Rothamel</w:t>
            </w:r>
          </w:p>
        </w:tc>
        <w:tc>
          <w:tcPr>
            <w:tcW w:w="243" w:type="dxa"/>
            <w:tcBorders/>
            <w:shd w:fill="auto" w:val="clear"/>
            <w:vAlign w:val="center"/>
          </w:tcPr>
          <w:p>
            <w:pPr>
              <w:pStyle w:val="TableContents"/>
              <w:spacing w:before="0" w:after="0"/>
              <w:ind w:left="0" w:right="0" w:firstLine="30"/>
              <w:rPr/>
            </w:pPr>
            <w:r>
              <w:rPr/>
              <w:t> </w:t>
            </w:r>
          </w:p>
        </w:tc>
        <w:tc>
          <w:tcPr>
            <w:tcW w:w="39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(Principal Executive Officer)</w:t>
            </w:r>
          </w:p>
        </w:tc>
      </w:tr>
      <w:tr>
        <w:trPr/>
        <w:tc>
          <w:tcPr>
            <w:tcW w:w="3890" w:type="dxa"/>
            <w:tcBorders/>
            <w:shd w:fill="auto" w:val="clear"/>
            <w:vAlign w:val="center"/>
          </w:tcPr>
          <w:p>
            <w:pPr>
              <w:pStyle w:val="TableContents"/>
              <w:spacing w:before="0" w:after="0"/>
              <w:ind w:left="0" w:right="0" w:firstLine="30"/>
              <w:rPr/>
            </w:pPr>
            <w:r>
              <w:rPr/>
              <w:t> </w:t>
            </w:r>
          </w:p>
        </w:tc>
        <w:tc>
          <w:tcPr>
            <w:tcW w:w="243" w:type="dxa"/>
            <w:tcBorders/>
            <w:shd w:fill="auto" w:val="clear"/>
            <w:vAlign w:val="center"/>
          </w:tcPr>
          <w:p>
            <w:pPr>
              <w:pStyle w:val="TableContents"/>
              <w:spacing w:before="0" w:after="0"/>
              <w:ind w:left="0" w:right="0" w:firstLine="30"/>
              <w:rPr/>
            </w:pPr>
            <w:r>
              <w:rPr/>
              <w:t> </w:t>
            </w:r>
          </w:p>
        </w:tc>
        <w:tc>
          <w:tcPr>
            <w:tcW w:w="3971" w:type="dxa"/>
            <w:tcBorders/>
            <w:shd w:fill="auto" w:val="clear"/>
            <w:vAlign w:val="center"/>
          </w:tcPr>
          <w:p>
            <w:pPr>
              <w:pStyle w:val="TableContents"/>
              <w:spacing w:before="0" w:after="0"/>
              <w:ind w:left="0" w:right="0" w:firstLine="30"/>
              <w:rPr/>
            </w:pPr>
            <w:r>
              <w:rPr/>
              <w:t> </w:t>
            </w:r>
          </w:p>
        </w:tc>
      </w:tr>
      <w:tr>
        <w:trPr/>
        <w:tc>
          <w:tcPr>
            <w:tcW w:w="3890" w:type="dxa"/>
            <w:tcBorders/>
            <w:shd w:fill="auto" w:val="clear"/>
            <w:vAlign w:val="center"/>
          </w:tcPr>
          <w:p>
            <w:pPr>
              <w:pStyle w:val="TableContents"/>
              <w:spacing w:before="0" w:after="0"/>
              <w:ind w:left="0" w:right="0" w:firstLine="30"/>
              <w:rPr/>
            </w:pPr>
            <w:r>
              <w:rPr/>
              <w:t> </w:t>
            </w:r>
          </w:p>
        </w:tc>
        <w:tc>
          <w:tcPr>
            <w:tcW w:w="243" w:type="dxa"/>
            <w:tcBorders/>
            <w:shd w:fill="auto" w:val="clear"/>
            <w:vAlign w:val="center"/>
          </w:tcPr>
          <w:p>
            <w:pPr>
              <w:pStyle w:val="TableContents"/>
              <w:spacing w:before="0" w:after="0"/>
              <w:ind w:left="0" w:right="0" w:firstLine="30"/>
              <w:rPr/>
            </w:pPr>
            <w:r>
              <w:rPr/>
              <w:t> </w:t>
            </w:r>
          </w:p>
        </w:tc>
        <w:tc>
          <w:tcPr>
            <w:tcW w:w="3971" w:type="dxa"/>
            <w:tcBorders/>
            <w:shd w:fill="auto" w:val="clear"/>
            <w:vAlign w:val="center"/>
          </w:tcPr>
          <w:p>
            <w:pPr>
              <w:pStyle w:val="TableContents"/>
              <w:spacing w:before="0" w:after="0"/>
              <w:ind w:left="0" w:right="0" w:firstLine="30"/>
              <w:rPr/>
            </w:pPr>
            <w:r>
              <w:rPr/>
              <w:t> </w:t>
            </w:r>
          </w:p>
        </w:tc>
      </w:tr>
      <w:tr>
        <w:trPr/>
        <w:tc>
          <w:tcPr>
            <w:tcW w:w="3890" w:type="dxa"/>
            <w:tcBorders/>
            <w:shd w:fill="auto" w:val="clear"/>
            <w:vAlign w:val="center"/>
          </w:tcPr>
          <w:p>
            <w:pPr>
              <w:pStyle w:val="TableContents"/>
              <w:spacing w:before="0" w:after="0"/>
              <w:ind w:left="0" w:right="0" w:firstLine="30"/>
              <w:rPr/>
            </w:pPr>
            <w:r>
              <w:rPr/>
              <w:t> </w:t>
            </w:r>
          </w:p>
        </w:tc>
        <w:tc>
          <w:tcPr>
            <w:tcW w:w="243" w:type="dxa"/>
            <w:tcBorders/>
            <w:shd w:fill="auto" w:val="clear"/>
            <w:vAlign w:val="center"/>
          </w:tcPr>
          <w:p>
            <w:pPr>
              <w:pStyle w:val="TableContents"/>
              <w:spacing w:before="0" w:after="0"/>
              <w:ind w:left="0" w:right="0" w:firstLine="30"/>
              <w:rPr/>
            </w:pPr>
            <w:r>
              <w:rPr/>
              <w:t> </w:t>
            </w:r>
          </w:p>
        </w:tc>
        <w:tc>
          <w:tcPr>
            <w:tcW w:w="3971" w:type="dxa"/>
            <w:tcBorders/>
            <w:shd w:fill="auto" w:val="clear"/>
            <w:vAlign w:val="center"/>
          </w:tcPr>
          <w:p>
            <w:pPr>
              <w:pStyle w:val="TableContents"/>
              <w:spacing w:before="0" w:after="0"/>
              <w:ind w:left="0" w:right="0" w:firstLine="30"/>
              <w:rPr/>
            </w:pPr>
            <w:r>
              <w:rPr/>
              <w:t> </w:t>
            </w:r>
          </w:p>
        </w:tc>
      </w:tr>
      <w:tr>
        <w:trPr/>
        <w:tc>
          <w:tcPr>
            <w:tcW w:w="389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/s/ Joseph J. Beal</w:t>
            </w:r>
          </w:p>
        </w:tc>
        <w:tc>
          <w:tcPr>
            <w:tcW w:w="243" w:type="dxa"/>
            <w:tcBorders/>
            <w:shd w:fill="auto" w:val="clear"/>
            <w:vAlign w:val="center"/>
          </w:tcPr>
          <w:p>
            <w:pPr>
              <w:pStyle w:val="TableContents"/>
              <w:spacing w:before="0" w:after="0"/>
              <w:ind w:left="0" w:right="0" w:firstLine="30"/>
              <w:rPr/>
            </w:pPr>
            <w:r>
              <w:rPr/>
              <w:t> </w:t>
            </w:r>
          </w:p>
        </w:tc>
        <w:tc>
          <w:tcPr>
            <w:tcW w:w="39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Director</w:t>
            </w:r>
          </w:p>
        </w:tc>
      </w:tr>
      <w:tr>
        <w:trPr/>
        <w:tc>
          <w:tcPr>
            <w:tcW w:w="3890" w:type="dxa"/>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sz w:val="17"/>
              </w:rPr>
            </w:pPr>
            <w:r>
              <w:rPr>
                <w:rFonts w:ascii="inherit" w:hAnsi="inherit"/>
                <w:sz w:val="17"/>
              </w:rPr>
              <w:t>Joseph J. Beal</w:t>
            </w:r>
          </w:p>
        </w:tc>
        <w:tc>
          <w:tcPr>
            <w:tcW w:w="243" w:type="dxa"/>
            <w:tcBorders/>
            <w:shd w:fill="auto" w:val="clear"/>
            <w:vAlign w:val="center"/>
          </w:tcPr>
          <w:p>
            <w:pPr>
              <w:pStyle w:val="TableContents"/>
              <w:spacing w:before="0" w:after="0"/>
              <w:ind w:left="0" w:right="0" w:firstLine="30"/>
              <w:rPr/>
            </w:pPr>
            <w:r>
              <w:rPr/>
              <w:t> </w:t>
            </w:r>
          </w:p>
        </w:tc>
        <w:tc>
          <w:tcPr>
            <w:tcW w:w="3971" w:type="dxa"/>
            <w:tcBorders/>
            <w:shd w:fill="auto" w:val="clear"/>
            <w:vAlign w:val="center"/>
          </w:tcPr>
          <w:p>
            <w:pPr>
              <w:pStyle w:val="TableContents"/>
              <w:spacing w:before="0" w:after="0"/>
              <w:ind w:left="0" w:right="0" w:firstLine="30"/>
              <w:rPr/>
            </w:pPr>
            <w:r>
              <w:rPr/>
              <w:t> </w:t>
            </w:r>
          </w:p>
        </w:tc>
      </w:tr>
      <w:tr>
        <w:trPr/>
        <w:tc>
          <w:tcPr>
            <w:tcW w:w="3890" w:type="dxa"/>
            <w:tcBorders/>
            <w:shd w:fill="auto" w:val="clear"/>
            <w:vAlign w:val="center"/>
          </w:tcPr>
          <w:p>
            <w:pPr>
              <w:pStyle w:val="TableContents"/>
              <w:spacing w:before="0" w:after="0"/>
              <w:ind w:left="0" w:right="0" w:firstLine="30"/>
              <w:rPr/>
            </w:pPr>
            <w:r>
              <w:rPr/>
              <w:t> </w:t>
            </w:r>
          </w:p>
        </w:tc>
        <w:tc>
          <w:tcPr>
            <w:tcW w:w="243" w:type="dxa"/>
            <w:tcBorders/>
            <w:shd w:fill="auto" w:val="clear"/>
            <w:vAlign w:val="center"/>
          </w:tcPr>
          <w:p>
            <w:pPr>
              <w:pStyle w:val="TableContents"/>
              <w:spacing w:before="0" w:after="0"/>
              <w:ind w:left="0" w:right="0" w:firstLine="30"/>
              <w:rPr/>
            </w:pPr>
            <w:r>
              <w:rPr/>
              <w:t> </w:t>
            </w:r>
          </w:p>
        </w:tc>
        <w:tc>
          <w:tcPr>
            <w:tcW w:w="3971" w:type="dxa"/>
            <w:tcBorders/>
            <w:shd w:fill="auto" w:val="clear"/>
            <w:vAlign w:val="center"/>
          </w:tcPr>
          <w:p>
            <w:pPr>
              <w:pStyle w:val="TableContents"/>
              <w:spacing w:before="0" w:after="0"/>
              <w:ind w:left="0" w:right="0" w:firstLine="30"/>
              <w:rPr/>
            </w:pPr>
            <w:r>
              <w:rPr/>
              <w:t> </w:t>
            </w:r>
          </w:p>
        </w:tc>
      </w:tr>
      <w:tr>
        <w:trPr/>
        <w:tc>
          <w:tcPr>
            <w:tcW w:w="3890" w:type="dxa"/>
            <w:tcBorders/>
            <w:shd w:fill="auto" w:val="clear"/>
            <w:vAlign w:val="center"/>
          </w:tcPr>
          <w:p>
            <w:pPr>
              <w:pStyle w:val="TableContents"/>
              <w:spacing w:before="0" w:after="0"/>
              <w:ind w:left="0" w:right="0" w:firstLine="30"/>
              <w:rPr/>
            </w:pPr>
            <w:r>
              <w:rPr/>
              <w:t> </w:t>
            </w:r>
          </w:p>
        </w:tc>
        <w:tc>
          <w:tcPr>
            <w:tcW w:w="243" w:type="dxa"/>
            <w:tcBorders/>
            <w:shd w:fill="auto" w:val="clear"/>
            <w:vAlign w:val="center"/>
          </w:tcPr>
          <w:p>
            <w:pPr>
              <w:pStyle w:val="TableContents"/>
              <w:spacing w:before="0" w:after="0"/>
              <w:ind w:left="0" w:right="0" w:firstLine="30"/>
              <w:rPr/>
            </w:pPr>
            <w:r>
              <w:rPr/>
              <w:t> </w:t>
            </w:r>
          </w:p>
        </w:tc>
        <w:tc>
          <w:tcPr>
            <w:tcW w:w="3971" w:type="dxa"/>
            <w:tcBorders/>
            <w:shd w:fill="auto" w:val="clear"/>
            <w:vAlign w:val="center"/>
          </w:tcPr>
          <w:p>
            <w:pPr>
              <w:pStyle w:val="TableContents"/>
              <w:spacing w:before="0" w:after="0"/>
              <w:ind w:left="0" w:right="0" w:firstLine="30"/>
              <w:rPr/>
            </w:pPr>
            <w:r>
              <w:rPr/>
              <w:t> </w:t>
            </w:r>
          </w:p>
        </w:tc>
      </w:tr>
      <w:tr>
        <w:trPr/>
        <w:tc>
          <w:tcPr>
            <w:tcW w:w="3890" w:type="dxa"/>
            <w:tcBorders/>
            <w:shd w:fill="auto" w:val="clear"/>
            <w:vAlign w:val="center"/>
          </w:tcPr>
          <w:p>
            <w:pPr>
              <w:pStyle w:val="TableContents"/>
              <w:spacing w:before="0" w:after="0"/>
              <w:ind w:left="0" w:right="0" w:firstLine="30"/>
              <w:rPr/>
            </w:pPr>
            <w:r>
              <w:rPr/>
              <w:t> </w:t>
            </w:r>
          </w:p>
        </w:tc>
        <w:tc>
          <w:tcPr>
            <w:tcW w:w="243" w:type="dxa"/>
            <w:tcBorders/>
            <w:shd w:fill="auto" w:val="clear"/>
            <w:vAlign w:val="center"/>
          </w:tcPr>
          <w:p>
            <w:pPr>
              <w:pStyle w:val="TableContents"/>
              <w:spacing w:before="0" w:after="0"/>
              <w:ind w:left="0" w:right="0" w:firstLine="30"/>
              <w:rPr/>
            </w:pPr>
            <w:r>
              <w:rPr/>
              <w:t> </w:t>
            </w:r>
          </w:p>
        </w:tc>
        <w:tc>
          <w:tcPr>
            <w:tcW w:w="3971" w:type="dxa"/>
            <w:tcBorders/>
            <w:shd w:fill="auto" w:val="clear"/>
            <w:vAlign w:val="center"/>
          </w:tcPr>
          <w:p>
            <w:pPr>
              <w:pStyle w:val="TableContents"/>
              <w:spacing w:before="0" w:after="0"/>
              <w:ind w:left="0" w:right="0" w:firstLine="30"/>
              <w:rPr/>
            </w:pPr>
            <w:r>
              <w:rPr/>
              <w:t> </w:t>
            </w:r>
          </w:p>
        </w:tc>
      </w:tr>
      <w:tr>
        <w:trPr/>
        <w:tc>
          <w:tcPr>
            <w:tcW w:w="389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/s/ Pablo Lagos Espinosa</w:t>
            </w:r>
          </w:p>
        </w:tc>
        <w:tc>
          <w:tcPr>
            <w:tcW w:w="243" w:type="dxa"/>
            <w:tcBorders/>
            <w:shd w:fill="auto" w:val="clear"/>
            <w:vAlign w:val="center"/>
          </w:tcPr>
          <w:p>
            <w:pPr>
              <w:pStyle w:val="TableContents"/>
              <w:spacing w:before="0" w:after="0"/>
              <w:ind w:left="0" w:right="0" w:firstLine="30"/>
              <w:rPr/>
            </w:pPr>
            <w:r>
              <w:rPr/>
              <w:t> </w:t>
            </w:r>
          </w:p>
        </w:tc>
        <w:tc>
          <w:tcPr>
            <w:tcW w:w="39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Director</w:t>
            </w:r>
          </w:p>
        </w:tc>
      </w:tr>
      <w:tr>
        <w:trPr/>
        <w:tc>
          <w:tcPr>
            <w:tcW w:w="3890" w:type="dxa"/>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sz w:val="17"/>
              </w:rPr>
            </w:pPr>
            <w:r>
              <w:rPr>
                <w:rFonts w:ascii="inherit" w:hAnsi="inherit"/>
                <w:sz w:val="17"/>
              </w:rPr>
              <w:t>Pablo Lagos Espinosa</w:t>
            </w:r>
          </w:p>
        </w:tc>
        <w:tc>
          <w:tcPr>
            <w:tcW w:w="243" w:type="dxa"/>
            <w:tcBorders/>
            <w:shd w:fill="auto" w:val="clear"/>
            <w:vAlign w:val="center"/>
          </w:tcPr>
          <w:p>
            <w:pPr>
              <w:pStyle w:val="TableContents"/>
              <w:spacing w:before="0" w:after="0"/>
              <w:ind w:left="0" w:right="0" w:firstLine="30"/>
              <w:rPr/>
            </w:pPr>
            <w:r>
              <w:rPr/>
              <w:t> </w:t>
            </w:r>
          </w:p>
        </w:tc>
        <w:tc>
          <w:tcPr>
            <w:tcW w:w="3971" w:type="dxa"/>
            <w:tcBorders/>
            <w:shd w:fill="auto" w:val="clear"/>
            <w:vAlign w:val="center"/>
          </w:tcPr>
          <w:p>
            <w:pPr>
              <w:pStyle w:val="TableContents"/>
              <w:spacing w:before="0" w:after="0"/>
              <w:rPr/>
            </w:pPr>
            <w:r>
              <w:rPr/>
              <w:t> </w:t>
            </w:r>
          </w:p>
        </w:tc>
      </w:tr>
    </w:tbl>
    <w:p>
      <w:pPr>
        <w:pStyle w:val="TextBody"/>
        <w:rPr/>
      </w:pPr>
      <w:r>
        <w:rPr/>
      </w:r>
      <w:r>
        <w:br w:type="page"/>
      </w:r>
    </w:p>
    <w:p>
      <w:pPr>
        <w:pStyle w:val="TextBody"/>
        <w:spacing w:before="0" w:after="0"/>
        <w:rPr/>
      </w:pPr>
      <w:r>
        <w:rPr/>
      </w:r>
      <w:bookmarkStart w:id="38" w:name="s50596A4D4F88D219ACD76FA02F62859C1"/>
      <w:bookmarkStart w:id="39" w:name="s50596A4D4F88D219ACD76FA02F62859C1"/>
      <w:bookmarkEnd w:id="39"/>
    </w:p>
    <w:tbl>
      <w:tblPr>
        <w:tblW w:w="8971" w:type="dxa"/>
        <w:jc w:val="left"/>
        <w:tblInd w:w="0" w:type="dxa"/>
        <w:tblCellMar>
          <w:top w:w="0" w:type="dxa"/>
          <w:left w:w="0" w:type="dxa"/>
          <w:bottom w:w="0" w:type="dxa"/>
          <w:right w:w="0" w:type="dxa"/>
        </w:tblCellMar>
      </w:tblPr>
      <w:tblGrid>
        <w:gridCol w:w="4306"/>
        <w:gridCol w:w="269"/>
        <w:gridCol w:w="4396"/>
      </w:tblGrid>
      <w:tr>
        <w:trPr/>
        <w:tc>
          <w:tcPr>
            <w:tcW w:w="8971" w:type="dxa"/>
            <w:gridSpan w:val="3"/>
            <w:tcBorders/>
            <w:shd w:fill="auto" w:val="clear"/>
            <w:vAlign w:val="center"/>
          </w:tcPr>
          <w:p>
            <w:pPr>
              <w:pStyle w:val="TableContents"/>
              <w:spacing w:before="0" w:after="283"/>
              <w:rPr>
                <w:sz w:val="4"/>
                <w:szCs w:val="4"/>
              </w:rPr>
            </w:pPr>
            <w:r>
              <w:rPr>
                <w:sz w:val="4"/>
                <w:szCs w:val="4"/>
              </w:rPr>
            </w:r>
          </w:p>
        </w:tc>
      </w:tr>
      <w:tr>
        <w:trPr/>
        <w:tc>
          <w:tcPr>
            <w:tcW w:w="4306"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439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306"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Signature</w:t>
            </w:r>
          </w:p>
        </w:tc>
        <w:tc>
          <w:tcPr>
            <w:tcW w:w="269" w:type="dxa"/>
            <w:tcBorders/>
            <w:shd w:fill="auto" w:val="clear"/>
            <w:vAlign w:val="center"/>
          </w:tcPr>
          <w:p>
            <w:pPr>
              <w:pStyle w:val="TableContents"/>
              <w:spacing w:before="0" w:after="0"/>
              <w:ind w:left="0" w:right="0" w:firstLine="30"/>
              <w:rPr/>
            </w:pPr>
            <w:r>
              <w:rPr/>
              <w:t> </w:t>
            </w:r>
          </w:p>
        </w:tc>
        <w:tc>
          <w:tcPr>
            <w:tcW w:w="4396"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Title</w:t>
            </w:r>
          </w:p>
        </w:tc>
      </w:tr>
      <w:tr>
        <w:trPr/>
        <w:tc>
          <w:tcPr>
            <w:tcW w:w="4306" w:type="dxa"/>
            <w:tcBorders/>
            <w:shd w:fill="auto" w:val="clear"/>
            <w:vAlign w:val="center"/>
          </w:tcPr>
          <w:p>
            <w:pPr>
              <w:pStyle w:val="TableContents"/>
              <w:spacing w:before="0" w:after="0"/>
              <w:ind w:left="0" w:right="0" w:firstLine="30"/>
              <w:rPr/>
            </w:pPr>
            <w:r>
              <w:rPr/>
              <w:t> </w:t>
            </w:r>
          </w:p>
        </w:tc>
        <w:tc>
          <w:tcPr>
            <w:tcW w:w="269" w:type="dxa"/>
            <w:tcBorders/>
            <w:shd w:fill="auto" w:val="clear"/>
            <w:vAlign w:val="center"/>
          </w:tcPr>
          <w:p>
            <w:pPr>
              <w:pStyle w:val="TableContents"/>
              <w:spacing w:before="0" w:after="0"/>
              <w:ind w:left="0" w:right="0" w:firstLine="30"/>
              <w:rPr/>
            </w:pPr>
            <w:r>
              <w:rPr/>
              <w:t> </w:t>
            </w:r>
          </w:p>
        </w:tc>
        <w:tc>
          <w:tcPr>
            <w:tcW w:w="4396" w:type="dxa"/>
            <w:tcBorders/>
            <w:shd w:fill="auto" w:val="clear"/>
            <w:vAlign w:val="center"/>
          </w:tcPr>
          <w:p>
            <w:pPr>
              <w:pStyle w:val="TableContents"/>
              <w:spacing w:before="0" w:after="0"/>
              <w:ind w:left="0" w:right="0" w:firstLine="30"/>
              <w:rPr/>
            </w:pPr>
            <w:r>
              <w:rPr/>
              <w:t> </w:t>
            </w:r>
          </w:p>
        </w:tc>
      </w:tr>
      <w:tr>
        <w:trPr/>
        <w:tc>
          <w:tcPr>
            <w:tcW w:w="4306" w:type="dxa"/>
            <w:tcBorders/>
            <w:shd w:fill="auto" w:val="clear"/>
            <w:vAlign w:val="center"/>
          </w:tcPr>
          <w:p>
            <w:pPr>
              <w:pStyle w:val="TableContents"/>
              <w:spacing w:before="0" w:after="0"/>
              <w:ind w:left="0" w:right="0" w:firstLine="30"/>
              <w:rPr/>
            </w:pPr>
            <w:r>
              <w:rPr/>
              <w:t> </w:t>
            </w:r>
          </w:p>
        </w:tc>
        <w:tc>
          <w:tcPr>
            <w:tcW w:w="269" w:type="dxa"/>
            <w:tcBorders/>
            <w:shd w:fill="auto" w:val="clear"/>
            <w:vAlign w:val="center"/>
          </w:tcPr>
          <w:p>
            <w:pPr>
              <w:pStyle w:val="TableContents"/>
              <w:spacing w:before="0" w:after="0"/>
              <w:ind w:left="0" w:right="0" w:firstLine="30"/>
              <w:rPr/>
            </w:pPr>
            <w:r>
              <w:rPr/>
              <w:t> </w:t>
            </w:r>
          </w:p>
        </w:tc>
        <w:tc>
          <w:tcPr>
            <w:tcW w:w="4396" w:type="dxa"/>
            <w:tcBorders/>
            <w:shd w:fill="auto" w:val="clear"/>
            <w:vAlign w:val="center"/>
          </w:tcPr>
          <w:p>
            <w:pPr>
              <w:pStyle w:val="TableContents"/>
              <w:spacing w:before="0" w:after="0"/>
              <w:ind w:left="0" w:right="0" w:firstLine="30"/>
              <w:rPr/>
            </w:pPr>
            <w:r>
              <w:rPr/>
              <w:t> </w:t>
            </w:r>
          </w:p>
        </w:tc>
      </w:tr>
      <w:tr>
        <w:trPr/>
        <w:tc>
          <w:tcPr>
            <w:tcW w:w="4306" w:type="dxa"/>
            <w:tcBorders/>
            <w:shd w:fill="auto" w:val="clear"/>
            <w:vAlign w:val="center"/>
          </w:tcPr>
          <w:p>
            <w:pPr>
              <w:pStyle w:val="TableContents"/>
              <w:spacing w:before="0" w:after="0"/>
              <w:ind w:left="0" w:right="0" w:firstLine="30"/>
              <w:rPr/>
            </w:pPr>
            <w:r>
              <w:rPr/>
              <w:t> </w:t>
            </w:r>
          </w:p>
        </w:tc>
        <w:tc>
          <w:tcPr>
            <w:tcW w:w="269" w:type="dxa"/>
            <w:tcBorders/>
            <w:shd w:fill="auto" w:val="clear"/>
            <w:vAlign w:val="center"/>
          </w:tcPr>
          <w:p>
            <w:pPr>
              <w:pStyle w:val="TableContents"/>
              <w:spacing w:before="0" w:after="0"/>
              <w:ind w:left="0" w:right="0" w:firstLine="30"/>
              <w:rPr/>
            </w:pPr>
            <w:r>
              <w:rPr/>
              <w:t> </w:t>
            </w:r>
          </w:p>
        </w:tc>
        <w:tc>
          <w:tcPr>
            <w:tcW w:w="4396" w:type="dxa"/>
            <w:tcBorders/>
            <w:shd w:fill="auto" w:val="clear"/>
            <w:vAlign w:val="center"/>
          </w:tcPr>
          <w:p>
            <w:pPr>
              <w:pStyle w:val="TableContents"/>
              <w:spacing w:before="0" w:after="0"/>
              <w:ind w:left="0" w:right="0" w:firstLine="30"/>
              <w:rPr/>
            </w:pPr>
            <w:r>
              <w:rPr/>
              <w:t> </w:t>
            </w:r>
          </w:p>
        </w:tc>
      </w:tr>
      <w:tr>
        <w:trPr/>
        <w:tc>
          <w:tcPr>
            <w:tcW w:w="4306"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/s/ John Farrell</w:t>
            </w:r>
          </w:p>
        </w:tc>
        <w:tc>
          <w:tcPr>
            <w:tcW w:w="269" w:type="dxa"/>
            <w:tcBorders/>
            <w:shd w:fill="auto" w:val="clear"/>
            <w:vAlign w:val="center"/>
          </w:tcPr>
          <w:p>
            <w:pPr>
              <w:pStyle w:val="TableContents"/>
              <w:spacing w:before="0" w:after="0"/>
              <w:ind w:left="0" w:right="0" w:firstLine="30"/>
              <w:rPr/>
            </w:pPr>
            <w:r>
              <w:rPr/>
              <w:t> </w:t>
            </w:r>
          </w:p>
        </w:tc>
        <w:tc>
          <w:tcPr>
            <w:tcW w:w="43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Director</w:t>
            </w:r>
          </w:p>
        </w:tc>
      </w:tr>
      <w:tr>
        <w:trPr/>
        <w:tc>
          <w:tcPr>
            <w:tcW w:w="4306"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John Farrell</w:t>
            </w:r>
          </w:p>
        </w:tc>
        <w:tc>
          <w:tcPr>
            <w:tcW w:w="269" w:type="dxa"/>
            <w:tcBorders/>
            <w:shd w:fill="auto" w:val="clear"/>
            <w:vAlign w:val="center"/>
          </w:tcPr>
          <w:p>
            <w:pPr>
              <w:pStyle w:val="TableContents"/>
              <w:spacing w:before="0" w:after="0"/>
              <w:ind w:left="0" w:right="0" w:firstLine="30"/>
              <w:rPr/>
            </w:pPr>
            <w:r>
              <w:rPr/>
              <w:t> </w:t>
            </w:r>
          </w:p>
        </w:tc>
        <w:tc>
          <w:tcPr>
            <w:tcW w:w="4396" w:type="dxa"/>
            <w:tcBorders/>
            <w:shd w:fill="auto" w:val="clear"/>
            <w:vAlign w:val="center"/>
          </w:tcPr>
          <w:p>
            <w:pPr>
              <w:pStyle w:val="TableContents"/>
              <w:spacing w:before="0" w:after="0"/>
              <w:ind w:left="0" w:right="0" w:firstLine="30"/>
              <w:rPr/>
            </w:pPr>
            <w:r>
              <w:rPr/>
              <w:t> </w:t>
            </w:r>
          </w:p>
        </w:tc>
      </w:tr>
      <w:tr>
        <w:trPr/>
        <w:tc>
          <w:tcPr>
            <w:tcW w:w="4306" w:type="dxa"/>
            <w:tcBorders/>
            <w:shd w:fill="auto" w:val="clear"/>
            <w:vAlign w:val="center"/>
          </w:tcPr>
          <w:p>
            <w:pPr>
              <w:pStyle w:val="TableContents"/>
              <w:spacing w:before="0" w:after="0"/>
              <w:ind w:left="0" w:right="0" w:firstLine="30"/>
              <w:rPr/>
            </w:pPr>
            <w:r>
              <w:rPr/>
              <w:t> </w:t>
            </w:r>
          </w:p>
        </w:tc>
        <w:tc>
          <w:tcPr>
            <w:tcW w:w="269" w:type="dxa"/>
            <w:tcBorders/>
            <w:shd w:fill="auto" w:val="clear"/>
            <w:vAlign w:val="center"/>
          </w:tcPr>
          <w:p>
            <w:pPr>
              <w:pStyle w:val="TableContents"/>
              <w:spacing w:before="0" w:after="0"/>
              <w:ind w:left="0" w:right="0" w:firstLine="30"/>
              <w:rPr/>
            </w:pPr>
            <w:r>
              <w:rPr/>
              <w:t> </w:t>
            </w:r>
          </w:p>
        </w:tc>
        <w:tc>
          <w:tcPr>
            <w:tcW w:w="4396" w:type="dxa"/>
            <w:tcBorders/>
            <w:shd w:fill="auto" w:val="clear"/>
            <w:vAlign w:val="center"/>
          </w:tcPr>
          <w:p>
            <w:pPr>
              <w:pStyle w:val="TableContents"/>
              <w:spacing w:before="0" w:after="0"/>
              <w:ind w:left="0" w:right="0" w:firstLine="30"/>
              <w:rPr/>
            </w:pPr>
            <w:r>
              <w:rPr/>
              <w:t> </w:t>
            </w:r>
          </w:p>
        </w:tc>
      </w:tr>
      <w:tr>
        <w:trPr/>
        <w:tc>
          <w:tcPr>
            <w:tcW w:w="4306" w:type="dxa"/>
            <w:tcBorders/>
            <w:shd w:fill="auto" w:val="clear"/>
            <w:vAlign w:val="center"/>
          </w:tcPr>
          <w:p>
            <w:pPr>
              <w:pStyle w:val="TableContents"/>
              <w:spacing w:before="0" w:after="0"/>
              <w:ind w:left="0" w:right="0" w:firstLine="30"/>
              <w:rPr/>
            </w:pPr>
            <w:r>
              <w:rPr/>
              <w:t> </w:t>
            </w:r>
          </w:p>
        </w:tc>
        <w:tc>
          <w:tcPr>
            <w:tcW w:w="269" w:type="dxa"/>
            <w:tcBorders/>
            <w:shd w:fill="auto" w:val="clear"/>
            <w:vAlign w:val="center"/>
          </w:tcPr>
          <w:p>
            <w:pPr>
              <w:pStyle w:val="TableContents"/>
              <w:spacing w:before="0" w:after="0"/>
              <w:ind w:left="0" w:right="0" w:firstLine="30"/>
              <w:rPr/>
            </w:pPr>
            <w:r>
              <w:rPr/>
              <w:t> </w:t>
            </w:r>
          </w:p>
        </w:tc>
        <w:tc>
          <w:tcPr>
            <w:tcW w:w="4396" w:type="dxa"/>
            <w:tcBorders/>
            <w:shd w:fill="auto" w:val="clear"/>
            <w:vAlign w:val="center"/>
          </w:tcPr>
          <w:p>
            <w:pPr>
              <w:pStyle w:val="TableContents"/>
              <w:spacing w:before="0" w:after="0"/>
              <w:ind w:left="0" w:right="0" w:firstLine="30"/>
              <w:rPr/>
            </w:pPr>
            <w:r>
              <w:rPr/>
              <w:t> </w:t>
            </w:r>
          </w:p>
        </w:tc>
      </w:tr>
      <w:tr>
        <w:trPr/>
        <w:tc>
          <w:tcPr>
            <w:tcW w:w="4306" w:type="dxa"/>
            <w:tcBorders/>
            <w:shd w:fill="auto" w:val="clear"/>
            <w:vAlign w:val="center"/>
          </w:tcPr>
          <w:p>
            <w:pPr>
              <w:pStyle w:val="TableContents"/>
              <w:spacing w:before="0" w:after="0"/>
              <w:ind w:left="0" w:right="0" w:firstLine="30"/>
              <w:rPr/>
            </w:pPr>
            <w:r>
              <w:rPr/>
              <w:t> </w:t>
            </w:r>
          </w:p>
        </w:tc>
        <w:tc>
          <w:tcPr>
            <w:tcW w:w="269" w:type="dxa"/>
            <w:tcBorders/>
            <w:shd w:fill="auto" w:val="clear"/>
            <w:vAlign w:val="center"/>
          </w:tcPr>
          <w:p>
            <w:pPr>
              <w:pStyle w:val="TableContents"/>
              <w:spacing w:before="0" w:after="0"/>
              <w:ind w:left="0" w:right="0" w:firstLine="30"/>
              <w:rPr/>
            </w:pPr>
            <w:r>
              <w:rPr/>
              <w:t> </w:t>
            </w:r>
          </w:p>
        </w:tc>
        <w:tc>
          <w:tcPr>
            <w:tcW w:w="4396" w:type="dxa"/>
            <w:tcBorders/>
            <w:shd w:fill="auto" w:val="clear"/>
            <w:vAlign w:val="center"/>
          </w:tcPr>
          <w:p>
            <w:pPr>
              <w:pStyle w:val="TableContents"/>
              <w:spacing w:before="0" w:after="0"/>
              <w:ind w:left="0" w:right="0" w:firstLine="30"/>
              <w:rPr/>
            </w:pPr>
            <w:r>
              <w:rPr/>
              <w:t> </w:t>
            </w:r>
          </w:p>
        </w:tc>
      </w:tr>
      <w:tr>
        <w:trPr/>
        <w:tc>
          <w:tcPr>
            <w:tcW w:w="4306"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/s/ William C. Love</w:t>
            </w:r>
          </w:p>
        </w:tc>
        <w:tc>
          <w:tcPr>
            <w:tcW w:w="269" w:type="dxa"/>
            <w:tcBorders/>
            <w:shd w:fill="auto" w:val="clear"/>
            <w:vAlign w:val="center"/>
          </w:tcPr>
          <w:p>
            <w:pPr>
              <w:pStyle w:val="TableContents"/>
              <w:spacing w:before="0" w:after="0"/>
              <w:ind w:left="0" w:right="0" w:firstLine="30"/>
              <w:rPr/>
            </w:pPr>
            <w:r>
              <w:rPr/>
              <w:t> </w:t>
            </w:r>
          </w:p>
        </w:tc>
        <w:tc>
          <w:tcPr>
            <w:tcW w:w="43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Director</w:t>
            </w:r>
          </w:p>
        </w:tc>
      </w:tr>
      <w:tr>
        <w:trPr/>
        <w:tc>
          <w:tcPr>
            <w:tcW w:w="4306" w:type="dxa"/>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sz w:val="17"/>
              </w:rPr>
            </w:pPr>
            <w:r>
              <w:rPr>
                <w:rFonts w:ascii="inherit" w:hAnsi="inherit"/>
                <w:sz w:val="17"/>
              </w:rPr>
              <w:t>William C. Love</w:t>
            </w:r>
          </w:p>
        </w:tc>
        <w:tc>
          <w:tcPr>
            <w:tcW w:w="269" w:type="dxa"/>
            <w:tcBorders/>
            <w:shd w:fill="auto" w:val="clear"/>
            <w:vAlign w:val="center"/>
          </w:tcPr>
          <w:p>
            <w:pPr>
              <w:pStyle w:val="TableContents"/>
              <w:spacing w:before="0" w:after="0"/>
              <w:ind w:left="0" w:right="0" w:firstLine="30"/>
              <w:rPr/>
            </w:pPr>
            <w:r>
              <w:rPr/>
              <w:t> </w:t>
            </w:r>
          </w:p>
        </w:tc>
        <w:tc>
          <w:tcPr>
            <w:tcW w:w="4396" w:type="dxa"/>
            <w:tcBorders/>
            <w:shd w:fill="auto" w:val="clear"/>
            <w:vAlign w:val="center"/>
          </w:tcPr>
          <w:p>
            <w:pPr>
              <w:pStyle w:val="TableContents"/>
              <w:spacing w:before="0" w:after="0"/>
              <w:ind w:left="0" w:right="0" w:firstLine="30"/>
              <w:rPr/>
            </w:pPr>
            <w:r>
              <w:rPr/>
              <w:t> </w:t>
            </w:r>
          </w:p>
        </w:tc>
      </w:tr>
      <w:tr>
        <w:trPr/>
        <w:tc>
          <w:tcPr>
            <w:tcW w:w="4306" w:type="dxa"/>
            <w:tcBorders/>
            <w:shd w:fill="auto" w:val="clear"/>
            <w:vAlign w:val="center"/>
          </w:tcPr>
          <w:p>
            <w:pPr>
              <w:pStyle w:val="TableContents"/>
              <w:spacing w:before="0" w:after="0"/>
              <w:ind w:left="0" w:right="0" w:firstLine="30"/>
              <w:rPr/>
            </w:pPr>
            <w:r>
              <w:rPr/>
              <w:t> </w:t>
            </w:r>
          </w:p>
        </w:tc>
        <w:tc>
          <w:tcPr>
            <w:tcW w:w="269" w:type="dxa"/>
            <w:tcBorders/>
            <w:shd w:fill="auto" w:val="clear"/>
            <w:vAlign w:val="center"/>
          </w:tcPr>
          <w:p>
            <w:pPr>
              <w:pStyle w:val="TableContents"/>
              <w:spacing w:before="0" w:after="0"/>
              <w:ind w:left="0" w:right="0" w:firstLine="30"/>
              <w:rPr/>
            </w:pPr>
            <w:r>
              <w:rPr/>
              <w:t> </w:t>
            </w:r>
          </w:p>
        </w:tc>
        <w:tc>
          <w:tcPr>
            <w:tcW w:w="4396" w:type="dxa"/>
            <w:tcBorders/>
            <w:shd w:fill="auto" w:val="clear"/>
            <w:vAlign w:val="center"/>
          </w:tcPr>
          <w:p>
            <w:pPr>
              <w:pStyle w:val="TableContents"/>
              <w:spacing w:before="0" w:after="0"/>
              <w:ind w:left="0" w:right="0" w:firstLine="30"/>
              <w:rPr/>
            </w:pPr>
            <w:r>
              <w:rPr/>
              <w:t> </w:t>
            </w:r>
          </w:p>
        </w:tc>
      </w:tr>
      <w:tr>
        <w:trPr/>
        <w:tc>
          <w:tcPr>
            <w:tcW w:w="4306" w:type="dxa"/>
            <w:tcBorders/>
            <w:shd w:fill="auto" w:val="clear"/>
            <w:vAlign w:val="center"/>
          </w:tcPr>
          <w:p>
            <w:pPr>
              <w:pStyle w:val="TableContents"/>
              <w:spacing w:before="0" w:after="0"/>
              <w:ind w:left="0" w:right="0" w:firstLine="30"/>
              <w:rPr/>
            </w:pPr>
            <w:r>
              <w:rPr/>
              <w:t> </w:t>
            </w:r>
          </w:p>
        </w:tc>
        <w:tc>
          <w:tcPr>
            <w:tcW w:w="269" w:type="dxa"/>
            <w:tcBorders/>
            <w:shd w:fill="auto" w:val="clear"/>
            <w:vAlign w:val="center"/>
          </w:tcPr>
          <w:p>
            <w:pPr>
              <w:pStyle w:val="TableContents"/>
              <w:spacing w:before="0" w:after="0"/>
              <w:ind w:left="0" w:right="0" w:firstLine="30"/>
              <w:rPr/>
            </w:pPr>
            <w:r>
              <w:rPr/>
              <w:t> </w:t>
            </w:r>
          </w:p>
        </w:tc>
        <w:tc>
          <w:tcPr>
            <w:tcW w:w="4396" w:type="dxa"/>
            <w:tcBorders/>
            <w:shd w:fill="auto" w:val="clear"/>
            <w:vAlign w:val="center"/>
          </w:tcPr>
          <w:p>
            <w:pPr>
              <w:pStyle w:val="TableContents"/>
              <w:spacing w:before="0" w:after="0"/>
              <w:ind w:left="0" w:right="0" w:firstLine="30"/>
              <w:rPr/>
            </w:pPr>
            <w:r>
              <w:rPr/>
              <w:t> </w:t>
            </w:r>
          </w:p>
        </w:tc>
      </w:tr>
      <w:tr>
        <w:trPr/>
        <w:tc>
          <w:tcPr>
            <w:tcW w:w="4306" w:type="dxa"/>
            <w:tcBorders/>
            <w:shd w:fill="auto" w:val="clear"/>
            <w:vAlign w:val="center"/>
          </w:tcPr>
          <w:p>
            <w:pPr>
              <w:pStyle w:val="TableContents"/>
              <w:spacing w:before="0" w:after="0"/>
              <w:ind w:left="0" w:right="0" w:firstLine="30"/>
              <w:rPr/>
            </w:pPr>
            <w:r>
              <w:rPr/>
              <w:t> </w:t>
            </w:r>
          </w:p>
        </w:tc>
        <w:tc>
          <w:tcPr>
            <w:tcW w:w="269" w:type="dxa"/>
            <w:tcBorders/>
            <w:shd w:fill="auto" w:val="clear"/>
            <w:vAlign w:val="center"/>
          </w:tcPr>
          <w:p>
            <w:pPr>
              <w:pStyle w:val="TableContents"/>
              <w:spacing w:before="0" w:after="0"/>
              <w:ind w:left="0" w:right="0" w:firstLine="30"/>
              <w:rPr/>
            </w:pPr>
            <w:r>
              <w:rPr/>
              <w:t> </w:t>
            </w:r>
          </w:p>
        </w:tc>
        <w:tc>
          <w:tcPr>
            <w:tcW w:w="4396" w:type="dxa"/>
            <w:tcBorders/>
            <w:shd w:fill="auto" w:val="clear"/>
            <w:vAlign w:val="center"/>
          </w:tcPr>
          <w:p>
            <w:pPr>
              <w:pStyle w:val="TableContents"/>
              <w:spacing w:before="0" w:after="0"/>
              <w:ind w:left="0" w:right="0" w:firstLine="30"/>
              <w:rPr/>
            </w:pPr>
            <w:r>
              <w:rPr/>
              <w:t> </w:t>
            </w:r>
          </w:p>
        </w:tc>
      </w:tr>
      <w:tr>
        <w:trPr/>
        <w:tc>
          <w:tcPr>
            <w:tcW w:w="4306"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/s/ Thomas C. Roberts</w:t>
            </w:r>
          </w:p>
        </w:tc>
        <w:tc>
          <w:tcPr>
            <w:tcW w:w="269" w:type="dxa"/>
            <w:tcBorders/>
            <w:shd w:fill="auto" w:val="clear"/>
            <w:vAlign w:val="center"/>
          </w:tcPr>
          <w:p>
            <w:pPr>
              <w:pStyle w:val="TableContents"/>
              <w:spacing w:before="0" w:after="0"/>
              <w:ind w:left="0" w:right="0" w:firstLine="30"/>
              <w:rPr/>
            </w:pPr>
            <w:r>
              <w:rPr/>
              <w:t> </w:t>
            </w:r>
          </w:p>
        </w:tc>
        <w:tc>
          <w:tcPr>
            <w:tcW w:w="43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Director</w:t>
            </w:r>
          </w:p>
        </w:tc>
      </w:tr>
      <w:tr>
        <w:trPr/>
        <w:tc>
          <w:tcPr>
            <w:tcW w:w="4306" w:type="dxa"/>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sz w:val="17"/>
              </w:rPr>
            </w:pPr>
            <w:r>
              <w:rPr>
                <w:rFonts w:ascii="inherit" w:hAnsi="inherit"/>
                <w:sz w:val="17"/>
              </w:rPr>
              <w:t>Thomas C. Roberts</w:t>
            </w:r>
          </w:p>
        </w:tc>
        <w:tc>
          <w:tcPr>
            <w:tcW w:w="269" w:type="dxa"/>
            <w:tcBorders/>
            <w:shd w:fill="auto" w:val="clear"/>
            <w:vAlign w:val="center"/>
          </w:tcPr>
          <w:p>
            <w:pPr>
              <w:pStyle w:val="TableContents"/>
              <w:spacing w:before="0" w:after="0"/>
              <w:ind w:left="0" w:right="0" w:firstLine="30"/>
              <w:rPr/>
            </w:pPr>
            <w:r>
              <w:rPr/>
              <w:t> </w:t>
            </w:r>
          </w:p>
        </w:tc>
        <w:tc>
          <w:tcPr>
            <w:tcW w:w="4396" w:type="dxa"/>
            <w:tcBorders/>
            <w:shd w:fill="auto" w:val="clear"/>
            <w:vAlign w:val="center"/>
          </w:tcPr>
          <w:p>
            <w:pPr>
              <w:pStyle w:val="TableContents"/>
              <w:spacing w:before="0" w:after="0"/>
              <w:ind w:left="0" w:right="0" w:firstLine="30"/>
              <w:rPr/>
            </w:pPr>
            <w:r>
              <w:rPr/>
              <w:t> </w:t>
            </w:r>
          </w:p>
        </w:tc>
      </w:tr>
      <w:tr>
        <w:trPr/>
        <w:tc>
          <w:tcPr>
            <w:tcW w:w="4306" w:type="dxa"/>
            <w:tcBorders/>
            <w:shd w:fill="auto" w:val="clear"/>
            <w:vAlign w:val="center"/>
          </w:tcPr>
          <w:p>
            <w:pPr>
              <w:pStyle w:val="TableContents"/>
              <w:spacing w:before="0" w:after="0"/>
              <w:ind w:left="0" w:right="0" w:firstLine="30"/>
              <w:rPr/>
            </w:pPr>
            <w:r>
              <w:rPr/>
              <w:t> </w:t>
            </w:r>
          </w:p>
        </w:tc>
        <w:tc>
          <w:tcPr>
            <w:tcW w:w="269" w:type="dxa"/>
            <w:tcBorders/>
            <w:shd w:fill="auto" w:val="clear"/>
            <w:vAlign w:val="center"/>
          </w:tcPr>
          <w:p>
            <w:pPr>
              <w:pStyle w:val="TableContents"/>
              <w:spacing w:before="0" w:after="0"/>
              <w:ind w:left="0" w:right="0" w:firstLine="30"/>
              <w:rPr/>
            </w:pPr>
            <w:r>
              <w:rPr/>
              <w:t> </w:t>
            </w:r>
          </w:p>
        </w:tc>
        <w:tc>
          <w:tcPr>
            <w:tcW w:w="4396" w:type="dxa"/>
            <w:tcBorders/>
            <w:shd w:fill="auto" w:val="clear"/>
            <w:vAlign w:val="center"/>
          </w:tcPr>
          <w:p>
            <w:pPr>
              <w:pStyle w:val="TableContents"/>
              <w:spacing w:before="0" w:after="0"/>
              <w:ind w:left="0" w:right="0" w:firstLine="30"/>
              <w:rPr/>
            </w:pPr>
            <w:r>
              <w:rPr/>
              <w:t> </w:t>
            </w:r>
          </w:p>
        </w:tc>
      </w:tr>
      <w:tr>
        <w:trPr/>
        <w:tc>
          <w:tcPr>
            <w:tcW w:w="4306" w:type="dxa"/>
            <w:tcBorders/>
            <w:shd w:fill="auto" w:val="clear"/>
            <w:vAlign w:val="center"/>
          </w:tcPr>
          <w:p>
            <w:pPr>
              <w:pStyle w:val="TableContents"/>
              <w:spacing w:before="0" w:after="0"/>
              <w:ind w:left="0" w:right="0" w:firstLine="30"/>
              <w:rPr/>
            </w:pPr>
            <w:r>
              <w:rPr/>
              <w:t> </w:t>
            </w:r>
          </w:p>
        </w:tc>
        <w:tc>
          <w:tcPr>
            <w:tcW w:w="269" w:type="dxa"/>
            <w:tcBorders/>
            <w:shd w:fill="auto" w:val="clear"/>
            <w:vAlign w:val="center"/>
          </w:tcPr>
          <w:p>
            <w:pPr>
              <w:pStyle w:val="TableContents"/>
              <w:spacing w:before="0" w:after="0"/>
              <w:ind w:left="0" w:right="0" w:firstLine="30"/>
              <w:rPr/>
            </w:pPr>
            <w:r>
              <w:rPr/>
              <w:t> </w:t>
            </w:r>
          </w:p>
        </w:tc>
        <w:tc>
          <w:tcPr>
            <w:tcW w:w="4396" w:type="dxa"/>
            <w:tcBorders/>
            <w:shd w:fill="auto" w:val="clear"/>
            <w:vAlign w:val="center"/>
          </w:tcPr>
          <w:p>
            <w:pPr>
              <w:pStyle w:val="TableContents"/>
              <w:spacing w:before="0" w:after="0"/>
              <w:ind w:left="0" w:right="0" w:firstLine="30"/>
              <w:rPr/>
            </w:pPr>
            <w:r>
              <w:rPr/>
              <w:t> </w:t>
            </w:r>
          </w:p>
        </w:tc>
      </w:tr>
      <w:tr>
        <w:trPr/>
        <w:tc>
          <w:tcPr>
            <w:tcW w:w="4306" w:type="dxa"/>
            <w:tcBorders/>
            <w:shd w:fill="auto" w:val="clear"/>
            <w:vAlign w:val="center"/>
          </w:tcPr>
          <w:p>
            <w:pPr>
              <w:pStyle w:val="TableContents"/>
              <w:spacing w:before="0" w:after="0"/>
              <w:ind w:left="0" w:right="0" w:firstLine="30"/>
              <w:rPr/>
            </w:pPr>
            <w:r>
              <w:rPr/>
              <w:t> </w:t>
            </w:r>
          </w:p>
        </w:tc>
        <w:tc>
          <w:tcPr>
            <w:tcW w:w="269" w:type="dxa"/>
            <w:tcBorders/>
            <w:shd w:fill="auto" w:val="clear"/>
            <w:vAlign w:val="center"/>
          </w:tcPr>
          <w:p>
            <w:pPr>
              <w:pStyle w:val="TableContents"/>
              <w:spacing w:before="0" w:after="0"/>
              <w:ind w:left="0" w:right="0" w:firstLine="30"/>
              <w:rPr/>
            </w:pPr>
            <w:r>
              <w:rPr/>
              <w:t> </w:t>
            </w:r>
          </w:p>
        </w:tc>
        <w:tc>
          <w:tcPr>
            <w:tcW w:w="4396" w:type="dxa"/>
            <w:tcBorders/>
            <w:shd w:fill="auto" w:val="clear"/>
            <w:vAlign w:val="center"/>
          </w:tcPr>
          <w:p>
            <w:pPr>
              <w:pStyle w:val="TableContents"/>
              <w:spacing w:before="0" w:after="0"/>
              <w:ind w:left="0" w:right="0" w:firstLine="30"/>
              <w:rPr/>
            </w:pPr>
            <w:r>
              <w:rPr/>
              <w:t> </w:t>
            </w:r>
          </w:p>
        </w:tc>
      </w:tr>
      <w:tr>
        <w:trPr/>
        <w:tc>
          <w:tcPr>
            <w:tcW w:w="4306"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/s/ Mark Kuchenrither</w:t>
            </w:r>
          </w:p>
        </w:tc>
        <w:tc>
          <w:tcPr>
            <w:tcW w:w="269" w:type="dxa"/>
            <w:tcBorders/>
            <w:shd w:fill="auto" w:val="clear"/>
            <w:vAlign w:val="center"/>
          </w:tcPr>
          <w:p>
            <w:pPr>
              <w:pStyle w:val="TableContents"/>
              <w:spacing w:before="0" w:after="0"/>
              <w:ind w:left="0" w:right="0" w:firstLine="30"/>
              <w:rPr/>
            </w:pPr>
            <w:r>
              <w:rPr/>
              <w:t> </w:t>
            </w:r>
          </w:p>
        </w:tc>
        <w:tc>
          <w:tcPr>
            <w:tcW w:w="43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Executive Vice President and Chief Financial Officer</w:t>
            </w:r>
          </w:p>
        </w:tc>
      </w:tr>
      <w:tr>
        <w:trPr/>
        <w:tc>
          <w:tcPr>
            <w:tcW w:w="4306" w:type="dxa"/>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sz w:val="17"/>
              </w:rPr>
            </w:pPr>
            <w:r>
              <w:rPr>
                <w:rFonts w:ascii="inherit" w:hAnsi="inherit"/>
                <w:sz w:val="17"/>
              </w:rPr>
              <w:t>Mark Kuchenrither</w:t>
            </w:r>
          </w:p>
        </w:tc>
        <w:tc>
          <w:tcPr>
            <w:tcW w:w="269" w:type="dxa"/>
            <w:tcBorders/>
            <w:shd w:fill="auto" w:val="clear"/>
            <w:vAlign w:val="center"/>
          </w:tcPr>
          <w:p>
            <w:pPr>
              <w:pStyle w:val="TableContents"/>
              <w:spacing w:before="0" w:after="0"/>
              <w:ind w:left="0" w:right="0" w:firstLine="30"/>
              <w:rPr/>
            </w:pPr>
            <w:r>
              <w:rPr/>
              <w:t> </w:t>
            </w:r>
          </w:p>
        </w:tc>
        <w:tc>
          <w:tcPr>
            <w:tcW w:w="43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(Principal Financial Officer)</w:t>
            </w:r>
          </w:p>
        </w:tc>
      </w:tr>
      <w:tr>
        <w:trPr/>
        <w:tc>
          <w:tcPr>
            <w:tcW w:w="4306" w:type="dxa"/>
            <w:tcBorders/>
            <w:shd w:fill="auto" w:val="clear"/>
            <w:vAlign w:val="center"/>
          </w:tcPr>
          <w:p>
            <w:pPr>
              <w:pStyle w:val="TableContents"/>
              <w:spacing w:before="0" w:after="0"/>
              <w:ind w:left="0" w:right="0" w:firstLine="30"/>
              <w:rPr/>
            </w:pPr>
            <w:r>
              <w:rPr/>
              <w:t> </w:t>
            </w:r>
          </w:p>
        </w:tc>
        <w:tc>
          <w:tcPr>
            <w:tcW w:w="269" w:type="dxa"/>
            <w:tcBorders/>
            <w:shd w:fill="auto" w:val="clear"/>
            <w:vAlign w:val="center"/>
          </w:tcPr>
          <w:p>
            <w:pPr>
              <w:pStyle w:val="TableContents"/>
              <w:spacing w:before="0" w:after="0"/>
              <w:ind w:left="0" w:right="0" w:firstLine="30"/>
              <w:rPr/>
            </w:pPr>
            <w:r>
              <w:rPr/>
              <w:t> </w:t>
            </w:r>
          </w:p>
        </w:tc>
        <w:tc>
          <w:tcPr>
            <w:tcW w:w="4396" w:type="dxa"/>
            <w:tcBorders/>
            <w:shd w:fill="auto" w:val="clear"/>
            <w:vAlign w:val="center"/>
          </w:tcPr>
          <w:p>
            <w:pPr>
              <w:pStyle w:val="TableContents"/>
              <w:spacing w:before="0" w:after="0"/>
              <w:ind w:left="0" w:right="0" w:firstLine="30"/>
              <w:rPr/>
            </w:pPr>
            <w:r>
              <w:rPr/>
              <w:t> </w:t>
            </w:r>
          </w:p>
        </w:tc>
      </w:tr>
      <w:tr>
        <w:trPr/>
        <w:tc>
          <w:tcPr>
            <w:tcW w:w="4306" w:type="dxa"/>
            <w:tcBorders/>
            <w:shd w:fill="auto" w:val="clear"/>
            <w:vAlign w:val="center"/>
          </w:tcPr>
          <w:p>
            <w:pPr>
              <w:pStyle w:val="TableContents"/>
              <w:spacing w:before="0" w:after="0"/>
              <w:ind w:left="0" w:right="0" w:firstLine="30"/>
              <w:rPr/>
            </w:pPr>
            <w:r>
              <w:rPr/>
              <w:t> </w:t>
            </w:r>
          </w:p>
        </w:tc>
        <w:tc>
          <w:tcPr>
            <w:tcW w:w="269" w:type="dxa"/>
            <w:tcBorders/>
            <w:shd w:fill="auto" w:val="clear"/>
            <w:vAlign w:val="center"/>
          </w:tcPr>
          <w:p>
            <w:pPr>
              <w:pStyle w:val="TableContents"/>
              <w:spacing w:before="0" w:after="0"/>
              <w:ind w:left="0" w:right="0" w:firstLine="30"/>
              <w:rPr/>
            </w:pPr>
            <w:r>
              <w:rPr/>
              <w:t> </w:t>
            </w:r>
          </w:p>
        </w:tc>
        <w:tc>
          <w:tcPr>
            <w:tcW w:w="4396" w:type="dxa"/>
            <w:tcBorders/>
            <w:shd w:fill="auto" w:val="clear"/>
            <w:vAlign w:val="center"/>
          </w:tcPr>
          <w:p>
            <w:pPr>
              <w:pStyle w:val="TableContents"/>
              <w:spacing w:before="0" w:after="0"/>
              <w:ind w:left="0" w:right="0" w:firstLine="30"/>
              <w:rPr/>
            </w:pPr>
            <w:r>
              <w:rPr/>
              <w:t> </w:t>
            </w:r>
          </w:p>
        </w:tc>
      </w:tr>
      <w:tr>
        <w:trPr/>
        <w:tc>
          <w:tcPr>
            <w:tcW w:w="4306" w:type="dxa"/>
            <w:tcBorders/>
            <w:shd w:fill="auto" w:val="clear"/>
            <w:vAlign w:val="center"/>
          </w:tcPr>
          <w:p>
            <w:pPr>
              <w:pStyle w:val="TableContents"/>
              <w:spacing w:before="0" w:after="0"/>
              <w:ind w:left="0" w:right="0" w:firstLine="30"/>
              <w:rPr/>
            </w:pPr>
            <w:r>
              <w:rPr/>
              <w:t> </w:t>
            </w:r>
          </w:p>
        </w:tc>
        <w:tc>
          <w:tcPr>
            <w:tcW w:w="269" w:type="dxa"/>
            <w:tcBorders/>
            <w:shd w:fill="auto" w:val="clear"/>
            <w:vAlign w:val="center"/>
          </w:tcPr>
          <w:p>
            <w:pPr>
              <w:pStyle w:val="TableContents"/>
              <w:spacing w:before="0" w:after="0"/>
              <w:ind w:left="0" w:right="0" w:firstLine="30"/>
              <w:rPr/>
            </w:pPr>
            <w:r>
              <w:rPr/>
              <w:t> </w:t>
            </w:r>
          </w:p>
        </w:tc>
        <w:tc>
          <w:tcPr>
            <w:tcW w:w="4396" w:type="dxa"/>
            <w:tcBorders/>
            <w:shd w:fill="auto" w:val="clear"/>
            <w:vAlign w:val="center"/>
          </w:tcPr>
          <w:p>
            <w:pPr>
              <w:pStyle w:val="TableContents"/>
              <w:spacing w:before="0" w:after="0"/>
              <w:ind w:left="0" w:right="0" w:firstLine="30"/>
              <w:rPr/>
            </w:pPr>
            <w:r>
              <w:rPr/>
              <w:t> </w:t>
            </w:r>
          </w:p>
        </w:tc>
      </w:tr>
      <w:tr>
        <w:trPr/>
        <w:tc>
          <w:tcPr>
            <w:tcW w:w="4306"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/s/ Jeffrey S. Byal</w:t>
            </w:r>
          </w:p>
        </w:tc>
        <w:tc>
          <w:tcPr>
            <w:tcW w:w="269" w:type="dxa"/>
            <w:tcBorders/>
            <w:shd w:fill="auto" w:val="clear"/>
            <w:vAlign w:val="center"/>
          </w:tcPr>
          <w:p>
            <w:pPr>
              <w:pStyle w:val="TableContents"/>
              <w:spacing w:before="0" w:after="0"/>
              <w:ind w:left="0" w:right="0" w:firstLine="30"/>
              <w:rPr/>
            </w:pPr>
            <w:r>
              <w:rPr/>
              <w:t> </w:t>
            </w:r>
          </w:p>
        </w:tc>
        <w:tc>
          <w:tcPr>
            <w:tcW w:w="43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Senior Vice President and Chief Accounting Officer</w:t>
            </w:r>
          </w:p>
        </w:tc>
      </w:tr>
      <w:tr>
        <w:trPr/>
        <w:tc>
          <w:tcPr>
            <w:tcW w:w="4306" w:type="dxa"/>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sz w:val="17"/>
              </w:rPr>
            </w:pPr>
            <w:r>
              <w:rPr>
                <w:rFonts w:ascii="inherit" w:hAnsi="inherit"/>
                <w:sz w:val="17"/>
              </w:rPr>
              <w:t>Jeffrey S. Byal</w:t>
            </w:r>
          </w:p>
        </w:tc>
        <w:tc>
          <w:tcPr>
            <w:tcW w:w="269" w:type="dxa"/>
            <w:tcBorders/>
            <w:shd w:fill="auto" w:val="clear"/>
            <w:vAlign w:val="center"/>
          </w:tcPr>
          <w:p>
            <w:pPr>
              <w:pStyle w:val="TableContents"/>
              <w:spacing w:before="0" w:after="0"/>
              <w:ind w:left="0" w:right="0" w:firstLine="30"/>
              <w:rPr/>
            </w:pPr>
            <w:r>
              <w:rPr/>
              <w:t> </w:t>
            </w:r>
          </w:p>
        </w:tc>
        <w:tc>
          <w:tcPr>
            <w:tcW w:w="4396" w:type="dxa"/>
            <w:tcBorders/>
            <w:shd w:fill="auto" w:val="clear"/>
            <w:vAlign w:val="center"/>
          </w:tcPr>
          <w:p>
            <w:pPr>
              <w:pStyle w:val="TableContents"/>
              <w:spacing w:before="0" w:after="0"/>
              <w:jc w:val="left"/>
              <w:rPr>
                <w:rFonts w:ascii="inherit" w:hAnsi="inherit"/>
                <w:sz w:val="17"/>
              </w:rPr>
            </w:pPr>
            <w:r>
              <w:rPr>
                <w:rFonts w:ascii="inherit" w:hAnsi="inherit"/>
                <w:sz w:val="17"/>
              </w:rPr>
              <w:t>(Principal Accounting Officer)</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rPr/>
      </w:pPr>
      <w:r>
        <w:rPr/>
      </w:r>
      <w:r>
        <w:br w:type="page"/>
      </w:r>
    </w:p>
    <w:p>
      <w:pPr>
        <w:pStyle w:val="TextBody"/>
        <w:spacing w:before="0" w:after="0"/>
        <w:rPr/>
      </w:pPr>
      <w:r>
        <w:rPr/>
      </w:r>
      <w:bookmarkStart w:id="40" w:name="s6F51A120FBBF212257D96FA02F8453FD"/>
      <w:bookmarkStart w:id="41" w:name="s6F51A120FBBF212257D96FA02F8453FD"/>
      <w:bookmarkEnd w:id="41"/>
    </w:p>
    <w:p>
      <w:pPr>
        <w:pStyle w:val="TextBody"/>
        <w:spacing w:lineRule="auto" w:line="288" w:before="0" w:after="0"/>
        <w:jc w:val="center"/>
        <w:rPr>
          <w:rFonts w:ascii="inherit" w:hAnsi="inherit"/>
          <w:b/>
          <w:sz w:val="17"/>
        </w:rPr>
      </w:pPr>
      <w:r>
        <w:rPr>
          <w:rFonts w:ascii="inherit" w:hAnsi="inherit"/>
          <w:b/>
          <w:sz w:val="17"/>
        </w:rPr>
        <w:t>EXHIBIT INDEX</w:t>
      </w:r>
    </w:p>
    <w:tbl>
      <w:tblPr>
        <w:tblW w:w="10205" w:type="dxa"/>
        <w:jc w:val="left"/>
        <w:tblInd w:w="0" w:type="dxa"/>
        <w:tblCellMar>
          <w:top w:w="0" w:type="dxa"/>
          <w:left w:w="0" w:type="dxa"/>
          <w:bottom w:w="0" w:type="dxa"/>
          <w:right w:w="0" w:type="dxa"/>
        </w:tblCellMar>
      </w:tblPr>
      <w:tblGrid>
        <w:gridCol w:w="1254"/>
        <w:gridCol w:w="415"/>
        <w:gridCol w:w="8536"/>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254"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853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254" w:type="dxa"/>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5"/>
              </w:rPr>
            </w:pPr>
            <w:r>
              <w:rPr>
                <w:rFonts w:ascii="inherit" w:hAnsi="inherit"/>
                <w:b/>
                <w:sz w:val="15"/>
              </w:rPr>
              <w:t>Exhibit</w:t>
            </w:r>
          </w:p>
          <w:p>
            <w:pPr>
              <w:pStyle w:val="TableContents"/>
              <w:spacing w:before="0" w:after="0"/>
              <w:ind w:left="0" w:right="0" w:firstLine="30"/>
              <w:jc w:val="center"/>
              <w:rPr>
                <w:rFonts w:ascii="inherit" w:hAnsi="inherit"/>
                <w:b/>
                <w:sz w:val="15"/>
              </w:rPr>
            </w:pPr>
            <w:r>
              <w:rPr>
                <w:rFonts w:ascii="inherit" w:hAnsi="inherit"/>
                <w:b/>
                <w:sz w:val="15"/>
              </w:rPr>
              <w:t>Number</w:t>
            </w:r>
          </w:p>
        </w:tc>
        <w:tc>
          <w:tcPr>
            <w:tcW w:w="415" w:type="dxa"/>
            <w:tcBorders/>
            <w:shd w:fill="auto" w:val="clear"/>
            <w:vAlign w:val="center"/>
          </w:tcPr>
          <w:p>
            <w:pPr>
              <w:pStyle w:val="TableContents"/>
              <w:spacing w:before="0" w:after="0"/>
              <w:ind w:left="0" w:right="0" w:firstLine="30"/>
              <w:rPr/>
            </w:pPr>
            <w:r>
              <w:rPr/>
              <w:t> </w:t>
            </w:r>
          </w:p>
        </w:tc>
        <w:tc>
          <w:tcPr>
            <w:tcW w:w="853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5"/>
              </w:rPr>
            </w:pPr>
            <w:r>
              <w:rPr>
                <w:rFonts w:ascii="inherit" w:hAnsi="inherit"/>
                <w:b/>
                <w:sz w:val="15"/>
              </w:rPr>
              <w:t>Description</w:t>
            </w:r>
          </w:p>
        </w:tc>
      </w:tr>
      <w:tr>
        <w:trPr/>
        <w:tc>
          <w:tcPr>
            <w:tcW w:w="1254"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415" w:type="dxa"/>
            <w:tcBorders/>
            <w:shd w:fill="auto" w:val="clear"/>
            <w:vAlign w:val="center"/>
          </w:tcPr>
          <w:p>
            <w:pPr>
              <w:pStyle w:val="TableContents"/>
              <w:spacing w:before="0" w:after="0"/>
              <w:ind w:left="0" w:right="0" w:firstLine="30"/>
              <w:rPr/>
            </w:pPr>
            <w:r>
              <w:rPr/>
              <w:t> </w:t>
            </w:r>
          </w:p>
        </w:tc>
        <w:tc>
          <w:tcPr>
            <w:tcW w:w="8536"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r>
      <w:tr>
        <w:trPr/>
        <w:tc>
          <w:tcPr>
            <w:tcW w:w="1254"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2.1</w:t>
            </w:r>
          </w:p>
        </w:tc>
        <w:tc>
          <w:tcPr>
            <w:tcW w:w="415" w:type="dxa"/>
            <w:tcBorders/>
            <w:shd w:fill="auto" w:val="clear"/>
            <w:vAlign w:val="center"/>
          </w:tcPr>
          <w:p>
            <w:pPr>
              <w:pStyle w:val="TableContents"/>
              <w:spacing w:before="0" w:after="0"/>
              <w:ind w:left="0" w:right="0" w:firstLine="30"/>
              <w:rPr/>
            </w:pPr>
            <w:r>
              <w:rPr/>
              <w:t> </w:t>
            </w:r>
          </w:p>
        </w:tc>
        <w:tc>
          <w:tcPr>
            <w:tcW w:w="85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Asset Purchase Agreement, dated November 20, 2012, among EZCORP Online, Inc., EZCORP, Inc., Hayfield Investment Partners, LLC and certain subsidiaries of Hayfield Investment Partners, LLC (incorporated by reference to Exhibit 10.1 to the Company’s Current Report on Form 8-K filed on December 20, 2012, Commission File No. 0-19424)</w:t>
            </w:r>
          </w:p>
        </w:tc>
      </w:tr>
      <w:tr>
        <w:trPr/>
        <w:tc>
          <w:tcPr>
            <w:tcW w:w="1254" w:type="dxa"/>
            <w:tcBorders/>
            <w:shd w:fill="auto" w:val="clear"/>
            <w:vAlign w:val="center"/>
          </w:tcPr>
          <w:p>
            <w:pPr>
              <w:pStyle w:val="TableContents"/>
              <w:spacing w:before="0" w:after="0"/>
              <w:ind w:left="0" w:right="0" w:firstLine="30"/>
              <w:rPr/>
            </w:pPr>
            <w:r>
              <w:rPr/>
              <w:t> </w:t>
            </w:r>
          </w:p>
        </w:tc>
        <w:tc>
          <w:tcPr>
            <w:tcW w:w="415" w:type="dxa"/>
            <w:tcBorders/>
            <w:shd w:fill="auto" w:val="clear"/>
            <w:vAlign w:val="center"/>
          </w:tcPr>
          <w:p>
            <w:pPr>
              <w:pStyle w:val="TableContents"/>
              <w:spacing w:before="0" w:after="0"/>
              <w:ind w:left="0" w:right="0" w:firstLine="30"/>
              <w:rPr/>
            </w:pPr>
            <w:r>
              <w:rPr/>
              <w:t> </w:t>
            </w:r>
          </w:p>
        </w:tc>
        <w:tc>
          <w:tcPr>
            <w:tcW w:w="8536" w:type="dxa"/>
            <w:tcBorders/>
            <w:shd w:fill="auto" w:val="clear"/>
            <w:vAlign w:val="center"/>
          </w:tcPr>
          <w:p>
            <w:pPr>
              <w:pStyle w:val="TableContents"/>
              <w:spacing w:before="0" w:after="0"/>
              <w:ind w:left="0" w:right="0" w:firstLine="30"/>
              <w:rPr/>
            </w:pPr>
            <w:r>
              <w:rPr/>
              <w:t> </w:t>
            </w:r>
          </w:p>
        </w:tc>
      </w:tr>
      <w:tr>
        <w:trPr/>
        <w:tc>
          <w:tcPr>
            <w:tcW w:w="1254"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2.2</w:t>
            </w:r>
          </w:p>
        </w:tc>
        <w:tc>
          <w:tcPr>
            <w:tcW w:w="415" w:type="dxa"/>
            <w:tcBorders/>
            <w:shd w:fill="auto" w:val="clear"/>
            <w:vAlign w:val="center"/>
          </w:tcPr>
          <w:p>
            <w:pPr>
              <w:pStyle w:val="TableContents"/>
              <w:spacing w:before="0" w:after="0"/>
              <w:ind w:left="0" w:right="0" w:firstLine="30"/>
              <w:rPr/>
            </w:pPr>
            <w:r>
              <w:rPr/>
              <w:t> </w:t>
            </w:r>
          </w:p>
        </w:tc>
        <w:tc>
          <w:tcPr>
            <w:tcW w:w="85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Amendment to Asset Purchase Agreement, dated December 12, 2012, among EZCORP Online, Inc., EZCORP, Inc., Hayfield Investment Partners, LLC, certain subsidiaries of Hayfield Investment Partners, LLC and the members of Hayfield Investment Partners, LLC (incorporated by reference to Exhibit 10.2 to the Company’s Current Report on Form 8-K filed on December 20, 2012, Commission File No. 0-19424)</w:t>
            </w:r>
          </w:p>
        </w:tc>
      </w:tr>
      <w:tr>
        <w:trPr/>
        <w:tc>
          <w:tcPr>
            <w:tcW w:w="1254" w:type="dxa"/>
            <w:tcBorders/>
            <w:shd w:fill="auto" w:val="clear"/>
            <w:vAlign w:val="center"/>
          </w:tcPr>
          <w:p>
            <w:pPr>
              <w:pStyle w:val="TableContents"/>
              <w:spacing w:before="0" w:after="0"/>
              <w:ind w:left="0" w:right="0" w:firstLine="30"/>
              <w:rPr/>
            </w:pPr>
            <w:r>
              <w:rPr/>
              <w:t> </w:t>
            </w:r>
          </w:p>
        </w:tc>
        <w:tc>
          <w:tcPr>
            <w:tcW w:w="415" w:type="dxa"/>
            <w:tcBorders/>
            <w:shd w:fill="auto" w:val="clear"/>
            <w:vAlign w:val="center"/>
          </w:tcPr>
          <w:p>
            <w:pPr>
              <w:pStyle w:val="TableContents"/>
              <w:spacing w:before="0" w:after="0"/>
              <w:ind w:left="0" w:right="0" w:firstLine="30"/>
              <w:rPr/>
            </w:pPr>
            <w:r>
              <w:rPr/>
              <w:t> </w:t>
            </w:r>
          </w:p>
        </w:tc>
        <w:tc>
          <w:tcPr>
            <w:tcW w:w="8536" w:type="dxa"/>
            <w:tcBorders/>
            <w:shd w:fill="auto" w:val="clear"/>
            <w:vAlign w:val="center"/>
          </w:tcPr>
          <w:p>
            <w:pPr>
              <w:pStyle w:val="TableContents"/>
              <w:spacing w:before="0" w:after="0"/>
              <w:ind w:left="0" w:right="0" w:firstLine="30"/>
              <w:rPr/>
            </w:pPr>
            <w:r>
              <w:rPr/>
              <w:t> </w:t>
            </w:r>
          </w:p>
        </w:tc>
      </w:tr>
      <w:tr>
        <w:trPr/>
        <w:tc>
          <w:tcPr>
            <w:tcW w:w="1254"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4.1</w:t>
            </w:r>
          </w:p>
        </w:tc>
        <w:tc>
          <w:tcPr>
            <w:tcW w:w="415" w:type="dxa"/>
            <w:tcBorders/>
            <w:shd w:fill="auto" w:val="clear"/>
            <w:vAlign w:val="center"/>
          </w:tcPr>
          <w:p>
            <w:pPr>
              <w:pStyle w:val="TableContents"/>
              <w:spacing w:before="0" w:after="0"/>
              <w:ind w:left="0" w:right="0" w:firstLine="30"/>
              <w:rPr/>
            </w:pPr>
            <w:r>
              <w:rPr/>
              <w:t> </w:t>
            </w:r>
          </w:p>
        </w:tc>
        <w:tc>
          <w:tcPr>
            <w:tcW w:w="85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Specimen of Class A Non-Voting Common Stock certificate (incorporated by reference to Exhibit 4.1 to the Company’s Registration Statement on Form S-1 effective August 23, 1991, Commission File No. 33-41317)</w:t>
            </w:r>
          </w:p>
        </w:tc>
      </w:tr>
      <w:tr>
        <w:trPr/>
        <w:tc>
          <w:tcPr>
            <w:tcW w:w="1254" w:type="dxa"/>
            <w:tcBorders/>
            <w:shd w:fill="auto" w:val="clear"/>
            <w:vAlign w:val="center"/>
          </w:tcPr>
          <w:p>
            <w:pPr>
              <w:pStyle w:val="TableContents"/>
              <w:spacing w:before="0" w:after="0"/>
              <w:ind w:left="0" w:right="0" w:firstLine="30"/>
              <w:rPr/>
            </w:pPr>
            <w:r>
              <w:rPr/>
              <w:t> </w:t>
            </w:r>
          </w:p>
        </w:tc>
        <w:tc>
          <w:tcPr>
            <w:tcW w:w="415" w:type="dxa"/>
            <w:tcBorders/>
            <w:shd w:fill="auto" w:val="clear"/>
            <w:vAlign w:val="center"/>
          </w:tcPr>
          <w:p>
            <w:pPr>
              <w:pStyle w:val="TableContents"/>
              <w:spacing w:before="0" w:after="0"/>
              <w:ind w:left="0" w:right="0" w:firstLine="30"/>
              <w:rPr/>
            </w:pPr>
            <w:r>
              <w:rPr/>
              <w:t> </w:t>
            </w:r>
          </w:p>
        </w:tc>
        <w:tc>
          <w:tcPr>
            <w:tcW w:w="8536" w:type="dxa"/>
            <w:tcBorders/>
            <w:shd w:fill="auto" w:val="clear"/>
            <w:vAlign w:val="center"/>
          </w:tcPr>
          <w:p>
            <w:pPr>
              <w:pStyle w:val="TableContents"/>
              <w:spacing w:before="0" w:after="0"/>
              <w:ind w:left="0" w:right="0" w:firstLine="30"/>
              <w:rPr/>
            </w:pPr>
            <w:r>
              <w:rPr/>
              <w:t> </w:t>
            </w:r>
          </w:p>
        </w:tc>
      </w:tr>
      <w:tr>
        <w:trPr/>
        <w:tc>
          <w:tcPr>
            <w:tcW w:w="1254"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4.2</w:t>
            </w:r>
          </w:p>
        </w:tc>
        <w:tc>
          <w:tcPr>
            <w:tcW w:w="415" w:type="dxa"/>
            <w:tcBorders/>
            <w:shd w:fill="auto" w:val="clear"/>
            <w:vAlign w:val="center"/>
          </w:tcPr>
          <w:p>
            <w:pPr>
              <w:pStyle w:val="TableContents"/>
              <w:spacing w:before="0" w:after="0"/>
              <w:ind w:left="0" w:right="0" w:firstLine="30"/>
              <w:rPr/>
            </w:pPr>
            <w:r>
              <w:rPr/>
              <w:t> </w:t>
            </w:r>
          </w:p>
        </w:tc>
        <w:tc>
          <w:tcPr>
            <w:tcW w:w="85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Section 2.5(b) of the Asset Purchase Agreement, dated November 20, 2012, among EZCORP Online, Inc., EZCORP, Inc., Hayfield Investment Partners, LLC and certain subsidiaries of Hayfield Investment Partners, LLC (incorporated by reference to Exhibit 10.1 to the Company’s Current Report on Form 8-K filed on December 20, 2012, Commission File No. 0-19424)</w:t>
            </w:r>
          </w:p>
        </w:tc>
      </w:tr>
      <w:tr>
        <w:trPr/>
        <w:tc>
          <w:tcPr>
            <w:tcW w:w="1254" w:type="dxa"/>
            <w:tcBorders/>
            <w:shd w:fill="auto" w:val="clear"/>
            <w:vAlign w:val="center"/>
          </w:tcPr>
          <w:p>
            <w:pPr>
              <w:pStyle w:val="TableContents"/>
              <w:spacing w:before="0" w:after="0"/>
              <w:ind w:left="0" w:right="0" w:firstLine="30"/>
              <w:rPr/>
            </w:pPr>
            <w:r>
              <w:rPr/>
              <w:t> </w:t>
            </w:r>
          </w:p>
        </w:tc>
        <w:tc>
          <w:tcPr>
            <w:tcW w:w="415" w:type="dxa"/>
            <w:tcBorders/>
            <w:shd w:fill="auto" w:val="clear"/>
            <w:vAlign w:val="center"/>
          </w:tcPr>
          <w:p>
            <w:pPr>
              <w:pStyle w:val="TableContents"/>
              <w:spacing w:before="0" w:after="0"/>
              <w:ind w:left="0" w:right="0" w:firstLine="30"/>
              <w:rPr/>
            </w:pPr>
            <w:r>
              <w:rPr/>
              <w:t> </w:t>
            </w:r>
          </w:p>
        </w:tc>
        <w:tc>
          <w:tcPr>
            <w:tcW w:w="8536" w:type="dxa"/>
            <w:tcBorders/>
            <w:shd w:fill="auto" w:val="clear"/>
            <w:vAlign w:val="center"/>
          </w:tcPr>
          <w:p>
            <w:pPr>
              <w:pStyle w:val="TableContents"/>
              <w:spacing w:before="0" w:after="0"/>
              <w:ind w:left="0" w:right="0" w:firstLine="30"/>
              <w:rPr/>
            </w:pPr>
            <w:r>
              <w:rPr/>
              <w:t> </w:t>
            </w:r>
          </w:p>
        </w:tc>
      </w:tr>
      <w:tr>
        <w:trPr/>
        <w:tc>
          <w:tcPr>
            <w:tcW w:w="1254"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5.1*</w:t>
            </w:r>
          </w:p>
        </w:tc>
        <w:tc>
          <w:tcPr>
            <w:tcW w:w="415" w:type="dxa"/>
            <w:tcBorders/>
            <w:shd w:fill="auto" w:val="clear"/>
            <w:vAlign w:val="center"/>
          </w:tcPr>
          <w:p>
            <w:pPr>
              <w:pStyle w:val="TableContents"/>
              <w:spacing w:before="0" w:after="0"/>
              <w:ind w:left="0" w:right="0" w:firstLine="30"/>
              <w:rPr/>
            </w:pPr>
            <w:r>
              <w:rPr/>
              <w:t> </w:t>
            </w:r>
          </w:p>
        </w:tc>
        <w:tc>
          <w:tcPr>
            <w:tcW w:w="85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Opinion of legal counsel</w:t>
            </w:r>
          </w:p>
        </w:tc>
      </w:tr>
      <w:tr>
        <w:trPr/>
        <w:tc>
          <w:tcPr>
            <w:tcW w:w="1254" w:type="dxa"/>
            <w:tcBorders/>
            <w:shd w:fill="auto" w:val="clear"/>
            <w:vAlign w:val="center"/>
          </w:tcPr>
          <w:p>
            <w:pPr>
              <w:pStyle w:val="TableContents"/>
              <w:spacing w:before="0" w:after="0"/>
              <w:ind w:left="0" w:right="0" w:firstLine="30"/>
              <w:rPr/>
            </w:pPr>
            <w:r>
              <w:rPr/>
              <w:t> </w:t>
            </w:r>
          </w:p>
        </w:tc>
        <w:tc>
          <w:tcPr>
            <w:tcW w:w="415" w:type="dxa"/>
            <w:tcBorders/>
            <w:shd w:fill="auto" w:val="clear"/>
            <w:vAlign w:val="center"/>
          </w:tcPr>
          <w:p>
            <w:pPr>
              <w:pStyle w:val="TableContents"/>
              <w:spacing w:before="0" w:after="0"/>
              <w:ind w:left="0" w:right="0" w:firstLine="30"/>
              <w:rPr/>
            </w:pPr>
            <w:r>
              <w:rPr/>
              <w:t> </w:t>
            </w:r>
          </w:p>
        </w:tc>
        <w:tc>
          <w:tcPr>
            <w:tcW w:w="8536" w:type="dxa"/>
            <w:tcBorders/>
            <w:shd w:fill="auto" w:val="clear"/>
            <w:vAlign w:val="center"/>
          </w:tcPr>
          <w:p>
            <w:pPr>
              <w:pStyle w:val="TableContents"/>
              <w:spacing w:before="0" w:after="0"/>
              <w:ind w:left="0" w:right="0" w:firstLine="30"/>
              <w:rPr/>
            </w:pPr>
            <w:r>
              <w:rPr/>
              <w:t> </w:t>
            </w:r>
          </w:p>
        </w:tc>
      </w:tr>
      <w:tr>
        <w:trPr/>
        <w:tc>
          <w:tcPr>
            <w:tcW w:w="1254"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23.1*</w:t>
            </w:r>
          </w:p>
        </w:tc>
        <w:tc>
          <w:tcPr>
            <w:tcW w:w="415" w:type="dxa"/>
            <w:tcBorders/>
            <w:shd w:fill="auto" w:val="clear"/>
            <w:vAlign w:val="center"/>
          </w:tcPr>
          <w:p>
            <w:pPr>
              <w:pStyle w:val="TableContents"/>
              <w:spacing w:before="0" w:after="0"/>
              <w:ind w:left="0" w:right="0" w:firstLine="30"/>
              <w:rPr/>
            </w:pPr>
            <w:r>
              <w:rPr/>
              <w:t> </w:t>
            </w:r>
          </w:p>
        </w:tc>
        <w:tc>
          <w:tcPr>
            <w:tcW w:w="85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Consent of BDO USA, LLP</w:t>
            </w:r>
          </w:p>
        </w:tc>
      </w:tr>
      <w:tr>
        <w:trPr/>
        <w:tc>
          <w:tcPr>
            <w:tcW w:w="1254" w:type="dxa"/>
            <w:tcBorders/>
            <w:shd w:fill="auto" w:val="clear"/>
            <w:vAlign w:val="center"/>
          </w:tcPr>
          <w:p>
            <w:pPr>
              <w:pStyle w:val="TableContents"/>
              <w:spacing w:before="0" w:after="0"/>
              <w:ind w:left="0" w:right="0" w:firstLine="30"/>
              <w:rPr/>
            </w:pPr>
            <w:r>
              <w:rPr/>
              <w:t> </w:t>
            </w:r>
          </w:p>
        </w:tc>
        <w:tc>
          <w:tcPr>
            <w:tcW w:w="415" w:type="dxa"/>
            <w:tcBorders/>
            <w:shd w:fill="auto" w:val="clear"/>
            <w:vAlign w:val="center"/>
          </w:tcPr>
          <w:p>
            <w:pPr>
              <w:pStyle w:val="TableContents"/>
              <w:spacing w:before="0" w:after="0"/>
              <w:ind w:left="0" w:right="0" w:firstLine="30"/>
              <w:rPr/>
            </w:pPr>
            <w:r>
              <w:rPr/>
              <w:t> </w:t>
            </w:r>
          </w:p>
        </w:tc>
        <w:tc>
          <w:tcPr>
            <w:tcW w:w="8536" w:type="dxa"/>
            <w:tcBorders/>
            <w:shd w:fill="auto" w:val="clear"/>
            <w:vAlign w:val="center"/>
          </w:tcPr>
          <w:p>
            <w:pPr>
              <w:pStyle w:val="TableContents"/>
              <w:spacing w:before="0" w:after="0"/>
              <w:ind w:left="0" w:right="0" w:firstLine="30"/>
              <w:rPr/>
            </w:pPr>
            <w:r>
              <w:rPr/>
              <w:t> </w:t>
            </w:r>
          </w:p>
        </w:tc>
      </w:tr>
      <w:tr>
        <w:trPr/>
        <w:tc>
          <w:tcPr>
            <w:tcW w:w="1254"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23.2*</w:t>
            </w:r>
          </w:p>
        </w:tc>
        <w:tc>
          <w:tcPr>
            <w:tcW w:w="415" w:type="dxa"/>
            <w:tcBorders/>
            <w:shd w:fill="auto" w:val="clear"/>
            <w:vAlign w:val="center"/>
          </w:tcPr>
          <w:p>
            <w:pPr>
              <w:pStyle w:val="TableContents"/>
              <w:spacing w:before="0" w:after="0"/>
              <w:ind w:left="0" w:right="0" w:firstLine="30"/>
              <w:rPr/>
            </w:pPr>
            <w:r>
              <w:rPr/>
              <w:t> </w:t>
            </w:r>
          </w:p>
        </w:tc>
        <w:tc>
          <w:tcPr>
            <w:tcW w:w="85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Consent of legal counsel (included in Exhibit 5.1)</w:t>
            </w:r>
          </w:p>
        </w:tc>
      </w:tr>
      <w:tr>
        <w:trPr/>
        <w:tc>
          <w:tcPr>
            <w:tcW w:w="1254" w:type="dxa"/>
            <w:tcBorders/>
            <w:shd w:fill="auto" w:val="clear"/>
            <w:vAlign w:val="center"/>
          </w:tcPr>
          <w:p>
            <w:pPr>
              <w:pStyle w:val="TableContents"/>
              <w:spacing w:before="0" w:after="0"/>
              <w:ind w:left="0" w:right="0" w:firstLine="30"/>
              <w:rPr/>
            </w:pPr>
            <w:r>
              <w:rPr/>
              <w:t> </w:t>
            </w:r>
          </w:p>
        </w:tc>
        <w:tc>
          <w:tcPr>
            <w:tcW w:w="415" w:type="dxa"/>
            <w:tcBorders/>
            <w:shd w:fill="auto" w:val="clear"/>
            <w:vAlign w:val="center"/>
          </w:tcPr>
          <w:p>
            <w:pPr>
              <w:pStyle w:val="TableContents"/>
              <w:spacing w:before="0" w:after="0"/>
              <w:ind w:left="0" w:right="0" w:firstLine="30"/>
              <w:rPr/>
            </w:pPr>
            <w:r>
              <w:rPr/>
              <w:t> </w:t>
            </w:r>
          </w:p>
        </w:tc>
        <w:tc>
          <w:tcPr>
            <w:tcW w:w="8536" w:type="dxa"/>
            <w:tcBorders/>
            <w:shd w:fill="auto" w:val="clear"/>
            <w:vAlign w:val="center"/>
          </w:tcPr>
          <w:p>
            <w:pPr>
              <w:pStyle w:val="TableContents"/>
              <w:spacing w:before="0" w:after="0"/>
              <w:ind w:left="0" w:right="0" w:firstLine="30"/>
              <w:rPr/>
            </w:pPr>
            <w:r>
              <w:rPr/>
              <w:t> </w:t>
            </w:r>
          </w:p>
        </w:tc>
      </w:tr>
      <w:tr>
        <w:trPr/>
        <w:tc>
          <w:tcPr>
            <w:tcW w:w="1254"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24.1*</w:t>
            </w:r>
          </w:p>
        </w:tc>
        <w:tc>
          <w:tcPr>
            <w:tcW w:w="415" w:type="dxa"/>
            <w:tcBorders/>
            <w:shd w:fill="auto" w:val="clear"/>
            <w:vAlign w:val="center"/>
          </w:tcPr>
          <w:p>
            <w:pPr>
              <w:pStyle w:val="TableContents"/>
              <w:spacing w:before="0" w:after="0"/>
              <w:ind w:left="0" w:right="0" w:firstLine="30"/>
              <w:rPr/>
            </w:pPr>
            <w:r>
              <w:rPr/>
              <w:t> </w:t>
            </w:r>
          </w:p>
        </w:tc>
        <w:tc>
          <w:tcPr>
            <w:tcW w:w="8536" w:type="dxa"/>
            <w:tcBorders/>
            <w:shd w:fill="auto" w:val="clear"/>
            <w:vAlign w:val="center"/>
          </w:tcPr>
          <w:p>
            <w:pPr>
              <w:pStyle w:val="TableContents"/>
              <w:spacing w:before="0" w:after="0"/>
              <w:jc w:val="left"/>
              <w:rPr>
                <w:rFonts w:ascii="inherit" w:hAnsi="inherit"/>
                <w:sz w:val="17"/>
              </w:rPr>
            </w:pPr>
            <w:r>
              <w:rPr>
                <w:rFonts w:ascii="inherit" w:hAnsi="inherit"/>
                <w:sz w:val="17"/>
              </w:rPr>
              <w:t>Power of attorney (included on the signature page to this registration statement)</w:t>
            </w:r>
          </w:p>
        </w:tc>
      </w:tr>
    </w:tbl>
    <w:p>
      <w:pPr>
        <w:pStyle w:val="TextBody"/>
        <w:spacing w:lineRule="auto" w:line="288" w:before="0" w:after="0"/>
        <w:ind w:left="0" w:right="0" w:firstLine="2160"/>
        <w:jc w:val="left"/>
        <w:rPr>
          <w:u w:val="single"/>
        </w:rPr>
      </w:pPr>
      <w:r>
        <w:rPr>
          <w:u w:val="single"/>
        </w:rPr>
        <w:t>                </w:t>
      </w:r>
    </w:p>
    <w:tbl>
      <w:tblPr>
        <w:tblW w:w="1330" w:type="dxa"/>
        <w:jc w:val="left"/>
        <w:tblInd w:w="0" w:type="dxa"/>
        <w:tblCellMar>
          <w:top w:w="0" w:type="dxa"/>
          <w:left w:w="0" w:type="dxa"/>
          <w:bottom w:w="0" w:type="dxa"/>
          <w:right w:w="0" w:type="dxa"/>
        </w:tblCellMar>
      </w:tblPr>
      <w:tblGrid>
        <w:gridCol w:w="125"/>
        <w:gridCol w:w="1205"/>
      </w:tblGrid>
      <w:tr>
        <w:trPr/>
        <w:tc>
          <w:tcPr>
            <w:tcW w:w="125"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w:t>
            </w:r>
          </w:p>
        </w:tc>
        <w:tc>
          <w:tcPr>
            <w:tcW w:w="120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Filed herewith</w:t>
            </w:r>
          </w:p>
        </w:tc>
      </w:tr>
    </w:tbl>
    <w:p>
      <w:pPr>
        <w:pStyle w:val="TextBody"/>
        <w:spacing w:lineRule="auto" w:line="288" w:before="0" w:after="0"/>
        <w:ind w:left="0" w:right="0" w:hanging="540"/>
        <w:jc w:val="left"/>
        <w:rPr>
          <w:rFonts w:ascii="inherit" w:hAnsi="inherit"/>
          <w:sz w:val="17"/>
        </w:rPr>
      </w:pPr>
      <w:r>
        <w:rPr>
          <w:rFonts w:ascii="inherit" w:hAnsi="inherit"/>
          <w:sz w:val="17"/>
        </w:rPr>
      </w:r>
    </w:p>
    <w:p>
      <w:pPr>
        <w:pStyle w:val="TextBody"/>
        <w:rPr/>
      </w:pPr>
      <w:r>
        <w:rPr/>
      </w:r>
      <w:r>
        <w:br w:type="page"/>
      </w:r>
    </w:p>
    <w:p>
      <w:pPr>
        <w:pStyle w:val="TextBody"/>
        <w:spacing w:lineRule="auto" w:line="288" w:before="0" w:after="0"/>
        <w:jc w:val="both"/>
        <w:rPr/>
      </w:pPr>
      <w:bookmarkStart w:id="42" w:name="sEC6903E9F26B412F2A2E94D14B1727FA"/>
      <w:bookmarkStart w:id="43" w:name="a51opinions-3veopinion.htm"/>
      <w:bookmarkStart w:id="44" w:name="ksa51opinions3veopinion"/>
      <w:bookmarkEnd w:id="42"/>
      <w:bookmarkEnd w:id="43"/>
      <w:bookmarkEnd w:id="44"/>
      <w:r>
        <w:rPr/>
        <w:drawing>
          <wp:inline distT="0" distB="0" distL="0" distR="0">
            <wp:extent cx="1009650"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09650" cy="390525"/>
                    </a:xfrm>
                    <a:prstGeom prst="rect">
                      <a:avLst/>
                    </a:prstGeom>
                  </pic:spPr>
                </pic:pic>
              </a:graphicData>
            </a:graphic>
          </wp:inline>
        </w:drawing>
      </w:r>
    </w:p>
    <w:p>
      <w:pPr>
        <w:pStyle w:val="TextBody"/>
        <w:spacing w:before="0" w:after="0"/>
        <w:rPr/>
      </w:pPr>
      <w:r>
        <w:rPr/>
      </w:r>
    </w:p>
    <w:p>
      <w:pPr>
        <w:pStyle w:val="TextBody"/>
        <w:spacing w:lineRule="auto" w:line="288" w:before="0" w:after="0"/>
        <w:jc w:val="both"/>
        <w:rPr>
          <w:rFonts w:ascii="inherit" w:hAnsi="inherit"/>
          <w:sz w:val="20"/>
        </w:rPr>
      </w:pPr>
      <w:r>
        <w:rPr>
          <w:rFonts w:ascii="inherit" w:hAnsi="inherit"/>
          <w:sz w:val="20"/>
        </w:rPr>
        <w:t>October 8, 2013</w:t>
      </w:r>
    </w:p>
    <w:p>
      <w:pPr>
        <w:pStyle w:val="TextBody"/>
        <w:spacing w:lineRule="auto" w:line="288" w:before="0" w:after="0"/>
        <w:jc w:val="left"/>
        <w:rPr>
          <w:rFonts w:ascii="inherit" w:hAnsi="inherit"/>
          <w:sz w:val="20"/>
        </w:rPr>
      </w:pPr>
      <w:r>
        <w:rPr>
          <w:rFonts w:ascii="inherit" w:hAnsi="inherit"/>
          <w:sz w:val="20"/>
        </w:rPr>
        <w:t>EZCORP, Inc.</w:t>
      </w:r>
    </w:p>
    <w:p>
      <w:pPr>
        <w:pStyle w:val="TextBody"/>
        <w:spacing w:lineRule="auto" w:line="288" w:before="0" w:after="0"/>
        <w:jc w:val="left"/>
        <w:rPr>
          <w:rFonts w:ascii="inherit" w:hAnsi="inherit"/>
          <w:sz w:val="20"/>
        </w:rPr>
      </w:pPr>
      <w:r>
        <w:rPr>
          <w:rFonts w:ascii="inherit" w:hAnsi="inherit"/>
          <w:sz w:val="20"/>
        </w:rPr>
        <w:t>1901 Capital Parkway</w:t>
      </w:r>
    </w:p>
    <w:p>
      <w:pPr>
        <w:pStyle w:val="TextBody"/>
        <w:spacing w:lineRule="auto" w:line="288" w:before="0" w:after="0"/>
        <w:jc w:val="left"/>
        <w:rPr>
          <w:rFonts w:ascii="inherit" w:hAnsi="inherit"/>
          <w:sz w:val="20"/>
        </w:rPr>
      </w:pPr>
      <w:r>
        <w:rPr>
          <w:rFonts w:ascii="inherit" w:hAnsi="inherit"/>
          <w:sz w:val="20"/>
        </w:rPr>
        <w:t>Austin, Texas 78746</w:t>
      </w:r>
    </w:p>
    <w:p>
      <w:pPr>
        <w:pStyle w:val="TextBody"/>
        <w:spacing w:lineRule="auto" w:line="288" w:before="0" w:after="0"/>
        <w:ind w:left="0" w:right="0" w:firstLine="720"/>
        <w:jc w:val="left"/>
        <w:rPr>
          <w:rFonts w:ascii="inherit" w:hAnsi="inherit"/>
          <w:sz w:val="20"/>
        </w:rPr>
      </w:pPr>
      <w:r>
        <w:rPr>
          <w:rFonts w:ascii="inherit" w:hAnsi="inherit"/>
          <w:sz w:val="20"/>
        </w:rPr>
        <w:t>Re:    Registration Statement on Form S-3</w:t>
      </w:r>
    </w:p>
    <w:p>
      <w:pPr>
        <w:pStyle w:val="TextBody"/>
        <w:spacing w:lineRule="auto" w:line="288" w:before="0" w:after="0"/>
        <w:jc w:val="both"/>
        <w:rPr>
          <w:rFonts w:ascii="inherit" w:hAnsi="inherit"/>
          <w:sz w:val="20"/>
        </w:rPr>
      </w:pPr>
      <w:r>
        <w:rPr>
          <w:rFonts w:ascii="inherit" w:hAnsi="inherit"/>
          <w:sz w:val="20"/>
        </w:rPr>
      </w:r>
    </w:p>
    <w:p>
      <w:pPr>
        <w:pStyle w:val="TextBody"/>
        <w:spacing w:lineRule="auto" w:line="288" w:before="0" w:after="0"/>
        <w:jc w:val="both"/>
        <w:rPr>
          <w:rFonts w:ascii="inherit" w:hAnsi="inherit"/>
          <w:sz w:val="20"/>
        </w:rPr>
      </w:pPr>
      <w:r>
        <w:rPr>
          <w:rFonts w:ascii="inherit" w:hAnsi="inherit"/>
          <w:sz w:val="20"/>
        </w:rPr>
        <w:t>Ladies and Gentlemen:</w:t>
      </w:r>
    </w:p>
    <w:p>
      <w:pPr>
        <w:pStyle w:val="TextBody"/>
        <w:spacing w:lineRule="auto" w:line="288" w:before="0" w:after="0"/>
        <w:jc w:val="both"/>
        <w:rPr>
          <w:rFonts w:ascii="inherit" w:hAnsi="inherit"/>
          <w:sz w:val="20"/>
        </w:rPr>
      </w:pPr>
      <w:r>
        <w:rPr>
          <w:rFonts w:ascii="inherit" w:hAnsi="inherit"/>
          <w:sz w:val="20"/>
        </w:rPr>
      </w:r>
    </w:p>
    <w:p>
      <w:pPr>
        <w:pStyle w:val="TextBody"/>
        <w:spacing w:lineRule="auto" w:line="288" w:before="0" w:after="0"/>
        <w:ind w:left="0" w:right="0" w:firstLine="720"/>
        <w:jc w:val="both"/>
        <w:rPr>
          <w:sz w:val="20"/>
        </w:rPr>
      </w:pPr>
      <w:r>
        <w:rPr>
          <w:rFonts w:ascii="inherit" w:hAnsi="inherit"/>
          <w:sz w:val="20"/>
        </w:rPr>
        <w:t>We have acted as counsel for EZCORP, Inc., a Delaware corporation (the “</w:t>
      </w:r>
      <w:r>
        <w:rPr>
          <w:rFonts w:ascii="inherit" w:hAnsi="inherit"/>
          <w:sz w:val="20"/>
          <w:u w:val="single"/>
        </w:rPr>
        <w:t>Company</w:t>
      </w:r>
      <w:r>
        <w:rPr>
          <w:sz w:val="20"/>
        </w:rPr>
        <w:t>”</w:t>
      </w:r>
      <w:r>
        <w:rPr>
          <w:rFonts w:ascii="inherit" w:hAnsi="inherit"/>
          <w:sz w:val="20"/>
        </w:rPr>
        <w:t>), in connection with the registration under the Securities Act of 1933 (the “</w:t>
      </w:r>
      <w:r>
        <w:rPr>
          <w:rFonts w:ascii="inherit" w:hAnsi="inherit"/>
          <w:sz w:val="20"/>
          <w:u w:val="single"/>
        </w:rPr>
        <w:t>Securities Act</w:t>
      </w:r>
      <w:r>
        <w:rPr>
          <w:sz w:val="20"/>
        </w:rPr>
        <w:t>”</w:t>
      </w:r>
      <w:r>
        <w:rPr>
          <w:rFonts w:ascii="inherit" w:hAnsi="inherit"/>
          <w:sz w:val="20"/>
        </w:rPr>
        <w:t>), pursuant to the Company’s Registration Statement on Form S-3 (the “</w:t>
      </w:r>
      <w:r>
        <w:rPr>
          <w:rFonts w:ascii="inherit" w:hAnsi="inherit"/>
          <w:sz w:val="20"/>
          <w:u w:val="single"/>
        </w:rPr>
        <w:t>Registration Statement</w:t>
      </w:r>
      <w:r>
        <w:rPr>
          <w:sz w:val="20"/>
        </w:rPr>
        <w:t>”</w:t>
      </w:r>
      <w:r>
        <w:rPr>
          <w:rFonts w:ascii="inherit" w:hAnsi="inherit"/>
          <w:sz w:val="20"/>
        </w:rPr>
        <w:t>) being filed on the date hereof with the Securities and Exchange Commission (the “</w:t>
      </w:r>
      <w:r>
        <w:rPr>
          <w:rFonts w:ascii="inherit" w:hAnsi="inherit"/>
          <w:sz w:val="20"/>
          <w:u w:val="single"/>
        </w:rPr>
        <w:t>Commission</w:t>
      </w:r>
      <w:r>
        <w:rPr>
          <w:sz w:val="20"/>
        </w:rPr>
        <w:t>”</w:t>
      </w:r>
      <w:r>
        <w:rPr>
          <w:rFonts w:ascii="inherit" w:hAnsi="inherit"/>
          <w:sz w:val="20"/>
        </w:rPr>
        <w:t>), of the resale of up to 300,000 shares (the “</w:t>
      </w:r>
      <w:r>
        <w:rPr>
          <w:rFonts w:ascii="inherit" w:hAnsi="inherit"/>
          <w:sz w:val="20"/>
          <w:u w:val="single"/>
        </w:rPr>
        <w:t>Shares</w:t>
      </w:r>
      <w:r>
        <w:rPr>
          <w:sz w:val="20"/>
        </w:rPr>
        <w:t>”</w:t>
      </w:r>
      <w:r>
        <w:rPr>
          <w:rFonts w:ascii="inherit" w:hAnsi="inherit"/>
          <w:sz w:val="20"/>
        </w:rPr>
        <w:t>) of Class A Non-Voting Common Stock, $.01 par value per share, of the Company by the selling stockholder named in the Registration Statement.</w:t>
      </w:r>
    </w:p>
    <w:p>
      <w:pPr>
        <w:pStyle w:val="TextBody"/>
        <w:spacing w:lineRule="auto" w:line="288" w:before="0" w:after="0"/>
        <w:ind w:left="0" w:right="0" w:firstLine="720"/>
        <w:jc w:val="both"/>
        <w:rPr>
          <w:rFonts w:ascii="inherit" w:hAnsi="inherit"/>
          <w:sz w:val="20"/>
        </w:rPr>
      </w:pPr>
      <w:r>
        <w:rPr>
          <w:rFonts w:ascii="inherit" w:hAnsi="inherit"/>
          <w:sz w:val="20"/>
        </w:rPr>
        <w:t xml:space="preserve">In rendering the opinion set forth below, we have reviewed and relied upon (i) the Registration Statement, (ii) the Amended and Restated Certificate of Incorporation of the Company, as filed with the Secretary of State of the State of Delaware, (iii) the By-Laws of the Company, (iv) certain resolutions adopted by the Board of Directors of the Company relating to the Registration Statement and (v) such other certificates, statutes, documents and records as we have deemed necessary and relevant for the purpose of rendering the opinion set forth below. In addition, we have reviewed such questions of law as we considered necessary or appropriate. As to matters of fact relevant to the opinions expressed below, and as to factual matters arising in connection with our examination of corporate documents, records and other documents and writings, we have relied upon certificates and other communications of officers and employees of the Company, without further investigation as to the facts set forth therein. </w:t>
      </w:r>
    </w:p>
    <w:p>
      <w:pPr>
        <w:pStyle w:val="TextBody"/>
        <w:spacing w:lineRule="auto" w:line="288" w:before="0" w:after="0"/>
        <w:ind w:left="0" w:right="0" w:firstLine="720"/>
        <w:jc w:val="both"/>
        <w:rPr>
          <w:rFonts w:ascii="inherit" w:hAnsi="inherit"/>
          <w:sz w:val="20"/>
        </w:rPr>
      </w:pPr>
      <w:r>
        <w:rPr>
          <w:rFonts w:ascii="inherit" w:hAnsi="inherit"/>
          <w:sz w:val="20"/>
        </w:rPr>
        <w:t>For purposes of rendering the opinions set forth below, we have made the following assumptions:</w:t>
      </w:r>
    </w:p>
    <w:tbl>
      <w:tblPr>
        <w:tblW w:w="10205" w:type="dxa"/>
        <w:jc w:val="left"/>
        <w:tblInd w:w="0" w:type="dxa"/>
        <w:tblCellMar>
          <w:top w:w="0" w:type="dxa"/>
          <w:left w:w="0" w:type="dxa"/>
          <w:bottom w:w="0" w:type="dxa"/>
          <w:right w:w="0" w:type="dxa"/>
        </w:tblCellMar>
      </w:tblPr>
      <w:tblGrid>
        <w:gridCol w:w="943"/>
        <w:gridCol w:w="9262"/>
      </w:tblGrid>
      <w:tr>
        <w:trPr/>
        <w:tc>
          <w:tcPr>
            <w:tcW w:w="943" w:type="dxa"/>
            <w:tcBorders/>
            <w:shd w:fill="auto" w:val="clear"/>
            <w:vAlign w:val="center"/>
          </w:tcPr>
          <w:p>
            <w:pPr>
              <w:pStyle w:val="TableContents"/>
              <w:spacing w:before="0" w:after="283"/>
              <w:rPr>
                <w:sz w:val="4"/>
                <w:szCs w:val="4"/>
              </w:rPr>
            </w:pPr>
            <w:r>
              <w:rPr>
                <w:sz w:val="4"/>
                <w:szCs w:val="4"/>
              </w:rPr>
            </w:r>
          </w:p>
        </w:tc>
        <w:tc>
          <w:tcPr>
            <w:tcW w:w="9262" w:type="dxa"/>
            <w:tcBorders/>
            <w:shd w:fill="auto" w:val="clear"/>
            <w:vAlign w:val="center"/>
          </w:tcPr>
          <w:p>
            <w:pPr>
              <w:pStyle w:val="TableContents"/>
              <w:spacing w:before="0" w:after="283"/>
              <w:rPr>
                <w:sz w:val="4"/>
                <w:szCs w:val="4"/>
              </w:rPr>
            </w:pPr>
            <w:r>
              <w:rPr>
                <w:sz w:val="4"/>
                <w:szCs w:val="4"/>
              </w:rPr>
            </w:r>
          </w:p>
        </w:tc>
      </w:tr>
      <w:tr>
        <w:trPr/>
        <w:tc>
          <w:tcPr>
            <w:tcW w:w="943" w:type="dxa"/>
            <w:tcBorders/>
            <w:shd w:fill="auto" w:val="clear"/>
            <w:vAlign w:val="center"/>
          </w:tcPr>
          <w:p>
            <w:pPr>
              <w:pStyle w:val="TableContents"/>
              <w:spacing w:lineRule="auto" w:line="288" w:before="0" w:after="0"/>
              <w:ind w:left="0" w:right="0" w:firstLine="720"/>
              <w:rPr>
                <w:rFonts w:ascii="inherit" w:hAnsi="inherit"/>
                <w:sz w:val="20"/>
              </w:rPr>
            </w:pPr>
            <w:r>
              <w:rPr>
                <w:rFonts w:ascii="inherit" w:hAnsi="inherit"/>
                <w:sz w:val="20"/>
              </w:rPr>
              <w:t>(i)</w:t>
            </w:r>
          </w:p>
        </w:tc>
        <w:tc>
          <w:tcPr>
            <w:tcW w:w="9262" w:type="dxa"/>
            <w:tcBorders/>
            <w:shd w:fill="auto" w:val="clear"/>
            <w:vAlign w:val="center"/>
          </w:tcPr>
          <w:p>
            <w:pPr>
              <w:pStyle w:val="TableContents"/>
              <w:spacing w:lineRule="auto" w:line="288" w:before="0" w:after="0"/>
              <w:jc w:val="both"/>
              <w:rPr>
                <w:rFonts w:ascii="inherit" w:hAnsi="inherit"/>
                <w:sz w:val="20"/>
              </w:rPr>
            </w:pPr>
            <w:r>
              <w:rPr>
                <w:rFonts w:ascii="inherit" w:hAnsi="inherit"/>
                <w:sz w:val="20"/>
              </w:rPr>
              <w:t xml:space="preserve">the Registration Statement, and any amendments thereto (including post-effective amendments), will have become effective; </w:t>
            </w:r>
          </w:p>
        </w:tc>
      </w:tr>
    </w:tbl>
    <w:tbl>
      <w:tblPr>
        <w:tblW w:w="10205" w:type="dxa"/>
        <w:jc w:val="left"/>
        <w:tblInd w:w="0" w:type="dxa"/>
        <w:tblCellMar>
          <w:top w:w="0" w:type="dxa"/>
          <w:left w:w="0" w:type="dxa"/>
          <w:bottom w:w="0" w:type="dxa"/>
          <w:right w:w="0" w:type="dxa"/>
        </w:tblCellMar>
      </w:tblPr>
      <w:tblGrid>
        <w:gridCol w:w="976"/>
        <w:gridCol w:w="9229"/>
      </w:tblGrid>
      <w:tr>
        <w:trPr/>
        <w:tc>
          <w:tcPr>
            <w:tcW w:w="976" w:type="dxa"/>
            <w:tcBorders/>
            <w:shd w:fill="auto" w:val="clear"/>
            <w:vAlign w:val="center"/>
          </w:tcPr>
          <w:p>
            <w:pPr>
              <w:pStyle w:val="TableContents"/>
              <w:spacing w:before="0" w:after="283"/>
              <w:rPr>
                <w:sz w:val="4"/>
                <w:szCs w:val="4"/>
              </w:rPr>
            </w:pPr>
            <w:r>
              <w:rPr>
                <w:sz w:val="4"/>
                <w:szCs w:val="4"/>
              </w:rPr>
            </w:r>
          </w:p>
        </w:tc>
        <w:tc>
          <w:tcPr>
            <w:tcW w:w="9229" w:type="dxa"/>
            <w:tcBorders/>
            <w:shd w:fill="auto" w:val="clear"/>
            <w:vAlign w:val="center"/>
          </w:tcPr>
          <w:p>
            <w:pPr>
              <w:pStyle w:val="TableContents"/>
              <w:spacing w:before="0" w:after="283"/>
              <w:rPr>
                <w:sz w:val="4"/>
                <w:szCs w:val="4"/>
              </w:rPr>
            </w:pPr>
            <w:r>
              <w:rPr>
                <w:sz w:val="4"/>
                <w:szCs w:val="4"/>
              </w:rPr>
            </w:r>
          </w:p>
        </w:tc>
      </w:tr>
      <w:tr>
        <w:trPr/>
        <w:tc>
          <w:tcPr>
            <w:tcW w:w="976" w:type="dxa"/>
            <w:tcBorders/>
            <w:shd w:fill="auto" w:val="clear"/>
            <w:vAlign w:val="center"/>
          </w:tcPr>
          <w:p>
            <w:pPr>
              <w:pStyle w:val="TableContents"/>
              <w:spacing w:lineRule="auto" w:line="288" w:before="0" w:after="0"/>
              <w:ind w:left="0" w:right="0" w:firstLine="720"/>
              <w:rPr>
                <w:rFonts w:ascii="inherit" w:hAnsi="inherit"/>
                <w:sz w:val="20"/>
              </w:rPr>
            </w:pPr>
            <w:r>
              <w:rPr>
                <w:rFonts w:ascii="inherit" w:hAnsi="inherit"/>
                <w:sz w:val="20"/>
              </w:rPr>
              <w:t>(ii)</w:t>
            </w:r>
          </w:p>
        </w:tc>
        <w:tc>
          <w:tcPr>
            <w:tcW w:w="9229" w:type="dxa"/>
            <w:tcBorders/>
            <w:shd w:fill="auto" w:val="clear"/>
            <w:vAlign w:val="center"/>
          </w:tcPr>
          <w:p>
            <w:pPr>
              <w:pStyle w:val="TableContents"/>
              <w:spacing w:lineRule="auto" w:line="288" w:before="0" w:after="0"/>
              <w:jc w:val="both"/>
              <w:rPr>
                <w:rFonts w:ascii="inherit" w:hAnsi="inherit"/>
                <w:sz w:val="20"/>
              </w:rPr>
            </w:pPr>
            <w:r>
              <w:rPr>
                <w:rFonts w:ascii="inherit" w:hAnsi="inherit"/>
                <w:sz w:val="20"/>
              </w:rPr>
              <w:t xml:space="preserve">each document submitted to us for review is accurate and complete, each such document that is an original is authentic, each such document that is a copy conforms to an authentic original, and all signatures on each such document are genuine; </w:t>
            </w:r>
          </w:p>
        </w:tc>
      </w:tr>
    </w:tbl>
    <w:p>
      <w:pPr>
        <w:pStyle w:val="TextBody"/>
        <w:spacing w:lineRule="auto" w:line="288" w:before="0" w:after="0"/>
        <w:jc w:val="left"/>
        <w:rPr>
          <w:rFonts w:ascii="inherit" w:hAnsi="inherit"/>
          <w:sz w:val="15"/>
        </w:rPr>
      </w:pPr>
      <w:r>
        <w:rPr>
          <w:rFonts w:ascii="inherit" w:hAnsi="inherit"/>
          <w:sz w:val="15"/>
        </w:rPr>
      </w:r>
    </w:p>
    <w:tbl>
      <w:tblPr>
        <w:tblW w:w="10205" w:type="dxa"/>
        <w:jc w:val="left"/>
        <w:tblInd w:w="0" w:type="dxa"/>
        <w:tblCellMar>
          <w:top w:w="0" w:type="dxa"/>
          <w:left w:w="0" w:type="dxa"/>
          <w:bottom w:w="0" w:type="dxa"/>
          <w:right w:w="0" w:type="dxa"/>
        </w:tblCellMar>
      </w:tblPr>
      <w:tblGrid>
        <w:gridCol w:w="1076"/>
        <w:gridCol w:w="9129"/>
      </w:tblGrid>
      <w:tr>
        <w:trPr/>
        <w:tc>
          <w:tcPr>
            <w:tcW w:w="1076" w:type="dxa"/>
            <w:tcBorders/>
            <w:shd w:fill="auto" w:val="clear"/>
            <w:vAlign w:val="center"/>
          </w:tcPr>
          <w:p>
            <w:pPr>
              <w:pStyle w:val="TableContents"/>
              <w:spacing w:before="0" w:after="283"/>
              <w:rPr>
                <w:sz w:val="4"/>
                <w:szCs w:val="4"/>
              </w:rPr>
            </w:pPr>
            <w:r>
              <w:rPr>
                <w:sz w:val="4"/>
                <w:szCs w:val="4"/>
              </w:rPr>
            </w:r>
          </w:p>
        </w:tc>
        <w:tc>
          <w:tcPr>
            <w:tcW w:w="9129" w:type="dxa"/>
            <w:tcBorders/>
            <w:shd w:fill="auto" w:val="clear"/>
            <w:vAlign w:val="center"/>
          </w:tcPr>
          <w:p>
            <w:pPr>
              <w:pStyle w:val="TableContents"/>
              <w:spacing w:before="0" w:after="283"/>
              <w:rPr>
                <w:sz w:val="4"/>
                <w:szCs w:val="4"/>
              </w:rPr>
            </w:pPr>
            <w:r>
              <w:rPr>
                <w:sz w:val="4"/>
                <w:szCs w:val="4"/>
              </w:rPr>
            </w:r>
          </w:p>
        </w:tc>
      </w:tr>
      <w:tr>
        <w:trPr/>
        <w:tc>
          <w:tcPr>
            <w:tcW w:w="1076" w:type="dxa"/>
            <w:tcBorders/>
            <w:shd w:fill="auto" w:val="clear"/>
            <w:vAlign w:val="center"/>
          </w:tcPr>
          <w:p>
            <w:pPr>
              <w:pStyle w:val="TableContents"/>
              <w:spacing w:lineRule="auto" w:line="288" w:before="0" w:after="0"/>
              <w:ind w:left="0" w:right="0" w:firstLine="720"/>
              <w:rPr>
                <w:rFonts w:ascii="inherit" w:hAnsi="inherit"/>
                <w:sz w:val="20"/>
              </w:rPr>
            </w:pPr>
            <w:r>
              <w:rPr>
                <w:rFonts w:ascii="inherit" w:hAnsi="inherit"/>
                <w:sz w:val="20"/>
              </w:rPr>
              <w:t>(iii)</w:t>
            </w:r>
          </w:p>
        </w:tc>
        <w:tc>
          <w:tcPr>
            <w:tcW w:w="9129" w:type="dxa"/>
            <w:tcBorders/>
            <w:shd w:fill="auto" w:val="clear"/>
            <w:vAlign w:val="center"/>
          </w:tcPr>
          <w:p>
            <w:pPr>
              <w:pStyle w:val="TableContents"/>
              <w:spacing w:lineRule="auto" w:line="288" w:before="0" w:after="0"/>
              <w:jc w:val="both"/>
              <w:rPr>
                <w:rFonts w:ascii="inherit" w:hAnsi="inherit"/>
                <w:sz w:val="20"/>
              </w:rPr>
            </w:pPr>
            <w:r>
              <w:rPr>
                <w:rFonts w:ascii="inherit" w:hAnsi="inherit"/>
                <w:sz w:val="20"/>
              </w:rPr>
              <w:t>each person signing the documents that we examined has the legal capacity and authority to do so; and</w:t>
            </w:r>
          </w:p>
        </w:tc>
      </w:tr>
    </w:tbl>
    <w:p>
      <w:pPr>
        <w:pStyle w:val="TextBody"/>
        <w:spacing w:lineRule="auto" w:line="288" w:before="0" w:after="0"/>
        <w:jc w:val="left"/>
        <w:rPr>
          <w:rFonts w:ascii="inherit" w:hAnsi="inherit"/>
          <w:sz w:val="15"/>
        </w:rPr>
      </w:pPr>
      <w:r>
        <w:rPr>
          <w:rFonts w:ascii="inherit" w:hAnsi="inherit"/>
          <w:sz w:val="15"/>
        </w:rPr>
      </w:r>
    </w:p>
    <w:tbl>
      <w:tblPr>
        <w:tblW w:w="10205" w:type="dxa"/>
        <w:jc w:val="left"/>
        <w:tblInd w:w="0" w:type="dxa"/>
        <w:tblCellMar>
          <w:top w:w="0" w:type="dxa"/>
          <w:left w:w="0" w:type="dxa"/>
          <w:bottom w:w="0" w:type="dxa"/>
          <w:right w:w="0" w:type="dxa"/>
        </w:tblCellMar>
      </w:tblPr>
      <w:tblGrid>
        <w:gridCol w:w="1075"/>
        <w:gridCol w:w="9130"/>
      </w:tblGrid>
      <w:tr>
        <w:trPr/>
        <w:tc>
          <w:tcPr>
            <w:tcW w:w="1075" w:type="dxa"/>
            <w:tcBorders/>
            <w:shd w:fill="auto" w:val="clear"/>
            <w:vAlign w:val="center"/>
          </w:tcPr>
          <w:p>
            <w:pPr>
              <w:pStyle w:val="TableContents"/>
              <w:spacing w:before="0" w:after="283"/>
              <w:rPr>
                <w:sz w:val="4"/>
                <w:szCs w:val="4"/>
              </w:rPr>
            </w:pPr>
            <w:r>
              <w:rPr>
                <w:sz w:val="4"/>
                <w:szCs w:val="4"/>
              </w:rPr>
            </w:r>
          </w:p>
        </w:tc>
        <w:tc>
          <w:tcPr>
            <w:tcW w:w="9130" w:type="dxa"/>
            <w:tcBorders/>
            <w:shd w:fill="auto" w:val="clear"/>
            <w:vAlign w:val="center"/>
          </w:tcPr>
          <w:p>
            <w:pPr>
              <w:pStyle w:val="TableContents"/>
              <w:spacing w:before="0" w:after="283"/>
              <w:rPr>
                <w:sz w:val="4"/>
                <w:szCs w:val="4"/>
              </w:rPr>
            </w:pPr>
            <w:r>
              <w:rPr>
                <w:sz w:val="4"/>
                <w:szCs w:val="4"/>
              </w:rPr>
            </w:r>
          </w:p>
        </w:tc>
      </w:tr>
      <w:tr>
        <w:trPr/>
        <w:tc>
          <w:tcPr>
            <w:tcW w:w="1075" w:type="dxa"/>
            <w:tcBorders/>
            <w:shd w:fill="auto" w:val="clear"/>
            <w:vAlign w:val="center"/>
          </w:tcPr>
          <w:p>
            <w:pPr>
              <w:pStyle w:val="TableContents"/>
              <w:spacing w:lineRule="auto" w:line="288" w:before="0" w:after="0"/>
              <w:ind w:left="0" w:right="0" w:firstLine="720"/>
              <w:rPr>
                <w:rFonts w:ascii="inherit" w:hAnsi="inherit"/>
                <w:b/>
                <w:sz w:val="20"/>
              </w:rPr>
            </w:pPr>
            <w:r>
              <w:rPr>
                <w:rFonts w:ascii="inherit" w:hAnsi="inherit"/>
                <w:b/>
                <w:sz w:val="20"/>
              </w:rPr>
              <w:t>(iv)</w:t>
            </w:r>
          </w:p>
        </w:tc>
        <w:tc>
          <w:tcPr>
            <w:tcW w:w="9130" w:type="dxa"/>
            <w:tcBorders/>
            <w:shd w:fill="auto" w:val="clear"/>
            <w:vAlign w:val="center"/>
          </w:tcPr>
          <w:p>
            <w:pPr>
              <w:pStyle w:val="TableContents"/>
              <w:spacing w:lineRule="auto" w:line="288" w:before="0" w:after="0"/>
              <w:jc w:val="both"/>
              <w:rPr>
                <w:rFonts w:ascii="inherit" w:hAnsi="inherit"/>
                <w:sz w:val="20"/>
              </w:rPr>
            </w:pPr>
            <w:r>
              <w:rPr>
                <w:rFonts w:ascii="inherit" w:hAnsi="inherit"/>
                <w:sz w:val="20"/>
              </w:rPr>
              <w:t>each certificate from governmental officials reviewed by us is accurate, complete and authentic, and all official public records are accurate and complete.</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8085"/>
        <w:gridCol w:w="2120"/>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8085" w:type="dxa"/>
            <w:tcBorders/>
            <w:shd w:fill="auto" w:val="clear"/>
            <w:vAlign w:val="center"/>
          </w:tcPr>
          <w:p>
            <w:pPr>
              <w:pStyle w:val="TableContents"/>
              <w:spacing w:before="0" w:after="283"/>
              <w:rPr>
                <w:sz w:val="4"/>
                <w:szCs w:val="4"/>
              </w:rPr>
            </w:pPr>
            <w:r>
              <w:rPr>
                <w:sz w:val="4"/>
                <w:szCs w:val="4"/>
              </w:rPr>
            </w:r>
          </w:p>
        </w:tc>
        <w:tc>
          <w:tcPr>
            <w:tcW w:w="212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8085" w:type="dxa"/>
            <w:tcBorders/>
            <w:shd w:fill="auto" w:val="clear"/>
            <w:vAlign w:val="center"/>
          </w:tcPr>
          <w:p>
            <w:pPr>
              <w:pStyle w:val="TableContents"/>
              <w:spacing w:before="0" w:after="0"/>
              <w:rPr>
                <w:rFonts w:ascii="Arial" w:hAnsi="Arial"/>
                <w:b/>
                <w:sz w:val="12"/>
              </w:rPr>
            </w:pPr>
            <w:r>
              <w:rPr>
                <w:rFonts w:ascii="Arial" w:hAnsi="Arial"/>
                <w:b/>
                <w:sz w:val="12"/>
              </w:rPr>
              <w:t>Vinson &amp; Elkins LLP Attorneys at Law</w:t>
            </w:r>
          </w:p>
          <w:p>
            <w:pPr>
              <w:pStyle w:val="TableContents"/>
              <w:spacing w:before="0" w:after="0"/>
              <w:rPr>
                <w:rFonts w:ascii="Arial" w:hAnsi="Arial"/>
                <w:sz w:val="12"/>
              </w:rPr>
            </w:pPr>
            <w:r>
              <w:rPr>
                <w:rFonts w:ascii="Arial" w:hAnsi="Arial"/>
                <w:sz w:val="12"/>
              </w:rPr>
              <w:t>Abu Dhabi Austin Beijing Dallas Dubai Hong Kong Houston London Moscow</w:t>
            </w:r>
          </w:p>
          <w:p>
            <w:pPr>
              <w:pStyle w:val="TableContents"/>
              <w:spacing w:before="0" w:after="0"/>
              <w:rPr>
                <w:rFonts w:ascii="Arial" w:hAnsi="Arial"/>
                <w:sz w:val="12"/>
              </w:rPr>
            </w:pPr>
            <w:r>
              <w:rPr>
                <w:rFonts w:ascii="Arial" w:hAnsi="Arial"/>
                <w:sz w:val="12"/>
              </w:rPr>
              <w:t>New York Palo Alto Riyadh San Francisco Shanghai Tokyo Washington</w:t>
            </w:r>
          </w:p>
          <w:p>
            <w:pPr>
              <w:pStyle w:val="TableContents"/>
              <w:spacing w:before="0" w:after="0"/>
              <w:rPr>
                <w:rFonts w:ascii="inherit" w:hAnsi="inherit"/>
                <w:sz w:val="15"/>
              </w:rPr>
            </w:pPr>
            <w:r>
              <w:rPr>
                <w:rFonts w:ascii="inherit" w:hAnsi="inherit"/>
                <w:sz w:val="15"/>
              </w:rPr>
            </w:r>
          </w:p>
          <w:p>
            <w:pPr>
              <w:pStyle w:val="TableContents"/>
              <w:spacing w:before="0" w:after="0"/>
              <w:rPr>
                <w:rFonts w:ascii="inherit" w:hAnsi="inherit"/>
                <w:sz w:val="15"/>
              </w:rPr>
            </w:pPr>
            <w:r>
              <w:rPr>
                <w:rFonts w:ascii="inherit" w:hAnsi="inherit"/>
                <w:sz w:val="15"/>
              </w:rPr>
            </w:r>
          </w:p>
          <w:p>
            <w:pPr>
              <w:pStyle w:val="TableContents"/>
              <w:spacing w:before="0" w:after="0"/>
              <w:ind w:left="0" w:right="0" w:firstLine="30"/>
              <w:jc w:val="both"/>
              <w:rPr>
                <w:rFonts w:ascii="Arial" w:hAnsi="Arial"/>
                <w:sz w:val="12"/>
              </w:rPr>
            </w:pPr>
            <w:r>
              <w:rPr>
                <w:rFonts w:ascii="Arial" w:hAnsi="Arial"/>
                <w:sz w:val="12"/>
              </w:rPr>
            </w:r>
          </w:p>
        </w:tc>
        <w:tc>
          <w:tcPr>
            <w:tcW w:w="2120" w:type="dxa"/>
            <w:tcBorders/>
            <w:shd w:fill="auto" w:val="clear"/>
            <w:vAlign w:val="center"/>
          </w:tcPr>
          <w:p>
            <w:pPr>
              <w:pStyle w:val="TableContents"/>
              <w:spacing w:before="0" w:after="0"/>
              <w:jc w:val="left"/>
              <w:rPr>
                <w:rFonts w:ascii="Arial" w:hAnsi="Arial"/>
                <w:sz w:val="12"/>
              </w:rPr>
            </w:pPr>
            <w:r>
              <w:rPr>
                <w:rFonts w:ascii="Arial" w:hAnsi="Arial"/>
                <w:sz w:val="12"/>
              </w:rPr>
              <w:t>Trammell Crow Center, 2001 Ross Avenue, Suite 3700</w:t>
            </w:r>
          </w:p>
          <w:p>
            <w:pPr>
              <w:pStyle w:val="TableContents"/>
              <w:spacing w:before="0" w:after="0"/>
              <w:jc w:val="left"/>
              <w:rPr>
                <w:rFonts w:ascii="Arial" w:hAnsi="Arial"/>
                <w:sz w:val="12"/>
              </w:rPr>
            </w:pPr>
            <w:r>
              <w:rPr>
                <w:rFonts w:ascii="Arial" w:hAnsi="Arial"/>
                <w:sz w:val="12"/>
              </w:rPr>
              <w:t xml:space="preserve">Dallas, TX 75201-2975 </w:t>
            </w:r>
          </w:p>
          <w:p>
            <w:pPr>
              <w:pStyle w:val="TableContents"/>
              <w:spacing w:before="0" w:after="0"/>
              <w:jc w:val="left"/>
              <w:rPr>
                <w:sz w:val="12"/>
              </w:rPr>
            </w:pPr>
            <w:r>
              <w:rPr>
                <w:rFonts w:ascii="Arial" w:hAnsi="Arial"/>
                <w:b/>
                <w:sz w:val="12"/>
              </w:rPr>
              <w:t>Tel</w:t>
            </w:r>
            <w:r>
              <w:rPr>
                <w:sz w:val="12"/>
              </w:rPr>
              <w:t> </w:t>
            </w:r>
            <w:r>
              <w:rPr>
                <w:rFonts w:ascii="Arial" w:hAnsi="Arial"/>
                <w:sz w:val="12"/>
              </w:rPr>
              <w:t xml:space="preserve">+1.214.220.7700 </w:t>
            </w:r>
            <w:r>
              <w:rPr>
                <w:rFonts w:ascii="Arial" w:hAnsi="Arial"/>
                <w:b/>
                <w:sz w:val="12"/>
              </w:rPr>
              <w:t>Fax</w:t>
            </w:r>
            <w:r>
              <w:rPr>
                <w:sz w:val="12"/>
              </w:rPr>
              <w:t> </w:t>
            </w:r>
            <w:r>
              <w:rPr>
                <w:rFonts w:ascii="Arial" w:hAnsi="Arial"/>
                <w:sz w:val="12"/>
              </w:rPr>
              <w:t xml:space="preserve">+1.214.220.7716 </w:t>
            </w:r>
            <w:r>
              <w:rPr>
                <w:sz w:val="12"/>
              </w:rPr>
              <w:t> </w:t>
            </w:r>
            <w:r>
              <w:rPr>
                <w:rFonts w:ascii="Arial" w:hAnsi="Arial"/>
                <w:b/>
                <w:sz w:val="12"/>
              </w:rPr>
              <w:t>www.velaw.com</w:t>
            </w:r>
          </w:p>
        </w:tc>
      </w:tr>
    </w:tbl>
    <w:p>
      <w:pPr>
        <w:pStyle w:val="TextBody"/>
        <w:spacing w:lineRule="auto" w:line="288"/>
        <w:jc w:val="both"/>
        <w:rPr>
          <w:rFonts w:ascii="inherit" w:hAnsi="inherit"/>
          <w:sz w:val="20"/>
        </w:rPr>
      </w:pPr>
      <w:r>
        <w:rPr>
          <w:rFonts w:ascii="inherit" w:hAnsi="inherit"/>
          <w:sz w:val="20"/>
        </w:rPr>
      </w:r>
      <w:r>
        <w:br w:type="page"/>
      </w:r>
    </w:p>
    <w:p>
      <w:pPr>
        <w:pStyle w:val="Normal"/>
        <w:spacing w:before="0" w:after="0"/>
        <w:ind w:left="0" w:right="0" w:hanging="0"/>
        <w:rPr>
          <w:sz w:val="4"/>
          <w:szCs w:val="4"/>
        </w:rPr>
      </w:pPr>
      <w:r>
        <w:rPr>
          <w:sz w:val="4"/>
          <w:szCs w:val="4"/>
        </w:rPr>
      </w:r>
      <w:bookmarkStart w:id="45" w:name="sEC6903E9F26B412F2A2E94D14B1727FA1"/>
      <w:bookmarkStart w:id="46" w:name="sEC6903E9F26B412F2A2E94D14B1727FA1"/>
      <w:bookmarkEnd w:id="46"/>
    </w:p>
    <w:tbl>
      <w:tblPr>
        <w:tblW w:w="4882" w:type="dxa"/>
        <w:jc w:val="center"/>
        <w:tblInd w:w="0" w:type="dxa"/>
        <w:tblCellMar>
          <w:top w:w="0" w:type="dxa"/>
          <w:left w:w="0" w:type="dxa"/>
          <w:bottom w:w="0" w:type="dxa"/>
          <w:right w:w="0" w:type="dxa"/>
        </w:tblCellMar>
      </w:tblPr>
      <w:tblGrid>
        <w:gridCol w:w="1660"/>
        <w:gridCol w:w="1611"/>
        <w:gridCol w:w="1611"/>
      </w:tblGrid>
      <w:tr>
        <w:trPr/>
        <w:tc>
          <w:tcPr>
            <w:tcW w:w="4882" w:type="dxa"/>
            <w:gridSpan w:val="3"/>
            <w:tcBorders/>
            <w:shd w:fill="auto" w:val="clear"/>
            <w:vAlign w:val="center"/>
          </w:tcPr>
          <w:p>
            <w:pPr>
              <w:pStyle w:val="TableContents"/>
              <w:spacing w:before="0" w:after="283"/>
              <w:rPr>
                <w:sz w:val="4"/>
                <w:szCs w:val="4"/>
              </w:rPr>
            </w:pPr>
            <w:r>
              <w:rPr>
                <w:sz w:val="4"/>
                <w:szCs w:val="4"/>
              </w:rPr>
            </w:r>
          </w:p>
        </w:tc>
      </w:tr>
      <w:tr>
        <w:trPr/>
        <w:tc>
          <w:tcPr>
            <w:tcW w:w="1660" w:type="dxa"/>
            <w:tcBorders/>
            <w:shd w:fill="auto" w:val="clear"/>
            <w:vAlign w:val="center"/>
          </w:tcPr>
          <w:p>
            <w:pPr>
              <w:pStyle w:val="TableContents"/>
              <w:spacing w:before="0" w:after="283"/>
              <w:rPr>
                <w:sz w:val="4"/>
                <w:szCs w:val="4"/>
              </w:rPr>
            </w:pPr>
            <w:r>
              <w:rPr>
                <w:sz w:val="4"/>
                <w:szCs w:val="4"/>
              </w:rPr>
            </w:r>
          </w:p>
        </w:tc>
        <w:tc>
          <w:tcPr>
            <w:tcW w:w="1611" w:type="dxa"/>
            <w:tcBorders/>
            <w:shd w:fill="auto" w:val="clear"/>
            <w:vAlign w:val="center"/>
          </w:tcPr>
          <w:p>
            <w:pPr>
              <w:pStyle w:val="TableContents"/>
              <w:spacing w:before="0" w:after="283"/>
              <w:rPr>
                <w:sz w:val="4"/>
                <w:szCs w:val="4"/>
              </w:rPr>
            </w:pPr>
            <w:r>
              <w:rPr>
                <w:sz w:val="4"/>
                <w:szCs w:val="4"/>
              </w:rPr>
            </w:r>
          </w:p>
        </w:tc>
        <w:tc>
          <w:tcPr>
            <w:tcW w:w="161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660" w:type="dxa"/>
            <w:tcBorders/>
            <w:shd w:fill="auto" w:val="clear"/>
            <w:vAlign w:val="center"/>
          </w:tcPr>
          <w:p>
            <w:pPr>
              <w:pStyle w:val="TableContents"/>
              <w:spacing w:before="0" w:after="0"/>
              <w:ind w:left="0" w:right="0" w:firstLine="30"/>
              <w:jc w:val="both"/>
              <w:rPr/>
            </w:pPr>
            <w:r>
              <w:rPr/>
              <w:drawing>
                <wp:inline distT="0" distB="0" distL="0" distR="0">
                  <wp:extent cx="1009650" cy="390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09650" cy="390525"/>
                          </a:xfrm>
                          <a:prstGeom prst="rect">
                            <a:avLst/>
                          </a:prstGeom>
                        </pic:spPr>
                      </pic:pic>
                    </a:graphicData>
                  </a:graphic>
                </wp:inline>
              </w:drawing>
            </w:r>
          </w:p>
        </w:tc>
        <w:tc>
          <w:tcPr>
            <w:tcW w:w="1611" w:type="dxa"/>
            <w:tcBorders/>
            <w:shd w:fill="auto" w:val="clear"/>
            <w:vAlign w:val="center"/>
          </w:tcPr>
          <w:p>
            <w:pPr>
              <w:pStyle w:val="TableContents"/>
              <w:spacing w:before="0" w:after="0"/>
              <w:ind w:left="0" w:right="0" w:firstLine="30"/>
              <w:rPr/>
            </w:pPr>
            <w:r>
              <w:rPr/>
              <w:t> </w:t>
            </w:r>
          </w:p>
        </w:tc>
        <w:tc>
          <w:tcPr>
            <w:tcW w:w="1611" w:type="dxa"/>
            <w:tcBorders/>
            <w:shd w:fill="auto" w:val="clear"/>
            <w:vAlign w:val="center"/>
          </w:tcPr>
          <w:p>
            <w:pPr>
              <w:pStyle w:val="TableContents"/>
              <w:spacing w:before="0" w:after="0"/>
              <w:jc w:val="right"/>
              <w:rPr>
                <w:rFonts w:ascii="Arial" w:hAnsi="Arial"/>
                <w:sz w:val="12"/>
              </w:rPr>
            </w:pPr>
            <w:r>
              <w:rPr>
                <w:rFonts w:ascii="Arial" w:hAnsi="Arial"/>
                <w:sz w:val="12"/>
              </w:rPr>
              <w:t>October 8, 2013 Page 2</w:t>
            </w:r>
          </w:p>
          <w:p>
            <w:pPr>
              <w:pStyle w:val="TableContents"/>
              <w:spacing w:before="0" w:after="0"/>
              <w:jc w:val="right"/>
              <w:rPr>
                <w:rFonts w:ascii="Arial" w:hAnsi="Arial"/>
                <w:sz w:val="12"/>
              </w:rPr>
            </w:pPr>
            <w:r>
              <w:rPr>
                <w:rFonts w:ascii="Arial" w:hAnsi="Arial"/>
                <w:sz w:val="12"/>
              </w:rPr>
            </w:r>
          </w:p>
        </w:tc>
      </w:tr>
    </w:tbl>
    <w:p>
      <w:pPr>
        <w:pStyle w:val="TextBody"/>
        <w:spacing w:before="0" w:after="0"/>
        <w:rPr/>
      </w:pPr>
      <w:r>
        <w:rPr/>
      </w:r>
    </w:p>
    <w:p>
      <w:pPr>
        <w:pStyle w:val="TextBody"/>
        <w:spacing w:lineRule="auto" w:line="288" w:before="0" w:after="0"/>
        <w:ind w:left="0" w:right="0" w:firstLine="720"/>
        <w:jc w:val="both"/>
        <w:rPr>
          <w:rFonts w:ascii="inherit" w:hAnsi="inherit"/>
          <w:sz w:val="20"/>
        </w:rPr>
      </w:pPr>
      <w:r>
        <w:rPr>
          <w:rFonts w:ascii="inherit" w:hAnsi="inherit"/>
          <w:sz w:val="20"/>
        </w:rPr>
        <w:t>Based upon and subject to the foregoing, and subject to the qualifications and limitations set forth herein, we are of the opinion that the Shares have been validly issued and are fully paid and non-assessable.</w:t>
      </w:r>
    </w:p>
    <w:p>
      <w:pPr>
        <w:pStyle w:val="TextBody"/>
        <w:spacing w:lineRule="auto" w:line="288" w:before="0" w:after="0"/>
        <w:ind w:left="0" w:right="0" w:firstLine="720"/>
        <w:jc w:val="both"/>
        <w:rPr>
          <w:rFonts w:ascii="inherit" w:hAnsi="inherit"/>
          <w:sz w:val="20"/>
        </w:rPr>
      </w:pPr>
      <w:r>
        <w:rPr>
          <w:rFonts w:ascii="inherit" w:hAnsi="inherit"/>
          <w:sz w:val="20"/>
        </w:rPr>
        <w:t>Our opinion is qualified in the following respects:</w:t>
      </w:r>
    </w:p>
    <w:tbl>
      <w:tblPr>
        <w:tblW w:w="10205" w:type="dxa"/>
        <w:jc w:val="left"/>
        <w:tblInd w:w="0" w:type="dxa"/>
        <w:tblCellMar>
          <w:top w:w="0" w:type="dxa"/>
          <w:left w:w="0" w:type="dxa"/>
          <w:bottom w:w="0" w:type="dxa"/>
          <w:right w:w="0" w:type="dxa"/>
        </w:tblCellMar>
      </w:tblPr>
      <w:tblGrid>
        <w:gridCol w:w="918"/>
        <w:gridCol w:w="9287"/>
      </w:tblGrid>
      <w:tr>
        <w:trPr/>
        <w:tc>
          <w:tcPr>
            <w:tcW w:w="918" w:type="dxa"/>
            <w:tcBorders/>
            <w:shd w:fill="auto" w:val="clear"/>
            <w:vAlign w:val="center"/>
          </w:tcPr>
          <w:p>
            <w:pPr>
              <w:pStyle w:val="TableContents"/>
              <w:spacing w:before="0" w:after="283"/>
              <w:rPr>
                <w:sz w:val="4"/>
                <w:szCs w:val="4"/>
              </w:rPr>
            </w:pPr>
            <w:r>
              <w:rPr>
                <w:sz w:val="4"/>
                <w:szCs w:val="4"/>
              </w:rPr>
            </w:r>
          </w:p>
        </w:tc>
        <w:tc>
          <w:tcPr>
            <w:tcW w:w="9287" w:type="dxa"/>
            <w:tcBorders/>
            <w:shd w:fill="auto" w:val="clear"/>
            <w:vAlign w:val="center"/>
          </w:tcPr>
          <w:p>
            <w:pPr>
              <w:pStyle w:val="TableContents"/>
              <w:spacing w:before="0" w:after="283"/>
              <w:rPr>
                <w:sz w:val="4"/>
                <w:szCs w:val="4"/>
              </w:rPr>
            </w:pPr>
            <w:r>
              <w:rPr>
                <w:sz w:val="4"/>
                <w:szCs w:val="4"/>
              </w:rPr>
            </w:r>
          </w:p>
        </w:tc>
      </w:tr>
      <w:tr>
        <w:trPr/>
        <w:tc>
          <w:tcPr>
            <w:tcW w:w="918" w:type="dxa"/>
            <w:tcBorders/>
            <w:shd w:fill="auto" w:val="clear"/>
            <w:vAlign w:val="center"/>
          </w:tcPr>
          <w:p>
            <w:pPr>
              <w:pStyle w:val="TableContents"/>
              <w:spacing w:lineRule="auto" w:line="288" w:before="0" w:after="0"/>
              <w:ind w:left="0" w:right="0" w:firstLine="720"/>
              <w:rPr>
                <w:rFonts w:ascii="inherit" w:hAnsi="inherit"/>
                <w:sz w:val="20"/>
              </w:rPr>
            </w:pPr>
            <w:r>
              <w:rPr>
                <w:rFonts w:ascii="inherit" w:hAnsi="inherit"/>
                <w:sz w:val="20"/>
              </w:rPr>
              <w:t>(i)</w:t>
            </w:r>
          </w:p>
        </w:tc>
        <w:tc>
          <w:tcPr>
            <w:tcW w:w="9287" w:type="dxa"/>
            <w:tcBorders/>
            <w:shd w:fill="auto" w:val="clear"/>
            <w:vAlign w:val="center"/>
          </w:tcPr>
          <w:p>
            <w:pPr>
              <w:pStyle w:val="TableContents"/>
              <w:spacing w:lineRule="auto" w:line="288" w:before="0" w:after="0"/>
              <w:jc w:val="both"/>
              <w:rPr>
                <w:rFonts w:ascii="inherit" w:hAnsi="inherit"/>
                <w:sz w:val="20"/>
              </w:rPr>
            </w:pPr>
            <w:r>
              <w:rPr>
                <w:rFonts w:ascii="inherit" w:hAnsi="inherit"/>
                <w:sz w:val="20"/>
              </w:rPr>
              <w:t xml:space="preserve">our opinions herein are limited in all respects to the General Corporation Law of the State of Delaware, and we are expressing no opinion as to the applicability or effect of the laws of any other jurisdiction, domestic or foreign; </w:t>
            </w:r>
          </w:p>
        </w:tc>
      </w:tr>
    </w:tbl>
    <w:tbl>
      <w:tblPr>
        <w:tblW w:w="10205" w:type="dxa"/>
        <w:jc w:val="left"/>
        <w:tblInd w:w="0" w:type="dxa"/>
        <w:tblCellMar>
          <w:top w:w="0" w:type="dxa"/>
          <w:left w:w="0" w:type="dxa"/>
          <w:bottom w:w="0" w:type="dxa"/>
          <w:right w:w="0" w:type="dxa"/>
        </w:tblCellMar>
      </w:tblPr>
      <w:tblGrid>
        <w:gridCol w:w="1003"/>
        <w:gridCol w:w="9202"/>
      </w:tblGrid>
      <w:tr>
        <w:trPr/>
        <w:tc>
          <w:tcPr>
            <w:tcW w:w="1003" w:type="dxa"/>
            <w:tcBorders/>
            <w:shd w:fill="auto" w:val="clear"/>
            <w:vAlign w:val="center"/>
          </w:tcPr>
          <w:p>
            <w:pPr>
              <w:pStyle w:val="TableContents"/>
              <w:spacing w:before="0" w:after="283"/>
              <w:rPr>
                <w:sz w:val="4"/>
                <w:szCs w:val="4"/>
              </w:rPr>
            </w:pPr>
            <w:r>
              <w:rPr>
                <w:sz w:val="4"/>
                <w:szCs w:val="4"/>
              </w:rPr>
            </w:r>
          </w:p>
        </w:tc>
        <w:tc>
          <w:tcPr>
            <w:tcW w:w="9202" w:type="dxa"/>
            <w:tcBorders/>
            <w:shd w:fill="auto" w:val="clear"/>
            <w:vAlign w:val="center"/>
          </w:tcPr>
          <w:p>
            <w:pPr>
              <w:pStyle w:val="TableContents"/>
              <w:spacing w:before="0" w:after="283"/>
              <w:rPr>
                <w:sz w:val="4"/>
                <w:szCs w:val="4"/>
              </w:rPr>
            </w:pPr>
            <w:r>
              <w:rPr>
                <w:sz w:val="4"/>
                <w:szCs w:val="4"/>
              </w:rPr>
            </w:r>
          </w:p>
        </w:tc>
      </w:tr>
      <w:tr>
        <w:trPr/>
        <w:tc>
          <w:tcPr>
            <w:tcW w:w="1003" w:type="dxa"/>
            <w:tcBorders/>
            <w:shd w:fill="auto" w:val="clear"/>
            <w:vAlign w:val="center"/>
          </w:tcPr>
          <w:p>
            <w:pPr>
              <w:pStyle w:val="TableContents"/>
              <w:spacing w:lineRule="auto" w:line="288" w:before="0" w:after="0"/>
              <w:ind w:left="0" w:right="0" w:firstLine="720"/>
              <w:rPr>
                <w:rFonts w:ascii="inherit" w:hAnsi="inherit"/>
                <w:sz w:val="20"/>
              </w:rPr>
            </w:pPr>
            <w:r>
              <w:rPr>
                <w:rFonts w:ascii="inherit" w:hAnsi="inherit"/>
                <w:sz w:val="20"/>
              </w:rPr>
              <w:t>(ii)</w:t>
            </w:r>
          </w:p>
        </w:tc>
        <w:tc>
          <w:tcPr>
            <w:tcW w:w="9202" w:type="dxa"/>
            <w:tcBorders/>
            <w:shd w:fill="auto" w:val="clear"/>
            <w:vAlign w:val="center"/>
          </w:tcPr>
          <w:p>
            <w:pPr>
              <w:pStyle w:val="TableContents"/>
              <w:spacing w:lineRule="auto" w:line="288" w:before="0" w:after="0"/>
              <w:jc w:val="both"/>
              <w:rPr>
                <w:rFonts w:ascii="inherit" w:hAnsi="inherit"/>
                <w:sz w:val="20"/>
              </w:rPr>
            </w:pPr>
            <w:r>
              <w:rPr>
                <w:rFonts w:ascii="inherit" w:hAnsi="inherit"/>
                <w:sz w:val="20"/>
              </w:rPr>
              <w:t xml:space="preserve">we express no opinion as to any matter other than as set forth herein, and no opinion may be inferred or implied herefrom; and </w:t>
            </w:r>
          </w:p>
        </w:tc>
      </w:tr>
    </w:tbl>
    <w:tbl>
      <w:tblPr>
        <w:tblW w:w="10205" w:type="dxa"/>
        <w:jc w:val="left"/>
        <w:tblInd w:w="0" w:type="dxa"/>
        <w:tblCellMar>
          <w:top w:w="0" w:type="dxa"/>
          <w:left w:w="0" w:type="dxa"/>
          <w:bottom w:w="0" w:type="dxa"/>
          <w:right w:w="0" w:type="dxa"/>
        </w:tblCellMar>
      </w:tblPr>
      <w:tblGrid>
        <w:gridCol w:w="1051"/>
        <w:gridCol w:w="9154"/>
      </w:tblGrid>
      <w:tr>
        <w:trPr/>
        <w:tc>
          <w:tcPr>
            <w:tcW w:w="1051" w:type="dxa"/>
            <w:tcBorders/>
            <w:shd w:fill="auto" w:val="clear"/>
            <w:vAlign w:val="center"/>
          </w:tcPr>
          <w:p>
            <w:pPr>
              <w:pStyle w:val="TableContents"/>
              <w:spacing w:before="0" w:after="283"/>
              <w:rPr>
                <w:sz w:val="4"/>
                <w:szCs w:val="4"/>
              </w:rPr>
            </w:pPr>
            <w:r>
              <w:rPr>
                <w:sz w:val="4"/>
                <w:szCs w:val="4"/>
              </w:rPr>
            </w:r>
          </w:p>
        </w:tc>
        <w:tc>
          <w:tcPr>
            <w:tcW w:w="9154" w:type="dxa"/>
            <w:tcBorders/>
            <w:shd w:fill="auto" w:val="clear"/>
            <w:vAlign w:val="center"/>
          </w:tcPr>
          <w:p>
            <w:pPr>
              <w:pStyle w:val="TableContents"/>
              <w:spacing w:before="0" w:after="283"/>
              <w:rPr>
                <w:sz w:val="4"/>
                <w:szCs w:val="4"/>
              </w:rPr>
            </w:pPr>
            <w:r>
              <w:rPr>
                <w:sz w:val="4"/>
                <w:szCs w:val="4"/>
              </w:rPr>
            </w:r>
          </w:p>
        </w:tc>
      </w:tr>
      <w:tr>
        <w:trPr/>
        <w:tc>
          <w:tcPr>
            <w:tcW w:w="1051" w:type="dxa"/>
            <w:tcBorders/>
            <w:shd w:fill="auto" w:val="clear"/>
            <w:vAlign w:val="center"/>
          </w:tcPr>
          <w:p>
            <w:pPr>
              <w:pStyle w:val="TableContents"/>
              <w:spacing w:lineRule="auto" w:line="288" w:before="0" w:after="0"/>
              <w:ind w:left="0" w:right="0" w:firstLine="720"/>
              <w:rPr>
                <w:rFonts w:ascii="inherit" w:hAnsi="inherit"/>
                <w:sz w:val="20"/>
              </w:rPr>
            </w:pPr>
            <w:r>
              <w:rPr>
                <w:rFonts w:ascii="inherit" w:hAnsi="inherit"/>
                <w:sz w:val="20"/>
              </w:rPr>
              <w:t>(iii)</w:t>
            </w:r>
          </w:p>
        </w:tc>
        <w:tc>
          <w:tcPr>
            <w:tcW w:w="9154" w:type="dxa"/>
            <w:tcBorders/>
            <w:shd w:fill="auto" w:val="clear"/>
            <w:vAlign w:val="center"/>
          </w:tcPr>
          <w:p>
            <w:pPr>
              <w:pStyle w:val="TableContents"/>
              <w:spacing w:lineRule="auto" w:line="288" w:before="0" w:after="0"/>
              <w:jc w:val="both"/>
              <w:rPr>
                <w:rFonts w:ascii="inherit" w:hAnsi="inherit"/>
                <w:sz w:val="20"/>
              </w:rPr>
            </w:pPr>
            <w:r>
              <w:rPr>
                <w:rFonts w:ascii="inherit" w:hAnsi="inherit"/>
                <w:sz w:val="20"/>
              </w:rPr>
              <w:t>our opinion is given as of the date hereof, and we undertake no, and hereby disclaim any, obligation to advise you of any change in any matter set forth herein.</w:t>
            </w:r>
          </w:p>
        </w:tc>
      </w:tr>
    </w:tbl>
    <w:p>
      <w:pPr>
        <w:pStyle w:val="TextBody"/>
        <w:spacing w:lineRule="auto" w:line="288" w:before="0" w:after="0"/>
        <w:ind w:left="0" w:right="0" w:firstLine="720"/>
        <w:jc w:val="both"/>
        <w:rPr>
          <w:rFonts w:ascii="inherit" w:hAnsi="inherit"/>
          <w:sz w:val="20"/>
        </w:rPr>
      </w:pPr>
      <w:r>
        <w:rPr>
          <w:rFonts w:ascii="inherit" w:hAnsi="inherit"/>
          <w:sz w:val="20"/>
        </w:rPr>
        <w:t xml:space="preserve">We hereby consent to the filing of this opinion as an exhibit to the Registration Statement and to the reference to our firm under the caption “Legal Matters” in the Prospectus forming part of the Registration Statement as having passed on the validity of the Shares. By giving such consent, we do not admit that we are within the category of persons whose consent is required under Section 7 of the Securities Act or the rules and regulations of the Commission issued thereunder. </w:t>
      </w:r>
    </w:p>
    <w:p>
      <w:pPr>
        <w:pStyle w:val="TextBody"/>
        <w:spacing w:lineRule="auto" w:line="288" w:before="0" w:after="0"/>
        <w:ind w:left="0" w:right="0" w:firstLine="5040"/>
        <w:jc w:val="both"/>
        <w:rPr>
          <w:rFonts w:ascii="inherit" w:hAnsi="inherit"/>
          <w:sz w:val="20"/>
        </w:rPr>
      </w:pPr>
      <w:r>
        <w:rPr>
          <w:rFonts w:ascii="inherit" w:hAnsi="inherit"/>
          <w:sz w:val="20"/>
        </w:rPr>
        <w:t>Very truly yours,</w:t>
      </w:r>
    </w:p>
    <w:p>
      <w:pPr>
        <w:pStyle w:val="TextBody"/>
        <w:spacing w:lineRule="auto" w:line="288" w:before="0" w:after="0"/>
        <w:ind w:left="0" w:right="0" w:firstLine="5040"/>
        <w:jc w:val="both"/>
        <w:rPr>
          <w:rFonts w:ascii="inherit" w:hAnsi="inherit"/>
          <w:sz w:val="20"/>
        </w:rPr>
      </w:pPr>
      <w:r>
        <w:rPr>
          <w:rFonts w:ascii="inherit" w:hAnsi="inherit"/>
          <w:sz w:val="20"/>
        </w:rPr>
        <w:t>/s/ Vinson &amp; Elkins L.L.P.</w:t>
      </w:r>
    </w:p>
    <w:p>
      <w:pPr>
        <w:pStyle w:val="TextBody"/>
        <w:spacing w:lineRule="auto" w:line="288" w:before="0" w:after="0"/>
        <w:jc w:val="both"/>
        <w:rPr>
          <w:rFonts w:ascii="inherit" w:hAnsi="inherit"/>
          <w:sz w:val="20"/>
        </w:rPr>
      </w:pPr>
      <w:r>
        <w:rPr>
          <w:rFonts w:ascii="inherit" w:hAnsi="inherit"/>
          <w:sz w:val="20"/>
        </w:rPr>
      </w:r>
    </w:p>
    <w:p>
      <w:pPr>
        <w:pStyle w:val="TextBody"/>
        <w:spacing w:before="0" w:after="0"/>
        <w:rPr/>
      </w:pPr>
      <w:r>
        <w:rPr/>
      </w:r>
    </w:p>
    <w:p>
      <w:pPr>
        <w:pStyle w:val="TextBody"/>
        <w:spacing w:lineRule="auto" w:line="288" w:before="0" w:after="0"/>
        <w:jc w:val="both"/>
        <w:rPr>
          <w:rFonts w:ascii="inherit" w:hAnsi="inherit"/>
          <w:sz w:val="20"/>
        </w:rPr>
      </w:pPr>
      <w:r>
        <w:rPr>
          <w:rFonts w:ascii="inherit" w:hAnsi="inherit"/>
          <w:sz w:val="20"/>
        </w:rPr>
      </w:r>
    </w:p>
    <w:p>
      <w:pPr>
        <w:pStyle w:val="TextBody"/>
        <w:spacing w:lineRule="auto" w:line="288"/>
        <w:jc w:val="left"/>
        <w:rPr>
          <w:rFonts w:ascii="inherit" w:hAnsi="inherit"/>
          <w:sz w:val="20"/>
        </w:rPr>
      </w:pPr>
      <w:r>
        <w:rPr>
          <w:rFonts w:ascii="inherit" w:hAnsi="inherit"/>
          <w:sz w:val="20"/>
        </w:rPr>
      </w:r>
      <w:r>
        <w:br w:type="page"/>
      </w:r>
    </w:p>
    <w:p>
      <w:pPr>
        <w:pStyle w:val="TextBody"/>
        <w:spacing w:before="0" w:after="0"/>
        <w:rPr/>
      </w:pPr>
      <w:r>
        <w:rPr/>
      </w:r>
      <w:bookmarkStart w:id="47" w:name="s1B33ADEBCCA1953C00A194D61B41080D"/>
      <w:bookmarkStart w:id="48" w:name="a231consentofbdo.htm"/>
      <w:bookmarkStart w:id="49" w:name="ksa231consentofbdo"/>
      <w:bookmarkStart w:id="50" w:name="s1B33ADEBCCA1953C00A194D61B41080D"/>
      <w:bookmarkStart w:id="51" w:name="a231consentofbdo.htm"/>
      <w:bookmarkStart w:id="52" w:name="ksa231consentofbdo"/>
      <w:bookmarkEnd w:id="50"/>
      <w:bookmarkEnd w:id="51"/>
      <w:bookmarkEnd w:id="52"/>
    </w:p>
    <w:p>
      <w:pPr>
        <w:pStyle w:val="TextBody"/>
        <w:spacing w:lineRule="auto" w:line="288" w:before="0" w:after="0"/>
        <w:jc w:val="right"/>
        <w:rPr>
          <w:rFonts w:ascii="inherit" w:hAnsi="inherit"/>
          <w:sz w:val="17"/>
          <w:u w:val="single"/>
        </w:rPr>
      </w:pPr>
      <w:r>
        <w:rPr>
          <w:rFonts w:ascii="inherit" w:hAnsi="inherit"/>
          <w:sz w:val="17"/>
          <w:u w:val="single"/>
        </w:rPr>
        <w:t>Exhibit 23.1</w:t>
      </w:r>
    </w:p>
    <w:p>
      <w:pPr>
        <w:pStyle w:val="TextBody"/>
        <w:spacing w:lineRule="auto" w:line="288" w:before="0" w:after="0"/>
        <w:jc w:val="center"/>
        <w:rPr>
          <w:rFonts w:ascii="inherit" w:hAnsi="inherit"/>
          <w:sz w:val="20"/>
        </w:rPr>
      </w:pPr>
      <w:r>
        <w:rPr>
          <w:rFonts w:ascii="inherit" w:hAnsi="inherit"/>
          <w:sz w:val="20"/>
        </w:rPr>
      </w:r>
    </w:p>
    <w:p>
      <w:pPr>
        <w:pStyle w:val="TextBody"/>
        <w:spacing w:lineRule="auto" w:line="288" w:before="0" w:after="0"/>
        <w:jc w:val="center"/>
        <w:rPr>
          <w:rFonts w:ascii="inherit" w:hAnsi="inherit"/>
          <w:sz w:val="20"/>
        </w:rPr>
      </w:pPr>
      <w:r>
        <w:rPr>
          <w:rFonts w:ascii="inherit" w:hAnsi="inherit"/>
          <w:sz w:val="20"/>
        </w:rPr>
      </w:r>
    </w:p>
    <w:p>
      <w:pPr>
        <w:pStyle w:val="TextBody"/>
        <w:spacing w:lineRule="auto" w:line="288" w:before="0" w:after="0"/>
        <w:jc w:val="center"/>
        <w:rPr>
          <w:rFonts w:ascii="inherit" w:hAnsi="inherit"/>
          <w:b/>
          <w:sz w:val="18"/>
          <w:u w:val="single"/>
        </w:rPr>
      </w:pPr>
      <w:r>
        <w:rPr>
          <w:rFonts w:ascii="inherit" w:hAnsi="inherit"/>
          <w:b/>
          <w:sz w:val="18"/>
          <w:u w:val="single"/>
        </w:rPr>
        <w:t>Consent of Independent Registered Public Accounting Firm</w:t>
      </w:r>
    </w:p>
    <w:p>
      <w:pPr>
        <w:pStyle w:val="TextBody"/>
        <w:spacing w:lineRule="auto" w:line="288" w:before="0" w:after="0"/>
        <w:jc w:val="both"/>
        <w:rPr>
          <w:rFonts w:ascii="inherit" w:hAnsi="inherit"/>
          <w:sz w:val="18"/>
        </w:rPr>
      </w:pPr>
      <w:r>
        <w:rPr>
          <w:rFonts w:ascii="inherit" w:hAnsi="inherit"/>
          <w:sz w:val="18"/>
        </w:rPr>
      </w:r>
    </w:p>
    <w:p>
      <w:pPr>
        <w:pStyle w:val="TextBody"/>
        <w:spacing w:lineRule="auto" w:line="288" w:before="0" w:after="0"/>
        <w:jc w:val="both"/>
        <w:rPr>
          <w:rFonts w:ascii="inherit" w:hAnsi="inherit"/>
          <w:sz w:val="17"/>
        </w:rPr>
      </w:pPr>
      <w:r>
        <w:rPr>
          <w:rFonts w:ascii="inherit" w:hAnsi="inherit"/>
          <w:sz w:val="17"/>
        </w:rPr>
        <w:t>EZCORP, Inc.</w:t>
      </w:r>
    </w:p>
    <w:p>
      <w:pPr>
        <w:pStyle w:val="TextBody"/>
        <w:spacing w:lineRule="auto" w:line="288" w:before="0" w:after="0"/>
        <w:jc w:val="both"/>
        <w:rPr>
          <w:rFonts w:ascii="inherit" w:hAnsi="inherit"/>
          <w:sz w:val="17"/>
        </w:rPr>
      </w:pPr>
      <w:r>
        <w:rPr>
          <w:rFonts w:ascii="inherit" w:hAnsi="inherit"/>
          <w:sz w:val="17"/>
        </w:rPr>
        <w:t>Austin, Texas</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We hereby consent to the incorporation by reference in the Prospectus constituting a part of this Registration Statement of our report dated November 20, 2012, except for Notes 1, 2, 4, 6, 7, 12, 14, 18, 19 and 23, which are as of October 3, 2013, relating to the consolidated financial statements of EZCORP and our report dated November 20, 2012, relating to the effectiveness of EZCORP’s internal control over financial reporting appearing in the Company’s Form 8-K filed October 3, 2013.</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We also consent to the reference to us under the caption “Experts” in the Prospectus.</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pPr>
      <w:r>
        <w:rPr/>
        <w:t> </w:t>
      </w:r>
    </w:p>
    <w:p>
      <w:pPr>
        <w:pStyle w:val="TextBody"/>
        <w:spacing w:lineRule="auto" w:line="288" w:before="0" w:after="0"/>
        <w:jc w:val="left"/>
        <w:rPr>
          <w:rFonts w:ascii="inherit" w:hAnsi="inherit"/>
          <w:sz w:val="17"/>
        </w:rPr>
      </w:pPr>
      <w:r>
        <w:rPr>
          <w:rFonts w:ascii="inherit" w:hAnsi="inherit"/>
          <w:sz w:val="17"/>
        </w:rPr>
        <w:t>/s/ BDO USA, LLP</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Dallas, Texas</w:t>
      </w:r>
    </w:p>
    <w:p>
      <w:pPr>
        <w:pStyle w:val="TextBody"/>
        <w:spacing w:lineRule="auto" w:line="288" w:before="0" w:after="0"/>
        <w:jc w:val="both"/>
        <w:rPr>
          <w:rFonts w:ascii="inherit" w:hAnsi="inherit"/>
          <w:sz w:val="17"/>
        </w:rPr>
      </w:pPr>
      <w:r>
        <w:rPr>
          <w:rFonts w:ascii="inherit" w:hAnsi="inherit"/>
          <w:sz w:val="17"/>
        </w:rPr>
        <w:t>October 8, 2013</w:t>
      </w:r>
    </w:p>
    <w:p>
      <w:pPr>
        <w:pStyle w:val="TextBody"/>
        <w:spacing w:lineRule="auto" w:line="288" w:before="0" w:after="0"/>
        <w:jc w:val="center"/>
        <w:rPr>
          <w:rFonts w:ascii="inherit" w:hAnsi="inherit"/>
          <w:sz w:val="18"/>
        </w:rPr>
      </w:pPr>
      <w:r>
        <w:rPr>
          <w:rFonts w:ascii="inherit" w:hAnsi="inherit"/>
          <w:sz w:val="18"/>
        </w:rPr>
      </w:r>
    </w:p>
    <w:p>
      <w:pPr>
        <w:pStyle w:val="TextBody"/>
        <w:spacing w:before="0" w:after="0"/>
        <w:rPr/>
      </w:pPr>
      <w:r>
        <w:rPr/>
      </w:r>
    </w:p>
    <w:p>
      <w:pPr>
        <w:pStyle w:val="TextBody"/>
        <w:spacing w:lineRule="auto" w:line="288" w:before="0" w:after="283"/>
        <w:jc w:val="left"/>
        <w:rPr>
          <w:rFonts w:ascii="inherit" w:hAnsi="inherit"/>
          <w:sz w:val="17"/>
        </w:rPr>
      </w:pPr>
      <w:r>
        <w:rPr>
          <w:rFonts w:ascii="inherit" w:hAnsi="inherit"/>
          <w:sz w:val="17"/>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inherit">
    <w:charset w:val="00"/>
    <w:family w:val="auto"/>
    <w:pitch w:val="default"/>
  </w:font>
  <w:font w:name="Wingdings">
    <w:charset w:val="00"/>
    <w:family w:val="auto"/>
    <w:pitch w:val="default"/>
  </w:font>
  <w:font w:name="Times New Roman">
    <w:charset w:val="00"/>
    <w:family w:val="auto"/>
    <w:pitch w:val="default"/>
  </w:font>
  <w:font w:name="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23</Pages>
  <Words>8883</Words>
  <CharactersWithSpaces>55688</CharactersWithSpaces>
  <Paragraphs>615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