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3,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3, 2022, EZCORP, Inc. ("EZCORP") issued a press release announcing its results of operations and financial condition for the quarter ended June 30, 2022. A copy of that press release is attached as Exhibit 99.1.</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0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copy of the presentation materials that management will review during the Company’s earnings conference call (to be held on August 4, 2022) will be posted in the Investor Relations section of the company’s website at www.ezcorp.com.</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720" w:right="1000" w:hanging="525"/>
        <w:spacing w:after="0" w:line="245" w:lineRule="auto"/>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August 3, 2022, announcing EZCORP, Inc.’s results of operations and financial condition for the quarter ended June 30, 2022.</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28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29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3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38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49" w:right="359" w:bottom="1440" w:gutter="0" w:footer="0" w:header="0"/>
        </w:sectPr>
      </w:pPr>
    </w:p>
    <w:bookmarkStart w:id="2" w:name="page3"/>
    <w:bookmarkEnd w:id="2"/>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Third Quarter 2022 Results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Record High Pawn Loans Outstanding Driving Strong Earnings Momentum</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Austin, Texas (August 3, 2022) — </w:t>
      </w:r>
      <w:r>
        <w:rPr>
          <w:rFonts w:ascii="Arial" w:cs="Arial" w:eastAsia="Arial" w:hAnsi="Arial"/>
          <w:sz w:val="18"/>
          <w:szCs w:val="18"/>
          <w:color w:val="auto"/>
        </w:rPr>
        <w:t>EZCORP, Inc. (NASDAQ: EZPW), a leading provider of pawn transactions in the United States and Latin</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today announced results for its third quarter ended June 30, 2022.</w:t>
      </w:r>
    </w:p>
    <w:p>
      <w:pPr>
        <w:spacing w:after="0" w:line="10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i w:val="1"/>
          <w:iCs w:val="1"/>
          <w:color w:val="auto"/>
        </w:rPr>
        <w:t>Unless otherwise noted, all amounts in this release are in conformity with U.S. generally accepted accounting principles ("GAAP") and comparisons shown are to the same period in the prior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Pawn loans outstanding (PLO) up 30% to a record-high of $204.2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increased 24%, and gross profit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20%.</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sales gross margin was at the high end of our target range at 38%.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was $12.2 million, an increase of $14.8 million.</w:t>
      </w:r>
    </w:p>
    <w:p>
      <w:pPr>
        <w:spacing w:after="0" w:line="171" w:lineRule="exact"/>
        <w:rPr>
          <w:rFonts w:ascii="Arial" w:cs="Arial" w:eastAsia="Arial" w:hAnsi="Arial"/>
          <w:sz w:val="18"/>
          <w:szCs w:val="18"/>
          <w:b w:val="1"/>
          <w:bCs w:val="1"/>
          <w:color w:val="auto"/>
        </w:rPr>
      </w:pPr>
    </w:p>
    <w:p>
      <w:pPr>
        <w:ind w:left="660" w:right="120" w:hanging="328"/>
        <w:spacing w:after="0" w:line="23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of $0.17 was up significantly from a loss of $0.05. On an adjusted basis</w:t>
      </w:r>
      <w:r>
        <w:rPr>
          <w:rFonts w:ascii="Arial" w:cs="Arial" w:eastAsia="Arial" w:hAnsi="Arial"/>
          <w:sz w:val="23"/>
          <w:szCs w:val="23"/>
          <w:color w:val="auto"/>
          <w:vertAlign w:val="superscript"/>
        </w:rPr>
        <w:t>2</w:t>
      </w:r>
      <w:r>
        <w:rPr>
          <w:rFonts w:ascii="Arial" w:cs="Arial" w:eastAsia="Arial" w:hAnsi="Arial"/>
          <w:sz w:val="18"/>
          <w:szCs w:val="18"/>
          <w:color w:val="auto"/>
        </w:rPr>
        <w:t>, diluted earnings per share was $0.16, compared to a loss of $0.03 in the prior-year quarter.</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earning assets (ROEA) remains strong at 165%.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58"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Chief Executive Officer Lachie Given stated, “We have delivered another outstanding quarter of financial results. PLO, the most significant driver of revenue and earnings, hit a record high, surpassing pre-COVID levels on a total and same-store basis. This has driven significant increases in pawn service charges (PSC), and as we continue to drive strong sales margins and gain cost efficiencies across the business, we have delivered very substantial earnings improvement for the quarter."</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"With persistent macro issues fueling inflation, we are proud to offer our customers a unique and essential service to address their short-term cash needs. We are also a neighborhood recycling business that extends the useful life of millions of items every year, and are working to expand our customer base of environmentally-conscious consumers across the U.S. and Latin America.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we opened eight de novo stores in Latin America and acquired three stores in the Dallas, Texas area. Our EZ+</w:t>
      </w:r>
    </w:p>
    <w:p>
      <w:pPr>
        <w:spacing w:after="0" w:line="14"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Rewards program continues to grow across all of our regions, and we now have over 1.4 million enrolled customers. Furthering our commitment to investing in our people, we introduced Career Week for our 6,800 employees to reinforce our new Career Framework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Career Path opportunities.</w:t>
      </w:r>
    </w:p>
    <w:p>
      <w:pPr>
        <w:spacing w:after="0" w:line="14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improvement in our financial results is the outcome of our team’s focus and commitment to People, Pawn, and Passion, and on providing the best possible experience for our customers. I am extremely proud of our entire team for delivering such exceptional operating and financial results for our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570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3"/>
                <w:szCs w:val="23"/>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3"/>
                <w:szCs w:val="23"/>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2</w:t>
            </w:r>
          </w:p>
        </w:tc>
        <w:tc>
          <w:tcPr>
            <w:tcW w:w="820" w:type="dxa"/>
            <w:vAlign w:val="bottom"/>
          </w:tcPr>
          <w:p>
            <w:pPr>
              <w:spacing w:after="0"/>
              <w:rPr>
                <w:sz w:val="23"/>
                <w:szCs w:val="23"/>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r>
      <w:tr>
        <w:trPr>
          <w:trHeight w:val="256"/>
        </w:trPr>
        <w:tc>
          <w:tcPr>
            <w:tcW w:w="570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174.0</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32"/>
        </w:trPr>
        <w:tc>
          <w:tcPr>
            <w:tcW w:w="5700" w:type="dxa"/>
            <w:vAlign w:val="bottom"/>
          </w:tcPr>
          <w:p>
            <w:pPr>
              <w:spacing w:after="0" w:line="232"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108.0</w:t>
            </w:r>
          </w:p>
        </w:tc>
        <w:tc>
          <w:tcPr>
            <w:tcW w:w="4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Income (loss)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EBITDA (non-GAAP measure)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240"/>
          </w:cols>
          <w:pgMar w:left="320" w:top="1440" w:right="339" w:bottom="1440" w:gutter="0" w:footer="0" w:header="0"/>
        </w:sectPr>
      </w:pPr>
    </w:p>
    <w:bookmarkStart w:id="3" w:name="page4"/>
    <w:bookmarkEnd w:id="3"/>
    <w:p>
      <w:pPr>
        <w:ind w:left="660" w:hanging="328"/>
        <w:spacing w:after="0" w:line="271"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Diluted earnings per share were $0.17 for the third quarter, up from a loss of $0.05. On an adjusted basis, diluted earnings per share were $0.16, up from a loss of $0.03.</w:t>
      </w:r>
    </w:p>
    <w:p>
      <w:pPr>
        <w:spacing w:after="0" w:line="113"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before taxes improved to $13.1 million from a loss of $0.8 million, while adjusted EBITDA increased 100% to $25.1 million.</w:t>
      </w:r>
    </w:p>
    <w:p>
      <w:pPr>
        <w:spacing w:after="0" w:line="168" w:lineRule="exact"/>
        <w:rPr>
          <w:rFonts w:ascii="Arial" w:cs="Arial" w:eastAsia="Arial" w:hAnsi="Arial"/>
          <w:sz w:val="18"/>
          <w:szCs w:val="18"/>
          <w:color w:val="auto"/>
        </w:rPr>
      </w:pPr>
    </w:p>
    <w:p>
      <w:pPr>
        <w:ind w:left="660" w:right="480" w:hanging="328"/>
        <w:spacing w:after="0" w:line="232"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PLO increased 30% to $204.2 million, up $47.0 million. On a same-store basis</w:t>
      </w:r>
      <w:r>
        <w:rPr>
          <w:rFonts w:ascii="Arial" w:cs="Arial" w:eastAsia="Arial" w:hAnsi="Arial"/>
          <w:sz w:val="23"/>
          <w:szCs w:val="23"/>
          <w:color w:val="auto"/>
          <w:vertAlign w:val="superscript"/>
        </w:rPr>
        <w:t>3</w:t>
      </w:r>
      <w:r>
        <w:rPr>
          <w:rFonts w:ascii="Arial" w:cs="Arial" w:eastAsia="Arial" w:hAnsi="Arial"/>
          <w:sz w:val="18"/>
          <w:szCs w:val="18"/>
          <w:color w:val="auto"/>
        </w:rPr>
        <w:t>, PLO increased 30% to its highest level due to increased loan demand reflecting a recovery above pre-COVID levels.</w:t>
      </w:r>
    </w:p>
    <w:p>
      <w:pPr>
        <w:spacing w:after="0" w:line="140" w:lineRule="exact"/>
        <w:rPr>
          <w:rFonts w:ascii="Arial" w:cs="Arial" w:eastAsia="Arial" w:hAnsi="Arial"/>
          <w:sz w:val="18"/>
          <w:szCs w:val="18"/>
          <w:b w:val="1"/>
          <w:bCs w:val="1"/>
          <w:color w:val="auto"/>
        </w:rPr>
      </w:pPr>
    </w:p>
    <w:p>
      <w:pPr>
        <w:ind w:left="660" w:right="6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revenues increased 24%, and gross profit increased 20%, reflecting improved pawn service charge (PSC) revenue and merchandise sales.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33% due to an increase in the average PLO balance during the quarter.</w:t>
      </w:r>
    </w:p>
    <w:p>
      <w:pPr>
        <w:spacing w:after="0" w:line="171" w:lineRule="exact"/>
        <w:rPr>
          <w:rFonts w:ascii="Arial" w:cs="Arial" w:eastAsia="Arial" w:hAnsi="Arial"/>
          <w:sz w:val="18"/>
          <w:szCs w:val="18"/>
          <w:color w:val="auto"/>
        </w:rPr>
      </w:pPr>
    </w:p>
    <w:p>
      <w:pPr>
        <w:ind w:left="660" w:right="280" w:hanging="328"/>
        <w:spacing w:after="0" w:line="268"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Merchandise sales gross margin was at the high end of our target range at 38%, reflecting our commitment to improving the core business by decreasing aged general merchandise (now less than 1% of total general merchandise inventory) and focusing on selling inventory in the first 90 days.</w:t>
      </w:r>
    </w:p>
    <w:p>
      <w:pPr>
        <w:spacing w:after="0" w:line="116" w:lineRule="exact"/>
        <w:rPr>
          <w:rFonts w:ascii="Arial" w:cs="Arial" w:eastAsia="Arial" w:hAnsi="Arial"/>
          <w:sz w:val="18"/>
          <w:szCs w:val="18"/>
          <w:color w:val="auto"/>
        </w:rPr>
      </w:pPr>
    </w:p>
    <w:p>
      <w:pPr>
        <w:ind w:left="660" w:right="12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inventory increased 44% reflecting a return towards normalized inventory levels. Inventory turnover remained strong at 2.8x for the quarter, down from 3.1x.</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Store expenses increased 9%, due to increased store count and labor costs in line with increased store activity. On a same-store basis, store expenses increased 5%.</w:t>
      </w:r>
    </w:p>
    <w:p>
      <w:pPr>
        <w:spacing w:after="0" w:line="98" w:lineRule="exact"/>
        <w:rPr>
          <w:rFonts w:ascii="Arial" w:cs="Arial" w:eastAsia="Arial" w:hAnsi="Arial"/>
          <w:sz w:val="18"/>
          <w:szCs w:val="18"/>
          <w:color w:val="auto"/>
        </w:rPr>
      </w:pPr>
    </w:p>
    <w:p>
      <w:pPr>
        <w:ind w:left="660" w:right="700" w:hanging="328"/>
        <w:spacing w:after="0" w:line="287"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increased 28%, primarily due to a litigation accrual and increased performance-based incentive compensation.</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6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$222.3 million, down 22% year-over-year. The decrease is primarily due to the increase in PLO and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PLO continued to increase, ending the quarter at $159.7 million, up 36% (36% on a same store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 was up 22% and gross profit increased 18%, reflecting increasing PSC.</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PSC increased 35% as a result of higher average PLO.</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gross margin decreased to 41% from 46% as expected. Aged general merchandise inventory improved to 0.4% from 1.2% of total general merchandise inventory.</w:t>
      </w:r>
    </w:p>
    <w:p>
      <w:pPr>
        <w:spacing w:after="0" w:line="98" w:lineRule="exact"/>
        <w:rPr>
          <w:rFonts w:ascii="Arial" w:cs="Arial" w:eastAsia="Arial" w:hAnsi="Arial"/>
          <w:sz w:val="18"/>
          <w:szCs w:val="18"/>
          <w:color w:val="auto"/>
        </w:rPr>
      </w:pPr>
    </w:p>
    <w:p>
      <w:pPr>
        <w:ind w:left="660" w:hanging="328"/>
        <w:spacing w:after="0" w:line="28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47%. Inventory turnover decreased to 2.5x from 2.8x due to increased inventory levels in the current quarter and stimulus impacts in the prior year.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increased 6% primarily due to store count and labor increases in line with store activity.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64% to $29.8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store count increased by three acquired stores during the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40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improved to $44.5 million or 11% (13% on constant currency basis). On a same store basis, PLO increased 9% (10% on a constant currency basis).</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was up 31% (same on a constant currency basis), while gross profit increased 26% (same on a constant currency basis).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to $21.0 million or 28% (same on a constant currency basis) as a result of higher average PLO for the quarter.</w:t>
      </w:r>
    </w:p>
    <w:p>
      <w:pPr>
        <w:sectPr>
          <w:pgSz w:w="11900" w:h="16838" w:orient="portrait"/>
          <w:cols w:equalWidth="0" w:num="1">
            <w:col w:w="11180"/>
          </w:cols>
          <w:pgMar w:left="320" w:top="1093" w:right="399" w:bottom="1440" w:gutter="0" w:footer="0" w:header="0"/>
        </w:sectPr>
      </w:pPr>
    </w:p>
    <w:bookmarkStart w:id="4" w:name="page5"/>
    <w:bookmarkEnd w:id="4"/>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gross margin decreased from 35% to 29%, reflecting a return to more normalized margins.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18"/>
          <w:szCs w:val="18"/>
          <w:color w:val="auto"/>
        </w:rPr>
        <w:t>Net inventory increased 34% (35% on a constant currency basis). Inventory turnover remains strong at 3.7x, down from 4.0x.</w:t>
      </w:r>
    </w:p>
    <w:p>
      <w:pPr>
        <w:spacing w:after="0" w:line="161" w:lineRule="exact"/>
        <w:rPr>
          <w:rFonts w:ascii="Arial" w:cs="Arial" w:eastAsia="Arial" w:hAnsi="Arial"/>
          <w:sz w:val="20"/>
          <w:szCs w:val="20"/>
          <w:color w:val="auto"/>
        </w:rPr>
      </w:pPr>
    </w:p>
    <w:p>
      <w:pPr>
        <w:ind w:left="660" w:right="100" w:hanging="328"/>
        <w:spacing w:after="0" w:line="287"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Store expenses increased 21% (same on a constant currency basis) primarily due to year-over-year store count and growth in labor in line with increased store activity. Same-store expenses increased 4% (6% on a constant currency basis).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increased to $6.1 million or 71% (48% on a constant currency basis), compared to $3.6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store count increased by eight de novo stores opened during the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71"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EZCORP’s Quarterly Report on Form 10-Q for the quarter ended June 30, 2022 has been filed with the Securities and Exchange Commission. The report is available in the Investor Relations section of the Company’s website at http://investors.ezcorp.com.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EZCORP will host a conference call on Thursday, August 4, 2022, at 7:00 am Central Time to discuss Third Quarter Fiscal 2022 results. Analysts and institutional investors may participate on the conference call by dialing (844) 200-6205, Conference ID: 464794, or internationally by dialing (929) 526-1599. The conference call will be webcast simultaneously to the public through this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ectPr>
          <w:pgSz w:w="11900" w:h="16838" w:orient="portrait"/>
          <w:cols w:equalWidth="0" w:num="1">
            <w:col w:w="11220"/>
          </w:cols>
          <w:pgMar w:left="320" w:top="1093"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Percentages are calculated from the underlying numbers in thousands and, as a result, may not agree to the percentages calculated from numbers in millions.</w:t>
      </w:r>
    </w:p>
    <w:p>
      <w:pPr>
        <w:spacing w:after="0" w:line="23"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”We have relabeled "net revenues" to "gross profit" throughout our filings, which we believe will improve comparability across industries and companies. This change is effective for this and future filings.</w:t>
      </w:r>
    </w:p>
    <w:p>
      <w:pPr>
        <w:ind w:right="40"/>
        <w:spacing w:after="0" w:line="257" w:lineRule="auto"/>
        <w:rPr>
          <w:sz w:val="20"/>
          <w:szCs w:val="20"/>
          <w:color w:val="auto"/>
        </w:rPr>
      </w:pPr>
      <w:r>
        <w:rPr>
          <w:rFonts w:ascii="Times New Roman" w:cs="Times New Roman" w:eastAsia="Times New Roman" w:hAnsi="Times New Roman"/>
          <w:sz w:val="9"/>
          <w:szCs w:val="9"/>
          <w:i w:val="1"/>
          <w:iCs w:val="1"/>
          <w:color w:val="auto"/>
        </w:rPr>
        <w:t>2</w:t>
      </w:r>
      <w:r>
        <w:rPr>
          <w:rFonts w:ascii="Times New Roman" w:cs="Times New Roman" w:eastAsia="Times New Roman" w:hAnsi="Times New Roman"/>
          <w:sz w:val="14"/>
          <w:szCs w:val="14"/>
          <w:i w:val="1"/>
          <w:iCs w:val="1"/>
          <w:color w:val="auto"/>
        </w:rPr>
        <w:t>”Adjusted” basis, which is a non-GAAP measure, excludes certain items. “Constant currency” basis, which is a non-GAAP measure, excludes the impact of foreign currency exchange rate</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fluctuations. “Free cash flow,” which is a non-GAAP measure, includes certain adjustments to cash flow from operating activities. For additional information about these calculations, as well as a reconciliation to the most comparable GAAP financial measures, see “Non-GAAP Financial Information” at the end of this release.</w:t>
      </w:r>
    </w:p>
    <w:p>
      <w:pPr>
        <w:spacing w:after="0"/>
        <w:rPr>
          <w:sz w:val="20"/>
          <w:szCs w:val="20"/>
          <w:color w:val="auto"/>
        </w:rPr>
      </w:pPr>
      <w:r>
        <w:rPr>
          <w:rFonts w:ascii="Times New Roman" w:cs="Times New Roman" w:eastAsia="Times New Roman" w:hAnsi="Times New Roman"/>
          <w:sz w:val="18"/>
          <w:szCs w:val="18"/>
          <w:i w:val="1"/>
          <w:iCs w:val="1"/>
          <w:color w:val="auto"/>
          <w:vertAlign w:val="superscript"/>
        </w:rPr>
        <w:t>3</w:t>
      </w:r>
      <w:r>
        <w:rPr>
          <w:rFonts w:ascii="Times New Roman" w:cs="Times New Roman" w:eastAsia="Times New Roman" w:hAnsi="Times New Roman"/>
          <w:sz w:val="14"/>
          <w:szCs w:val="14"/>
          <w:i w:val="1"/>
          <w:iCs w:val="1"/>
          <w:color w:val="auto"/>
        </w:rPr>
        <w:t>”Same Store” basis, which is a financial measure, includes stores open the entirety of the comparable periods.</w:t>
      </w:r>
    </w:p>
    <w:p>
      <w:pPr>
        <w:sectPr>
          <w:pgSz w:w="11900" w:h="16838" w:orient="portrait"/>
          <w:cols w:equalWidth="0" w:num="1">
            <w:col w:w="11240"/>
          </w:cols>
          <w:pgMar w:left="320" w:top="109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5"/>
        </w:trPr>
        <w:tc>
          <w:tcPr>
            <w:tcW w:w="5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5"/>
        </w:trPr>
        <w:tc>
          <w:tcPr>
            <w:tcW w:w="52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128,334</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107,808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399,610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330,816</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7,168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18,507</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232,999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187,356</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215,842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652,818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537,107</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80,167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60,539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245,524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190,872</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r>
      <w:tr>
        <w:trPr>
          <w:trHeight w:val="209"/>
        </w:trPr>
        <w:tc>
          <w:tcPr>
            <w:tcW w:w="52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129,508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390,547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330,159</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89,430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261,944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242,261</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18,715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40,870</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23,080</w:t>
            </w:r>
          </w:p>
        </w:tc>
      </w:tr>
      <w:tr>
        <w:trPr>
          <w:trHeight w:val="216"/>
        </w:trPr>
        <w:tc>
          <w:tcPr>
            <w:tcW w:w="5220" w:type="dxa"/>
            <w:vAlign w:val="bottom"/>
          </w:tcPr>
          <w:p>
            <w:pPr>
              <w:ind w:left="24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7"/>
        </w:trPr>
        <w:tc>
          <w:tcPr>
            <w:tcW w:w="52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w:t>
            </w:r>
          </w:p>
        </w:tc>
      </w:tr>
      <w:tr>
        <w:trPr>
          <w:trHeight w:val="210"/>
        </w:trPr>
        <w:tc>
          <w:tcPr>
            <w:tcW w:w="52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115,891</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330,509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306,798</w:t>
            </w:r>
          </w:p>
        </w:tc>
      </w:tr>
      <w:tr>
        <w:trPr>
          <w:trHeight w:val="209"/>
        </w:trPr>
        <w:tc>
          <w:tcPr>
            <w:tcW w:w="52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23,361</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16,542</w:t>
            </w: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(1,918)</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(2,409)</w:t>
            </w:r>
          </w:p>
        </w:tc>
      </w:tr>
      <w:tr>
        <w:trPr>
          <w:trHeight w:val="217"/>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09"/>
        </w:trPr>
        <w:tc>
          <w:tcPr>
            <w:tcW w:w="5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54,552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11,535</w:t>
            </w:r>
          </w:p>
        </w:tc>
      </w:tr>
      <w:tr>
        <w:trPr>
          <w:trHeight w:val="216"/>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r>
      <w:tr>
        <w:trPr>
          <w:trHeight w:val="218"/>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416"/>
        </w:trPr>
        <w:tc>
          <w:tcPr>
            <w:tcW w:w="522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432"/>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56,656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56,465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55,639</w:t>
            </w:r>
          </w:p>
        </w:tc>
      </w:tr>
      <w:tr>
        <w:trPr>
          <w:trHeight w:val="216"/>
        </w:trPr>
        <w:tc>
          <w:tcPr>
            <w:tcW w:w="522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55,653</w:t>
            </w:r>
          </w:p>
        </w:tc>
      </w:tr>
    </w:tbl>
    <w:p>
      <w:pPr>
        <w:sectPr>
          <w:pgSz w:w="11900" w:h="16838" w:orient="portrait"/>
          <w:cols w:equalWidth="0" w:num="1">
            <w:col w:w="11240"/>
          </w:cols>
          <w:pgMar w:left="320" w:top="93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8"/>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color w:val="auto"/>
              </w:rPr>
              <w:t>(Unaudited)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222,342</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283,668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204,155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24,965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629,646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37,724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55,630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Right-of-use asset,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217,506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286,798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283,619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285,758</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1,330,827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1,238,650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r>
        <w:trPr>
          <w:trHeight w:val="309"/>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76,566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84,966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12,557</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53,358</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144,851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155,088</w:t>
            </w:r>
          </w:p>
        </w:tc>
        <w:tc>
          <w:tcPr>
            <w:tcW w:w="0" w:type="dxa"/>
            <w:vAlign w:val="bottom"/>
          </w:tcPr>
          <w:p>
            <w:pPr>
              <w:spacing w:after="0"/>
              <w:rPr>
                <w:sz w:val="1"/>
                <w:szCs w:val="1"/>
                <w:color w:val="auto"/>
              </w:rPr>
            </w:pPr>
          </w:p>
        </w:tc>
      </w:tr>
      <w:tr>
        <w:trPr>
          <w:trHeight w:val="215"/>
        </w:trPr>
        <w:tc>
          <w:tcPr>
            <w:tcW w:w="670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312,521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w:t>
            </w:r>
          </w:p>
        </w:tc>
        <w:tc>
          <w:tcPr>
            <w:tcW w:w="0" w:type="dxa"/>
            <w:vAlign w:val="bottom"/>
          </w:tcPr>
          <w:p>
            <w:pPr>
              <w:spacing w:after="0"/>
              <w:rPr>
                <w:sz w:val="1"/>
                <w:szCs w:val="1"/>
                <w:color w:val="auto"/>
              </w:rPr>
            </w:pP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Lease liability</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175,489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11,905</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645,073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c>
          <w:tcPr>
            <w:tcW w:w="0" w:type="dxa"/>
            <w:vAlign w:val="bottom"/>
          </w:tcPr>
          <w:p>
            <w:pPr>
              <w:spacing w:after="0"/>
              <w:rPr>
                <w:sz w:val="1"/>
                <w:szCs w:val="1"/>
                <w:color w:val="auto"/>
              </w:rPr>
            </w:pPr>
          </w:p>
        </w:tc>
      </w:tr>
      <w:tr>
        <w:trPr>
          <w:trHeight w:val="215"/>
        </w:trPr>
        <w:tc>
          <w:tcPr>
            <w:tcW w:w="670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53,685,333 as of June 30, 2022; 53,086,438 as of</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June 30, 2021; and 53,086,438 as of September 30, 2021</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00" w:type="dxa"/>
            <w:vAlign w:val="bottom"/>
          </w:tcPr>
          <w:p>
            <w:pPr>
              <w:ind w:left="480"/>
              <w:spacing w:after="0" w:line="164"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343,763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402,522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403,312</w:t>
            </w:r>
          </w:p>
        </w:tc>
        <w:tc>
          <w:tcPr>
            <w:tcW w:w="0" w:type="dxa"/>
            <w:vAlign w:val="bottom"/>
          </w:tcPr>
          <w:p>
            <w:pPr>
              <w:spacing w:after="0"/>
              <w:rPr>
                <w:sz w:val="1"/>
                <w:szCs w:val="1"/>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396,461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(55,092)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685,754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673,218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1,330,827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1,238,650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644"/>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2021</w:t>
            </w:r>
          </w:p>
        </w:tc>
      </w:tr>
      <w:tr>
        <w:trPr>
          <w:trHeight w:val="231"/>
        </w:trPr>
        <w:tc>
          <w:tcPr>
            <w:tcW w:w="82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42,823</w:t>
            </w:r>
          </w:p>
        </w:tc>
        <w:tc>
          <w:tcPr>
            <w:tcW w:w="46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7,059</w:t>
            </w:r>
          </w:p>
        </w:tc>
      </w:tr>
      <w:tr>
        <w:trPr>
          <w:trHeight w:val="202"/>
        </w:trPr>
        <w:tc>
          <w:tcPr>
            <w:tcW w:w="8260" w:type="dxa"/>
            <w:vAlign w:val="bottom"/>
          </w:tcPr>
          <w:p>
            <w:pPr>
              <w:ind w:left="480"/>
              <w:spacing w:after="0"/>
              <w:rPr>
                <w:sz w:val="20"/>
                <w:szCs w:val="20"/>
                <w:color w:val="auto"/>
              </w:rPr>
            </w:pPr>
            <w:r>
              <w:rPr>
                <w:rFonts w:ascii="Arial" w:cs="Arial" w:eastAsia="Arial" w:hAnsi="Arial"/>
                <w:sz w:val="15"/>
                <w:szCs w:val="15"/>
                <w:color w:val="auto"/>
              </w:rPr>
              <w:t>Adjustments to reconcile net income to net cash flows from operating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22,770</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23,080</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debt discount and deferred financing costs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1,051</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10,243</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lease right-of-use asset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39,061</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35,885</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475</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(576)</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Other adjustments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(734)</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(331)</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Provision for inventory reserve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(2,096)</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(6,812)</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Stock compensation expense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4,008</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3,156</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Equity in net income of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(1,457)</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(2,409)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Service charges and fees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(2,949)</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(2,832)</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(7,837)</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5,382</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Prepaid expenses, other current assets and other assets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2,025</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7,908</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Accounts payable, accrued expenses and other liabilities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(53,209)</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(51,565)</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Customer layaway deposits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2,265</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511</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Income taxes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(1,068)</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4,423</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Dividends from unconsolidated affiliates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3,366</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48,494</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33,122</w:t>
            </w:r>
          </w:p>
        </w:tc>
      </w:tr>
      <w:tr>
        <w:trPr>
          <w:trHeight w:val="200"/>
        </w:trPr>
        <w:tc>
          <w:tcPr>
            <w:tcW w:w="82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made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(524,965)</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(423,450)</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repaid</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295,823</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260,536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Recovery of pawn loan principal through sale of forfeited collateral</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191,082</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155,595</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Capital expenditures, net</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(18,100)</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(14,635)</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Acquisitions, net of cash acquired</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(1,850)</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(15,132)</w:t>
            </w:r>
          </w:p>
        </w:tc>
      </w:tr>
      <w:tr>
        <w:trPr>
          <w:trHeight w:val="202"/>
        </w:trPr>
        <w:tc>
          <w:tcPr>
            <w:tcW w:w="8260" w:type="dxa"/>
            <w:vAlign w:val="bottom"/>
          </w:tcPr>
          <w:p>
            <w:pPr>
              <w:ind w:left="220"/>
              <w:spacing w:after="0"/>
              <w:rPr>
                <w:sz w:val="20"/>
                <w:szCs w:val="20"/>
                <w:color w:val="auto"/>
              </w:rPr>
            </w:pPr>
            <w:r>
              <w:rPr>
                <w:rFonts w:ascii="Arial" w:cs="Arial" w:eastAsia="Arial" w:hAnsi="Arial"/>
                <w:sz w:val="15"/>
                <w:szCs w:val="15"/>
                <w:color w:val="auto"/>
              </w:rPr>
              <w:t>Issuance of note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Investment in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(6,079)</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Investment in other investments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(16,500)</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(81,589)</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(37,086)</w:t>
            </w:r>
          </w:p>
        </w:tc>
      </w:tr>
      <w:tr>
        <w:trPr>
          <w:trHeight w:val="200"/>
        </w:trPr>
        <w:tc>
          <w:tcPr>
            <w:tcW w:w="82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Taxes paid related to net share settlement of equity awards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(839)</w:t>
            </w:r>
          </w:p>
        </w:tc>
      </w:tr>
      <w:tr>
        <w:trPr>
          <w:trHeight w:val="205"/>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Payments on assumed debt and other borrowings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(15,363)</w:t>
            </w:r>
          </w:p>
        </w:tc>
      </w:tr>
      <w:tr>
        <w:trPr>
          <w:trHeight w:val="195"/>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(16,202)</w:t>
            </w:r>
          </w:p>
        </w:tc>
      </w:tr>
      <w:tr>
        <w:trPr>
          <w:trHeight w:val="20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1,219</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5,076</w:t>
            </w:r>
          </w:p>
        </w:tc>
      </w:tr>
      <w:tr>
        <w:trPr>
          <w:trHeight w:val="195"/>
        </w:trPr>
        <w:tc>
          <w:tcPr>
            <w:tcW w:w="826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(32,668)</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(15,090)</w:t>
            </w:r>
          </w:p>
        </w:tc>
      </w:tr>
      <w:tr>
        <w:trPr>
          <w:trHeight w:val="20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263,624</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312,553</w:t>
            </w:r>
          </w:p>
        </w:tc>
      </w:tr>
      <w:tr>
        <w:trPr>
          <w:trHeight w:val="206"/>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230,956</w:t>
            </w:r>
          </w:p>
        </w:tc>
        <w:tc>
          <w:tcPr>
            <w:tcW w:w="4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297,463</w:t>
            </w:r>
          </w:p>
        </w:tc>
      </w:tr>
      <w:tr>
        <w:trPr>
          <w:trHeight w:val="237"/>
        </w:trPr>
        <w:tc>
          <w:tcPr>
            <w:tcW w:w="8260" w:type="dxa"/>
            <w:vAlign w:val="bottom"/>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222,342</w:t>
            </w:r>
          </w:p>
        </w:tc>
        <w:tc>
          <w:tcPr>
            <w:tcW w:w="46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283,668</w:t>
            </w:r>
          </w:p>
        </w:tc>
      </w:tr>
      <w:tr>
        <w:trPr>
          <w:trHeight w:val="205"/>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8,614</w:t>
            </w: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13,795</w:t>
            </w:r>
          </w:p>
        </w:tc>
      </w:tr>
      <w:tr>
        <w:trPr>
          <w:trHeight w:val="206"/>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Total cash and cash equivalents and restricted cash</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230,956</w:t>
            </w:r>
          </w:p>
        </w:tc>
        <w:tc>
          <w:tcPr>
            <w:tcW w:w="4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297,463</w:t>
            </w:r>
          </w:p>
        </w:tc>
      </w:tr>
      <w:tr>
        <w:trPr>
          <w:trHeight w:val="291"/>
        </w:trPr>
        <w:tc>
          <w:tcPr>
            <w:tcW w:w="826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Pawn loans forfeited and transferred to inventory</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204,662</w:t>
            </w:r>
          </w:p>
        </w:tc>
        <w:tc>
          <w:tcPr>
            <w:tcW w:w="460" w:type="dxa"/>
            <w:vAlign w:val="bottom"/>
          </w:tcPr>
          <w:p>
            <w:pPr>
              <w:jc w:val="right"/>
              <w:ind w:right="224"/>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145,839</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Transfer of consideration for other investment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1,500</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Transfer of consideration for acquisition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1,547</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Acquisition earn-out contingency</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4,608</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Accrued acquisition consideration held as restricted cash</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5,824</w:t>
            </w:r>
          </w:p>
        </w:tc>
      </w:tr>
    </w:tbl>
    <w:p>
      <w:pPr>
        <w:sectPr>
          <w:pgSz w:w="11900" w:h="16838" w:orient="portrait"/>
          <w:cols w:equalWidth="0" w:num="1">
            <w:col w:w="11240"/>
          </w:cols>
          <w:pgMar w:left="320" w:top="125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 June 30, 2022</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94,005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34,329</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128,334</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128,334</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7,168</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80,291</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158,752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215,842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215,842</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80,167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80,167</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129,508</w:t>
            </w:r>
          </w:p>
        </w:tc>
        <w:tc>
          <w:tcPr>
            <w:tcW w:w="0" w:type="dxa"/>
            <w:vAlign w:val="bottom"/>
          </w:tcPr>
          <w:p>
            <w:pPr>
              <w:spacing w:after="0"/>
              <w:rPr>
                <w:sz w:val="1"/>
                <w:szCs w:val="1"/>
                <w:color w:val="auto"/>
              </w:rPr>
            </w:pPr>
          </w:p>
        </w:tc>
      </w:tr>
      <w:tr>
        <w:trPr>
          <w:trHeight w:val="163"/>
        </w:trPr>
        <w:tc>
          <w:tcPr>
            <w:tcW w:w="29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23,394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89,430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89,430</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18,715</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7,746</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(1,758)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29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84,465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23,343</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107,808</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107,808</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60,431</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130,444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174,033</w:t>
            </w: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60,539</w:t>
            </w:r>
          </w:p>
        </w:tc>
        <w:tc>
          <w:tcPr>
            <w:tcW w:w="0" w:type="dxa"/>
            <w:vAlign w:val="bottom"/>
          </w:tcPr>
          <w:p>
            <w:pPr>
              <w:spacing w:after="0"/>
              <w:rPr>
                <w:sz w:val="1"/>
                <w:szCs w:val="1"/>
                <w:color w:val="auto"/>
              </w:rPr>
            </w:pPr>
          </w:p>
        </w:tc>
      </w:tr>
      <w:tr>
        <w:trPr>
          <w:trHeight w:val="217"/>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09"/>
        </w:trPr>
        <w:tc>
          <w:tcPr>
            <w:tcW w:w="29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108,021</w:t>
            </w:r>
          </w:p>
        </w:tc>
        <w:tc>
          <w:tcPr>
            <w:tcW w:w="0" w:type="dxa"/>
            <w:vAlign w:val="bottom"/>
          </w:tcPr>
          <w:p>
            <w:pPr>
              <w:spacing w:after="0"/>
              <w:rPr>
                <w:sz w:val="1"/>
                <w:szCs w:val="1"/>
                <w:color w:val="auto"/>
              </w:rPr>
            </w:pPr>
          </w:p>
        </w:tc>
      </w:tr>
      <w:tr>
        <w:trPr>
          <w:trHeight w:val="163"/>
        </w:trPr>
        <w:tc>
          <w:tcPr>
            <w:tcW w:w="29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62,507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81,803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81,803</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14,589</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16"/>
        </w:trPr>
        <w:tc>
          <w:tcPr>
            <w:tcW w:w="29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64"/>
        </w:trPr>
        <w:tc>
          <w:tcPr>
            <w:tcW w:w="29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5"/>
        </w:trPr>
        <w:tc>
          <w:tcPr>
            <w:tcW w:w="29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7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Nine Months Ended June 30, 2022</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8"/>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296,147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103,463</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399,610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399,610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174,651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232,999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232,999</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484,729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167,996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652,818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652,818</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172,330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73,194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245,524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245,524</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16,747</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16,747</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301,120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89,334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390,547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390,547</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195,217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261,944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261,944</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46,487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22,770</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Gain on sale or disposal of assets</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7,651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98,037</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116,914</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54,552</w:t>
            </w:r>
          </w:p>
        </w:tc>
        <w:tc>
          <w:tcPr>
            <w:tcW w:w="0" w:type="dxa"/>
            <w:vAlign w:val="bottom"/>
          </w:tcPr>
          <w:p>
            <w:pPr>
              <w:spacing w:after="0"/>
              <w:rPr>
                <w:sz w:val="1"/>
                <w:szCs w:val="1"/>
                <w:color w:val="auto"/>
              </w:rPr>
            </w:pPr>
          </w:p>
        </w:tc>
      </w:tr>
    </w:tbl>
    <w:p>
      <w:pPr>
        <w:sectPr>
          <w:pgSz w:w="11900" w:h="16838" w:orient="portrait"/>
          <w:cols w:equalWidth="0" w:num="1">
            <w:col w:w="10920"/>
          </w:cols>
          <w:pgMar w:left="320" w:top="1232" w:right="6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Nine Months Ended June 30, 2021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3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Other</w:t>
            </w:r>
          </w:p>
        </w:tc>
        <w:tc>
          <w:tcPr>
            <w:tcW w:w="13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Segments</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0" w:type="dxa"/>
            <w:vAlign w:val="bottom"/>
          </w:tcPr>
          <w:p>
            <w:pPr>
              <w:spacing w:after="0"/>
              <w:rPr>
                <w:sz w:val="13"/>
                <w:szCs w:val="13"/>
                <w:color w:val="auto"/>
              </w:rPr>
            </w:pPr>
          </w:p>
        </w:tc>
        <w:tc>
          <w:tcPr>
            <w:tcW w:w="11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3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260,545</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70,271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330,816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330,816</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18,507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143,836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43,520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187,356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187,356</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413,957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122,812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537,107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537,107</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145,181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190,872</w:t>
            </w:r>
          </w:p>
        </w:tc>
        <w:tc>
          <w:tcPr>
            <w:tcW w:w="0" w:type="dxa"/>
            <w:vAlign w:val="bottom"/>
          </w:tcPr>
          <w:p>
            <w:pPr>
              <w:spacing w:after="0"/>
              <w:rPr>
                <w:sz w:val="1"/>
                <w:szCs w:val="1"/>
                <w:color w:val="auto"/>
              </w:rPr>
            </w:pPr>
          </w:p>
        </w:tc>
      </w:tr>
      <w:tr>
        <w:trPr>
          <w:trHeight w:val="217"/>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0" w:type="dxa"/>
            <w:vAlign w:val="bottom"/>
          </w:tcPr>
          <w:p>
            <w:pPr>
              <w:spacing w:after="0"/>
              <w:rPr>
                <w:sz w:val="1"/>
                <w:szCs w:val="1"/>
                <w:color w:val="auto"/>
              </w:rPr>
            </w:pPr>
          </w:p>
        </w:tc>
      </w:tr>
      <w:tr>
        <w:trPr>
          <w:trHeight w:val="209"/>
        </w:trPr>
        <w:tc>
          <w:tcPr>
            <w:tcW w:w="282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260,905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330,159</w:t>
            </w:r>
          </w:p>
        </w:tc>
        <w:tc>
          <w:tcPr>
            <w:tcW w:w="0" w:type="dxa"/>
            <w:vAlign w:val="bottom"/>
          </w:tcPr>
          <w:p>
            <w:pPr>
              <w:spacing w:after="0"/>
              <w:rPr>
                <w:sz w:val="1"/>
                <w:szCs w:val="1"/>
                <w:color w:val="auto"/>
              </w:rPr>
            </w:pPr>
          </w:p>
        </w:tc>
      </w:tr>
      <w:tr>
        <w:trPr>
          <w:trHeight w:val="163"/>
        </w:trPr>
        <w:tc>
          <w:tcPr>
            <w:tcW w:w="2820" w:type="dxa"/>
            <w:vAlign w:val="bottom"/>
          </w:tcPr>
          <w:p>
            <w:pPr>
              <w:ind w:left="20"/>
              <w:spacing w:after="0" w:line="164" w:lineRule="exact"/>
              <w:rPr>
                <w:sz w:val="20"/>
                <w:szCs w:val="20"/>
                <w:color w:val="auto"/>
              </w:rPr>
            </w:pPr>
            <w:r>
              <w:rPr>
                <w:rFonts w:ascii="Arial" w:cs="Arial" w:eastAsia="Arial" w:hAnsi="Arial"/>
                <w:sz w:val="16"/>
                <w:szCs w:val="16"/>
                <w:color w:val="auto"/>
              </w:rPr>
              <w:t>Segment and corporate expenses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188,256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242,261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242,261</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40,870</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23,080</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Loss on sale or disposal of assets</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216"/>
        </w:trPr>
        <w:tc>
          <w:tcPr>
            <w:tcW w:w="28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164"/>
        </w:trPr>
        <w:tc>
          <w:tcPr>
            <w:tcW w:w="2820" w:type="dxa"/>
            <w:vAlign w:val="bottom"/>
          </w:tcPr>
          <w:p>
            <w:pPr>
              <w:ind w:left="220"/>
              <w:spacing w:after="0" w:line="164" w:lineRule="exact"/>
              <w:rPr>
                <w:sz w:val="20"/>
                <w:szCs w:val="20"/>
                <w:color w:val="auto"/>
              </w:rPr>
            </w:pPr>
            <w:r>
              <w:rPr>
                <w:rFonts w:ascii="Arial" w:cs="Arial" w:eastAsia="Arial" w:hAnsi="Arial"/>
                <w:sz w:val="16"/>
                <w:szCs w:val="16"/>
                <w:color w:val="auto"/>
              </w:rPr>
              <w:t>Equity in net income of</w:t>
            </w:r>
          </w:p>
        </w:tc>
        <w:tc>
          <w:tcPr>
            <w:tcW w:w="16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5"/>
        </w:trPr>
        <w:tc>
          <w:tcPr>
            <w:tcW w:w="282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64,650</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(67,194)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11,535</w:t>
            </w:r>
          </w:p>
        </w:tc>
        <w:tc>
          <w:tcPr>
            <w:tcW w:w="0" w:type="dxa"/>
            <w:vAlign w:val="bottom"/>
          </w:tcPr>
          <w:p>
            <w:pPr>
              <w:spacing w:after="0"/>
              <w:rPr>
                <w:sz w:val="1"/>
                <w:szCs w:val="1"/>
                <w:color w:val="auto"/>
              </w:rPr>
            </w:pPr>
          </w:p>
        </w:tc>
      </w:tr>
    </w:tbl>
    <w:p>
      <w:pPr>
        <w:sectPr>
          <w:pgSz w:w="11900" w:h="16838" w:orient="portrait"/>
          <w:cols w:equalWidth="0" w:num="1">
            <w:col w:w="10920"/>
          </w:cols>
          <w:pgMar w:left="320" w:top="1030" w:right="6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456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8"/>
              </w:rPr>
              <w:t>EZCORP, Inc.</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456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rPr>
              <w:t>STORE COUNT ACTIVITY</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4560" w:type="dxa"/>
            <w:vAlign w:val="bottom"/>
            <w:gridSpan w:val="3"/>
          </w:tcPr>
          <w:p>
            <w:pPr>
              <w:jc w:val="center"/>
              <w:ind w:right="720"/>
              <w:spacing w:after="0"/>
              <w:rPr>
                <w:sz w:val="20"/>
                <w:szCs w:val="20"/>
                <w:color w:val="auto"/>
              </w:rPr>
            </w:pPr>
            <w:r>
              <w:rPr>
                <w:rFonts w:ascii="Arial" w:cs="Arial" w:eastAsia="Arial" w:hAnsi="Arial"/>
                <w:sz w:val="16"/>
                <w:szCs w:val="16"/>
                <w:color w:val="auto"/>
              </w:rPr>
              <w:t>(Unaudited)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2022</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March 31, 2022</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2022</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581"/>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2021</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March 31, 2021</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2021</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r>
        <w:trPr>
          <w:trHeight w:val="553"/>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2022</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2022</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548"/>
        </w:trPr>
        <w:tc>
          <w:tcPr>
            <w:tcW w:w="3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2021</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U.S. Pawn</w:t>
            </w:r>
          </w:p>
        </w:tc>
        <w:tc>
          <w:tcPr>
            <w:tcW w:w="100" w:type="dxa"/>
            <w:vAlign w:val="bottom"/>
            <w:vMerge w:val="restart"/>
          </w:tcPr>
          <w:p>
            <w:pPr>
              <w:spacing w:after="0"/>
              <w:rPr>
                <w:sz w:val="13"/>
                <w:szCs w:val="13"/>
                <w:color w:val="auto"/>
              </w:rPr>
            </w:pP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700" w:type="dxa"/>
            <w:vAlign w:val="bottom"/>
          </w:tcPr>
          <w:p>
            <w:pPr>
              <w:ind w:left="20"/>
              <w:spacing w:after="0"/>
              <w:rPr>
                <w:sz w:val="20"/>
                <w:szCs w:val="20"/>
                <w:color w:val="auto"/>
              </w:rPr>
            </w:pPr>
            <w:r>
              <w:rPr>
                <w:rFonts w:ascii="Arial" w:cs="Arial" w:eastAsia="Arial" w:hAnsi="Arial"/>
                <w:sz w:val="16"/>
                <w:szCs w:val="16"/>
                <w:color w:val="auto"/>
              </w:rPr>
              <w:t>As of September 30, 2020</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30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6"/>
                <w:szCs w:val="16"/>
                <w:color w:val="auto"/>
              </w:rPr>
              <w:t>Locations acquired</w:t>
            </w:r>
          </w:p>
        </w:tc>
        <w:tc>
          <w:tcPr>
            <w:tcW w:w="44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7"/>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3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2021</w:t>
            </w:r>
          </w:p>
        </w:tc>
        <w:tc>
          <w:tcPr>
            <w:tcW w:w="4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nine months ended June 30, 2022 and 2021 were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5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3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52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8"/>
        </w:trPr>
        <w:tc>
          <w:tcPr>
            <w:tcW w:w="4120" w:type="dxa"/>
            <w:vAlign w:val="bottom"/>
          </w:tcPr>
          <w:p>
            <w:pPr>
              <w:spacing w:after="0"/>
              <w:rPr>
                <w:sz w:val="20"/>
                <w:szCs w:val="20"/>
                <w:color w:val="auto"/>
              </w:rPr>
            </w:pPr>
            <w:r>
              <w:rPr>
                <w:rFonts w:ascii="Arial" w:cs="Arial" w:eastAsia="Arial" w:hAnsi="Arial"/>
                <w:sz w:val="16"/>
                <w:szCs w:val="16"/>
                <w:color w:val="auto"/>
              </w:rPr>
              <w:t>Mexican peso</w:t>
            </w: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Guatemalan quetzal</w:t>
            </w: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Honduran lempira</w:t>
            </w: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Peruvian sol</w:t>
            </w: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48"/>
        </w:trPr>
        <w:tc>
          <w:tcPr>
            <w:tcW w:w="8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8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bl>
    <w:p>
      <w:pPr>
        <w:sectPr>
          <w:pgSz w:w="11900" w:h="16838" w:orient="portrait"/>
          <w:cols w:equalWidth="0" w:num="1">
            <w:col w:w="11240"/>
          </w:cols>
          <w:pgMar w:left="320" w:top="109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16"/>
                <w:szCs w:val="16"/>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Income</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16"/>
                <w:szCs w:val="16"/>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Litigation accrual</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Release of FIN 48 reserves</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Q3</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Total</w:t>
            </w: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Gross Profit</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24"/>
                <w:szCs w:val="2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Tax Effect</w:t>
            </w:r>
          </w:p>
        </w:tc>
        <w:tc>
          <w:tcPr>
            <w:tcW w:w="18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Net</w:t>
            </w:r>
          </w:p>
        </w:tc>
        <w:tc>
          <w:tcPr>
            <w:tcW w:w="11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spacing w:after="0"/>
              <w:rPr>
                <w:sz w:val="24"/>
                <w:szCs w:val="24"/>
                <w:color w:val="auto"/>
              </w:rPr>
            </w:pPr>
          </w:p>
        </w:tc>
        <w:tc>
          <w:tcPr>
            <w:tcW w:w="88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Revenues</w:t>
            </w:r>
          </w:p>
        </w:tc>
        <w:tc>
          <w:tcPr>
            <w:tcW w:w="11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Income</w:t>
            </w: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0" w:type="dxa"/>
            <w:vAlign w:val="bottom"/>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Pr>
          <w:p>
            <w:pPr>
              <w:ind w:left="40"/>
              <w:spacing w:after="0"/>
              <w:rPr>
                <w:sz w:val="20"/>
                <w:szCs w:val="20"/>
                <w:color w:val="auto"/>
              </w:rPr>
            </w:pPr>
            <w:r>
              <w:rPr>
                <w:rFonts w:ascii="Arial" w:cs="Arial" w:eastAsia="Arial" w:hAnsi="Arial"/>
                <w:sz w:val="16"/>
                <w:szCs w:val="16"/>
                <w:color w:val="auto"/>
                <w:w w:val="93"/>
              </w:rPr>
              <w:t>Q3</w:t>
            </w:r>
          </w:p>
        </w:tc>
        <w:tc>
          <w:tcPr>
            <w:tcW w:w="2380" w:type="dxa"/>
            <w:vAlign w:val="bottom"/>
          </w:tcPr>
          <w:p>
            <w:pPr>
              <w:ind w:left="40"/>
              <w:spacing w:after="0"/>
              <w:rPr>
                <w:sz w:val="20"/>
                <w:szCs w:val="20"/>
                <w:color w:val="auto"/>
              </w:rPr>
            </w:pPr>
            <w:r>
              <w:rPr>
                <w:rFonts w:ascii="Arial" w:cs="Arial" w:eastAsia="Arial" w:hAnsi="Arial"/>
                <w:sz w:val="16"/>
                <w:szCs w:val="16"/>
                <w:color w:val="auto"/>
              </w:rPr>
              <w:t>Reported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2"/>
                <w:szCs w:val="22"/>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Acquisition expenses</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040" w:type="dxa"/>
            <w:vAlign w:val="bottom"/>
            <w:gridSpan w:val="3"/>
          </w:tcPr>
          <w:p>
            <w:pPr>
              <w:ind w:left="20"/>
              <w:spacing w:after="0"/>
              <w:rPr>
                <w:sz w:val="20"/>
                <w:szCs w:val="20"/>
                <w:color w:val="auto"/>
              </w:rPr>
            </w:pPr>
            <w:r>
              <w:rPr>
                <w:rFonts w:ascii="Arial" w:cs="Arial" w:eastAsia="Arial" w:hAnsi="Arial"/>
                <w:sz w:val="16"/>
                <w:szCs w:val="16"/>
                <w:color w:val="auto"/>
              </w:rPr>
              <w:t>Peru Reserve</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Non cash Interest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3"/>
              </w:rPr>
              <w:t>Q3</w:t>
            </w:r>
          </w:p>
        </w:tc>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9"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34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Pr>
          <w:p>
            <w:pPr>
              <w:spacing w:after="0"/>
              <w:rPr>
                <w:sz w:val="18"/>
                <w:szCs w:val="18"/>
                <w:color w:val="auto"/>
              </w:rPr>
            </w:pPr>
          </w:p>
        </w:tc>
        <w:tc>
          <w:tcPr>
            <w:tcW w:w="234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June 30, 2022</w:t>
            </w:r>
          </w:p>
        </w:tc>
        <w:tc>
          <w:tcPr>
            <w:tcW w:w="0" w:type="dxa"/>
            <w:vAlign w:val="bottom"/>
          </w:tcPr>
          <w:p>
            <w:pPr>
              <w:spacing w:after="0"/>
              <w:rPr>
                <w:sz w:val="1"/>
                <w:szCs w:val="1"/>
                <w:color w:val="auto"/>
              </w:rPr>
            </w:pPr>
          </w:p>
        </w:tc>
      </w:tr>
      <w:tr>
        <w:trPr>
          <w:trHeight w:val="155"/>
        </w:trPr>
        <w:tc>
          <w:tcPr>
            <w:tcW w:w="5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Percentage</w:t>
            </w: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55"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6"/>
        </w:trPr>
        <w:tc>
          <w:tcPr>
            <w:tcW w:w="5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6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Change YOY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8"/>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4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652.8</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8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c>
          <w:tcPr>
            <w:tcW w:w="4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49"/>
        </w:trPr>
        <w:tc>
          <w:tcPr>
            <w:tcW w:w="594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71 %</w:t>
            </w:r>
          </w:p>
        </w:tc>
        <w:tc>
          <w:tcPr>
            <w:tcW w:w="4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2022-08-03T15:25:24Z</dcterms:created>
  <dcterms:modified xsi:type="dcterms:W3CDTF">2022-08-03T15:25:24Z</dcterms:modified>
</cp:coreProperties>
</file>