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rFonts w:ascii="inherit" w:hAnsi="inherit"/>
          <w:sz w:val="17"/>
        </w:rPr>
      </w:pPr>
      <w:r>
        <w:rPr>
          <w:rFonts w:ascii="inherit" w:hAnsi="inherit"/>
          <w:sz w:val="17"/>
        </w:rPr>
      </w:r>
      <w:bookmarkStart w:id="0" w:name="s3b9ec3aeffe24cb99f9e137017442486"/>
      <w:bookmarkStart w:id="1" w:name="a2014q4pre-release.htm"/>
      <w:bookmarkStart w:id="2" w:name="ksa2014q4prerelease"/>
      <w:bookmarkStart w:id="3" w:name="s3b9ec3aeffe24cb99f9e137017442486"/>
      <w:bookmarkStart w:id="4" w:name="a2014q4pre-release.htm"/>
      <w:bookmarkStart w:id="5" w:name="ksa2014q4prerelease"/>
      <w:bookmarkEnd w:id="3"/>
      <w:bookmarkEnd w:id="4"/>
      <w:bookmarkEnd w:id="5"/>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b/>
          <w:sz w:val="30"/>
        </w:rPr>
      </w:pPr>
      <w:r>
        <w:rPr>
          <w:rFonts w:ascii="inherit" w:hAnsi="inherit"/>
          <w:b/>
          <w:sz w:val="30"/>
        </w:rPr>
        <w:t>FORM 8-K</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23"/>
        </w:rPr>
      </w:pPr>
      <w:r>
        <w:rPr>
          <w:rFonts w:ascii="inherit" w:hAnsi="inherit"/>
          <w:b/>
          <w:sz w:val="23"/>
        </w:rPr>
        <w:t>CURRENT REPORT</w:t>
      </w:r>
    </w:p>
    <w:p>
      <w:pPr>
        <w:pStyle w:val="TextBody"/>
        <w:spacing w:lineRule="auto" w:line="288" w:before="0" w:after="0"/>
        <w:jc w:val="center"/>
        <w:rPr>
          <w:rFonts w:ascii="inherit" w:hAnsi="inherit"/>
          <w:b/>
          <w:sz w:val="20"/>
        </w:rPr>
      </w:pPr>
      <w:r>
        <w:rPr>
          <w:rFonts w:ascii="inherit" w:hAnsi="inherit"/>
          <w:b/>
          <w:sz w:val="20"/>
        </w:rPr>
        <w:t>PURSUANT TO SECTION 13 OR 15(d) OF THE</w:t>
      </w:r>
    </w:p>
    <w:p>
      <w:pPr>
        <w:pStyle w:val="TextBody"/>
        <w:spacing w:lineRule="auto" w:line="288" w:before="0" w:after="0"/>
        <w:jc w:val="center"/>
        <w:rPr>
          <w:rFonts w:ascii="inherit" w:hAnsi="inherit"/>
          <w:b/>
          <w:sz w:val="20"/>
        </w:rPr>
      </w:pPr>
      <w:r>
        <w:rPr>
          <w:rFonts w:ascii="inherit" w:hAnsi="inherit"/>
          <w:b/>
          <w:sz w:val="20"/>
        </w:rPr>
        <w:t>SECURITIES EXCHANGE ACT OF 1934</w:t>
      </w:r>
    </w:p>
    <w:p>
      <w:pPr>
        <w:pStyle w:val="TextBody"/>
        <w:spacing w:lineRule="auto" w:line="288" w:before="0" w:after="0"/>
        <w:jc w:val="center"/>
        <w:rPr>
          <w:rFonts w:ascii="inherit" w:hAnsi="inherit"/>
          <w:b/>
          <w:sz w:val="20"/>
        </w:rPr>
      </w:pPr>
      <w:r>
        <w:rPr>
          <w:rFonts w:ascii="inherit" w:hAnsi="inherit"/>
          <w:b/>
          <w:sz w:val="20"/>
        </w:rPr>
        <w:t xml:space="preserve">Date of Report (Date of earliest event reported): October 27, 2014 </w:t>
      </w:r>
    </w:p>
    <w:p>
      <w:pPr>
        <w:pStyle w:val="TextBody"/>
        <w:spacing w:lineRule="auto" w:line="288" w:before="0" w:after="0"/>
        <w:jc w:val="center"/>
        <w:rPr/>
      </w:pPr>
      <w:r>
        <w:rPr/>
        <w:t> </w:t>
      </w:r>
      <w:r>
        <w:rPr>
          <w:rFonts w:ascii="inherit" w:hAnsi="inherit"/>
          <w:sz w:val="17"/>
        </w:rPr>
        <w:t>_______________________________________________ </w:t>
      </w:r>
    </w:p>
    <w:p>
      <w:pPr>
        <w:pStyle w:val="TextBody"/>
        <w:spacing w:lineRule="auto" w:line="288" w:before="0" w:after="0"/>
        <w:jc w:val="center"/>
        <w:rPr>
          <w:rFonts w:ascii="inherit" w:hAnsi="inherit"/>
          <w:b/>
          <w:sz w:val="40"/>
        </w:rPr>
      </w:pPr>
      <w:r>
        <w:rPr>
          <w:rFonts w:ascii="inherit" w:hAnsi="inherit"/>
          <w:b/>
          <w:sz w:val="40"/>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p>
      <w:pPr>
        <w:pStyle w:val="TextBody"/>
        <w:spacing w:lineRule="auto" w:line="288" w:before="0" w:after="0"/>
        <w:jc w:val="center"/>
        <w:rPr/>
      </w:pPr>
      <w:r>
        <w:rPr/>
        <w:t> </w:t>
      </w:r>
      <w:r>
        <w:rPr>
          <w:rFonts w:ascii="inherit" w:hAnsi="inherit"/>
          <w:sz w:val="17"/>
        </w:rPr>
        <w:t>_______________________________________________________ </w:t>
      </w:r>
    </w:p>
    <w:tbl>
      <w:tblPr>
        <w:tblW w:w="8877" w:type="dxa"/>
        <w:jc w:val="center"/>
        <w:tblInd w:w="0" w:type="dxa"/>
        <w:tblCellMar>
          <w:top w:w="0" w:type="dxa"/>
          <w:left w:w="0" w:type="dxa"/>
          <w:bottom w:w="0" w:type="dxa"/>
          <w:right w:w="0" w:type="dxa"/>
        </w:tblCellMar>
      </w:tblPr>
      <w:tblGrid>
        <w:gridCol w:w="2899"/>
        <w:gridCol w:w="90"/>
        <w:gridCol w:w="2899"/>
        <w:gridCol w:w="90"/>
        <w:gridCol w:w="2899"/>
      </w:tblGrid>
      <w:tr>
        <w:trPr/>
        <w:tc>
          <w:tcPr>
            <w:tcW w:w="8877" w:type="dxa"/>
            <w:gridSpan w:val="5"/>
            <w:tcBorders/>
            <w:shd w:fill="auto" w:val="clear"/>
            <w:vAlign w:val="center"/>
          </w:tcPr>
          <w:p>
            <w:pPr>
              <w:pStyle w:val="TableContents"/>
              <w:spacing w:before="0" w:after="283"/>
              <w:rPr>
                <w:sz w:val="4"/>
                <w:szCs w:val="4"/>
              </w:rPr>
            </w:pPr>
            <w:r>
              <w:rPr>
                <w:sz w:val="4"/>
                <w:szCs w:val="4"/>
              </w:rPr>
            </w:r>
          </w:p>
        </w:tc>
      </w:tr>
      <w:tr>
        <w:trPr/>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9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89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90" w:type="dxa"/>
            <w:tcBorders/>
            <w:shd w:fill="auto" w:val="clear"/>
            <w:vAlign w:val="center"/>
          </w:tcPr>
          <w:p>
            <w:pPr>
              <w:pStyle w:val="TableContents"/>
              <w:spacing w:before="0" w:after="0"/>
              <w:ind w:left="0" w:right="0" w:firstLine="30"/>
              <w:jc w:val="left"/>
              <w:rPr/>
            </w:pPr>
            <w:r>
              <w:rPr/>
              <w:t> </w:t>
            </w:r>
          </w:p>
        </w:tc>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0-19424</w:t>
            </w:r>
          </w:p>
        </w:tc>
        <w:tc>
          <w:tcPr>
            <w:tcW w:w="90" w:type="dxa"/>
            <w:tcBorders/>
            <w:shd w:fill="auto" w:val="clear"/>
            <w:vAlign w:val="center"/>
          </w:tcPr>
          <w:p>
            <w:pPr>
              <w:pStyle w:val="TableContents"/>
              <w:spacing w:before="0" w:after="0"/>
              <w:ind w:left="0" w:right="0" w:firstLine="30"/>
              <w:jc w:val="left"/>
              <w:rPr/>
            </w:pPr>
            <w:r>
              <w:rPr/>
              <w:t> </w:t>
            </w:r>
          </w:p>
        </w:tc>
        <w:tc>
          <w:tcPr>
            <w:tcW w:w="2899"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w:t>
            </w:r>
          </w:p>
          <w:p>
            <w:pPr>
              <w:pStyle w:val="TableContents"/>
              <w:spacing w:before="0" w:after="0"/>
              <w:ind w:left="0" w:right="0" w:firstLine="30"/>
              <w:jc w:val="center"/>
              <w:rPr>
                <w:rFonts w:ascii="inherit" w:hAnsi="inherit"/>
                <w:b/>
                <w:sz w:val="13"/>
              </w:rPr>
            </w:pPr>
            <w:r>
              <w:rPr>
                <w:rFonts w:ascii="inherit" w:hAnsi="inherit"/>
                <w:b/>
                <w:sz w:val="13"/>
              </w:rPr>
              <w:t>of incorporation)</w:t>
            </w:r>
          </w:p>
        </w:tc>
        <w:tc>
          <w:tcPr>
            <w:tcW w:w="90" w:type="dxa"/>
            <w:tcBorders/>
            <w:shd w:fill="auto" w:val="clear"/>
            <w:vAlign w:val="center"/>
          </w:tcPr>
          <w:p>
            <w:pPr>
              <w:pStyle w:val="TableContents"/>
              <w:spacing w:before="0" w:after="0"/>
              <w:ind w:left="0" w:right="0" w:firstLine="30"/>
              <w:jc w:val="left"/>
              <w:rPr/>
            </w:pPr>
            <w:r>
              <w:rPr/>
              <w:t> </w:t>
            </w:r>
          </w:p>
        </w:tc>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(Commission</w:t>
            </w:r>
          </w:p>
          <w:p>
            <w:pPr>
              <w:pStyle w:val="TableContents"/>
              <w:spacing w:before="0" w:after="0"/>
              <w:ind w:left="0" w:right="0" w:firstLine="30"/>
              <w:jc w:val="center"/>
              <w:rPr>
                <w:rFonts w:ascii="inherit" w:hAnsi="inherit"/>
                <w:b/>
                <w:sz w:val="13"/>
              </w:rPr>
            </w:pPr>
            <w:r>
              <w:rPr>
                <w:rFonts w:ascii="inherit" w:hAnsi="inherit"/>
                <w:b/>
                <w:sz w:val="13"/>
              </w:rPr>
              <w:t>File Number)</w:t>
            </w:r>
          </w:p>
        </w:tc>
        <w:tc>
          <w:tcPr>
            <w:tcW w:w="90" w:type="dxa"/>
            <w:tcBorders/>
            <w:shd w:fill="auto" w:val="clear"/>
            <w:vAlign w:val="center"/>
          </w:tcPr>
          <w:p>
            <w:pPr>
              <w:pStyle w:val="TableContents"/>
              <w:spacing w:before="0" w:after="0"/>
              <w:ind w:left="0" w:right="0" w:firstLine="30"/>
              <w:jc w:val="left"/>
              <w:rPr/>
            </w:pPr>
            <w:r>
              <w:rPr/>
              <w:t> </w:t>
            </w:r>
          </w:p>
        </w:tc>
        <w:tc>
          <w:tcPr>
            <w:tcW w:w="2899"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jc w:val="center"/>
              <w:rPr>
                <w:rFonts w:ascii="inherit" w:hAnsi="inherit"/>
                <w:b/>
                <w:sz w:val="13"/>
              </w:rPr>
            </w:pPr>
            <w:r>
              <w:rPr>
                <w:rFonts w:ascii="inherit" w:hAnsi="inherit"/>
                <w:b/>
                <w:sz w:val="13"/>
              </w:rPr>
              <w:t>Identification No.)</w:t>
            </w:r>
          </w:p>
        </w:tc>
      </w:tr>
    </w:tbl>
    <w:p>
      <w:pPr>
        <w:pStyle w:val="TextBody"/>
        <w:spacing w:lineRule="auto" w:line="288" w:before="0" w:after="0"/>
        <w:jc w:val="center"/>
        <w:rPr>
          <w:rFonts w:ascii="inherit" w:hAnsi="inherit"/>
          <w:b/>
          <w:sz w:val="17"/>
        </w:rPr>
      </w:pPr>
      <w:r>
        <w:rPr>
          <w:rFonts w:ascii="inherit" w:hAnsi="inherit"/>
          <w:b/>
          <w:sz w:val="17"/>
        </w:rPr>
        <w:t>1901 Capital Parkway, Austin, Texas 78746</w:t>
      </w:r>
    </w:p>
    <w:p>
      <w:pPr>
        <w:pStyle w:val="TextBody"/>
        <w:spacing w:lineRule="auto" w:line="288" w:before="0" w:after="0"/>
        <w:jc w:val="center"/>
        <w:rPr>
          <w:rFonts w:ascii="inherit" w:hAnsi="inherit"/>
          <w:b/>
          <w:sz w:val="13"/>
        </w:rPr>
      </w:pPr>
      <w:r>
        <w:rPr>
          <w:rFonts w:ascii="inherit" w:hAnsi="inherit"/>
          <w:b/>
          <w:sz w:val="13"/>
        </w:rPr>
        <w:t>(Address of principal executive offices) (zip code)</w:t>
      </w:r>
    </w:p>
    <w:p>
      <w:pPr>
        <w:pStyle w:val="TextBody"/>
        <w:spacing w:lineRule="auto" w:line="288" w:before="0" w:after="0"/>
        <w:jc w:val="center"/>
        <w:rPr>
          <w:rFonts w:ascii="inherit" w:hAnsi="inherit"/>
          <w:b/>
          <w:sz w:val="17"/>
        </w:rPr>
      </w:pPr>
      <w:r>
        <w:rPr>
          <w:rFonts w:ascii="inherit" w:hAnsi="inherit"/>
          <w:b/>
          <w:sz w:val="17"/>
        </w:rPr>
        <w:t>Registrant’s telephone number, including area code: (512) 314-3400</w:t>
      </w:r>
    </w:p>
    <w:p>
      <w:pPr>
        <w:pStyle w:val="TextBody"/>
        <w:spacing w:lineRule="auto" w:line="288" w:before="0" w:after="0"/>
        <w:jc w:val="center"/>
        <w:rPr>
          <w:rFonts w:ascii="inherit" w:hAnsi="inherit"/>
          <w:sz w:val="17"/>
        </w:rPr>
      </w:pPr>
      <w:r>
        <w:rPr>
          <w:rFonts w:ascii="inherit" w:hAnsi="inherit"/>
          <w:sz w:val="17"/>
        </w:rPr>
        <w:t>_______________________________________________________ </w:t>
      </w:r>
    </w:p>
    <w:p>
      <w:pPr>
        <w:pStyle w:val="TextBody"/>
        <w:spacing w:lineRule="auto" w:line="288" w:before="0" w:after="0"/>
        <w:jc w:val="center"/>
        <w:rPr/>
      </w:pPr>
      <w:r>
        <w:rPr/>
        <w:t> </w:t>
      </w:r>
    </w:p>
    <w:p>
      <w:pPr>
        <w:pStyle w:val="TextBody"/>
        <w:spacing w:lineRule="auto" w:line="288" w:before="0" w:after="0"/>
        <w:rPr>
          <w:rFonts w:ascii="inherit" w:hAnsi="inherit"/>
          <w:sz w:val="17"/>
        </w:rPr>
      </w:pPr>
      <w:r>
        <w:rPr>
          <w:rFonts w:ascii="inherit" w:hAnsi="inherit"/>
          <w:sz w:val="17"/>
        </w:rPr>
        <w:t>Check the appropriate box below if the Form 8-K filing is intended to simultaneously satisfy the filing obligation of the registrant under any of the following provisions:</w:t>
      </w:r>
    </w:p>
    <w:tbl>
      <w:tblPr>
        <w:tblW w:w="10205" w:type="dxa"/>
        <w:jc w:val="center"/>
        <w:tblInd w:w="0" w:type="dxa"/>
        <w:tblCellMar>
          <w:top w:w="0" w:type="dxa"/>
          <w:left w:w="0" w:type="dxa"/>
          <w:bottom w:w="0" w:type="dxa"/>
          <w:right w:w="0" w:type="dxa"/>
        </w:tblCellMar>
      </w:tblPr>
      <w:tblGrid>
        <w:gridCol w:w="522"/>
        <w:gridCol w:w="9059"/>
        <w:gridCol w:w="62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22" w:type="dxa"/>
            <w:tcBorders/>
            <w:shd w:fill="auto" w:val="clear"/>
            <w:vAlign w:val="center"/>
          </w:tcPr>
          <w:p>
            <w:pPr>
              <w:pStyle w:val="TableContents"/>
              <w:spacing w:before="0" w:after="283"/>
              <w:rPr>
                <w:sz w:val="4"/>
                <w:szCs w:val="4"/>
              </w:rPr>
            </w:pPr>
            <w:r>
              <w:rPr>
                <w:sz w:val="4"/>
                <w:szCs w:val="4"/>
              </w:rPr>
            </w:r>
          </w:p>
        </w:tc>
        <w:tc>
          <w:tcPr>
            <w:tcW w:w="905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Written communications pursuant to Rule 425 under the Securities Act (17 CFR 230.425)</w:t>
            </w:r>
          </w:p>
        </w:tc>
        <w:tc>
          <w:tcPr>
            <w:tcW w:w="624" w:type="dxa"/>
            <w:tcBorders/>
            <w:shd w:fill="auto" w:val="clear"/>
            <w:vAlign w:val="center"/>
          </w:tcPr>
          <w:p>
            <w:pPr>
              <w:pStyle w:val="TableContents"/>
              <w:spacing w:before="0" w:after="0"/>
              <w:ind w:left="0" w:right="0" w:firstLine="30"/>
              <w:rPr/>
            </w:pPr>
            <w:r>
              <w:rPr/>
              <w:t> </w:t>
            </w:r>
          </w:p>
        </w:tc>
      </w:tr>
      <w:tr>
        <w:trPr/>
        <w:tc>
          <w:tcPr>
            <w:tcW w:w="522" w:type="dxa"/>
            <w:tcBorders/>
            <w:shd w:fill="auto" w:val="clear"/>
            <w:vAlign w:val="center"/>
          </w:tcPr>
          <w:p>
            <w:pPr>
              <w:pStyle w:val="TableContents"/>
              <w:spacing w:before="0" w:after="0"/>
              <w:ind w:left="0" w:right="0" w:firstLine="30"/>
              <w:rPr/>
            </w:pPr>
            <w:r>
              <w:rPr/>
              <w:t> </w:t>
            </w:r>
          </w:p>
        </w:tc>
        <w:tc>
          <w:tcPr>
            <w:tcW w:w="9059" w:type="dxa"/>
            <w:tcBorders/>
            <w:shd w:fill="auto" w:val="clear"/>
            <w:vAlign w:val="center"/>
          </w:tcPr>
          <w:p>
            <w:pPr>
              <w:pStyle w:val="TableContents"/>
              <w:spacing w:before="0" w:after="0"/>
              <w:ind w:left="0" w:right="0" w:firstLine="30"/>
              <w:rPr/>
            </w:pPr>
            <w:r>
              <w:rPr/>
              <w:t> </w:t>
            </w:r>
          </w:p>
        </w:tc>
        <w:tc>
          <w:tcPr>
            <w:tcW w:w="624" w:type="dxa"/>
            <w:tcBorders/>
            <w:shd w:fill="auto" w:val="clear"/>
            <w:vAlign w:val="center"/>
          </w:tcPr>
          <w:p>
            <w:pPr>
              <w:pStyle w:val="TableContents"/>
              <w:spacing w:before="0" w:after="0"/>
              <w:ind w:left="0" w:right="0" w:firstLine="30"/>
              <w:rPr/>
            </w:pPr>
            <w:r>
              <w:rPr/>
              <w:t> </w:t>
            </w:r>
          </w:p>
        </w:tc>
      </w:tr>
      <w:tr>
        <w:trPr/>
        <w:tc>
          <w:tcPr>
            <w:tcW w:w="52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Soliciting material pursuant to Rule 14a-12 under the Exchange Act (17 CFR 240.14a-12)</w:t>
            </w:r>
          </w:p>
        </w:tc>
        <w:tc>
          <w:tcPr>
            <w:tcW w:w="624" w:type="dxa"/>
            <w:tcBorders/>
            <w:shd w:fill="auto" w:val="clear"/>
            <w:vAlign w:val="center"/>
          </w:tcPr>
          <w:p>
            <w:pPr>
              <w:pStyle w:val="TableContents"/>
              <w:spacing w:before="0" w:after="0"/>
              <w:ind w:left="0" w:right="0" w:firstLine="30"/>
              <w:rPr/>
            </w:pPr>
            <w:r>
              <w:rPr/>
              <w:t> </w:t>
            </w:r>
          </w:p>
        </w:tc>
      </w:tr>
      <w:tr>
        <w:trPr/>
        <w:tc>
          <w:tcPr>
            <w:tcW w:w="522" w:type="dxa"/>
            <w:tcBorders/>
            <w:shd w:fill="auto" w:val="clear"/>
            <w:vAlign w:val="center"/>
          </w:tcPr>
          <w:p>
            <w:pPr>
              <w:pStyle w:val="TableContents"/>
              <w:spacing w:before="0" w:after="0"/>
              <w:ind w:left="0" w:right="0" w:firstLine="30"/>
              <w:rPr/>
            </w:pPr>
            <w:r>
              <w:rPr/>
              <w:t> </w:t>
            </w:r>
          </w:p>
        </w:tc>
        <w:tc>
          <w:tcPr>
            <w:tcW w:w="9059" w:type="dxa"/>
            <w:tcBorders/>
            <w:shd w:fill="auto" w:val="clear"/>
            <w:vAlign w:val="center"/>
          </w:tcPr>
          <w:p>
            <w:pPr>
              <w:pStyle w:val="TableContents"/>
              <w:spacing w:before="0" w:after="0"/>
              <w:ind w:left="0" w:right="0" w:firstLine="30"/>
              <w:rPr/>
            </w:pPr>
            <w:r>
              <w:rPr/>
              <w:t> </w:t>
            </w:r>
          </w:p>
        </w:tc>
        <w:tc>
          <w:tcPr>
            <w:tcW w:w="624" w:type="dxa"/>
            <w:tcBorders/>
            <w:shd w:fill="auto" w:val="clear"/>
            <w:vAlign w:val="center"/>
          </w:tcPr>
          <w:p>
            <w:pPr>
              <w:pStyle w:val="TableContents"/>
              <w:spacing w:before="0" w:after="0"/>
              <w:ind w:left="0" w:right="0" w:firstLine="30"/>
              <w:rPr/>
            </w:pPr>
            <w:r>
              <w:rPr/>
              <w:t> </w:t>
            </w:r>
          </w:p>
        </w:tc>
      </w:tr>
      <w:tr>
        <w:trPr/>
        <w:tc>
          <w:tcPr>
            <w:tcW w:w="52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14d-2(b) under the Exchange Act (17 CFR 240.14d-2(b))</w:t>
            </w:r>
          </w:p>
        </w:tc>
        <w:tc>
          <w:tcPr>
            <w:tcW w:w="624" w:type="dxa"/>
            <w:tcBorders/>
            <w:shd w:fill="auto" w:val="clear"/>
            <w:vAlign w:val="center"/>
          </w:tcPr>
          <w:p>
            <w:pPr>
              <w:pStyle w:val="TableContents"/>
              <w:spacing w:before="0" w:after="0"/>
              <w:ind w:left="0" w:right="0" w:firstLine="30"/>
              <w:rPr/>
            </w:pPr>
            <w:r>
              <w:rPr/>
              <w:t> </w:t>
            </w:r>
          </w:p>
        </w:tc>
      </w:tr>
      <w:tr>
        <w:trPr/>
        <w:tc>
          <w:tcPr>
            <w:tcW w:w="522" w:type="dxa"/>
            <w:tcBorders/>
            <w:shd w:fill="auto" w:val="clear"/>
            <w:vAlign w:val="center"/>
          </w:tcPr>
          <w:p>
            <w:pPr>
              <w:pStyle w:val="TableContents"/>
              <w:spacing w:before="0" w:after="0"/>
              <w:ind w:left="0" w:right="0" w:firstLine="30"/>
              <w:rPr/>
            </w:pPr>
            <w:r>
              <w:rPr/>
              <w:t> </w:t>
            </w:r>
          </w:p>
        </w:tc>
        <w:tc>
          <w:tcPr>
            <w:tcW w:w="9059" w:type="dxa"/>
            <w:tcBorders/>
            <w:shd w:fill="auto" w:val="clear"/>
            <w:vAlign w:val="center"/>
          </w:tcPr>
          <w:p>
            <w:pPr>
              <w:pStyle w:val="TableContents"/>
              <w:spacing w:before="0" w:after="0"/>
              <w:ind w:left="0" w:right="0" w:firstLine="30"/>
              <w:rPr/>
            </w:pPr>
            <w:r>
              <w:rPr/>
              <w:t> </w:t>
            </w:r>
          </w:p>
        </w:tc>
        <w:tc>
          <w:tcPr>
            <w:tcW w:w="624" w:type="dxa"/>
            <w:tcBorders/>
            <w:shd w:fill="auto" w:val="clear"/>
            <w:vAlign w:val="center"/>
          </w:tcPr>
          <w:p>
            <w:pPr>
              <w:pStyle w:val="TableContents"/>
              <w:spacing w:before="0" w:after="0"/>
              <w:ind w:left="0" w:right="0" w:firstLine="30"/>
              <w:rPr/>
            </w:pPr>
            <w:r>
              <w:rPr/>
              <w:t> </w:t>
            </w:r>
          </w:p>
        </w:tc>
      </w:tr>
      <w:tr>
        <w:trPr/>
        <w:tc>
          <w:tcPr>
            <w:tcW w:w="522"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o</w:t>
            </w:r>
          </w:p>
        </w:tc>
        <w:tc>
          <w:tcPr>
            <w:tcW w:w="9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Pre-commencement communications pursuant to Rule 13e-4(c) under the Exchange Act (17 CFR 240.13e-4(c))</w:t>
            </w:r>
          </w:p>
        </w:tc>
        <w:tc>
          <w:tcPr>
            <w:tcW w:w="624" w:type="dxa"/>
            <w:tcBorders/>
            <w:shd w:fill="auto" w:val="clear"/>
            <w:vAlign w:val="center"/>
          </w:tcPr>
          <w:p>
            <w:pPr>
              <w:pStyle w:val="TableContents"/>
              <w:spacing w:before="0" w:after="0"/>
              <w:rPr/>
            </w:pPr>
            <w:r>
              <w:rPr/>
              <w:t> </w:t>
            </w:r>
          </w:p>
        </w:tc>
      </w:tr>
    </w:tbl>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6" w:name="sd93b6d18e14844ebb0c8b6c082f006aa"/>
      <w:bookmarkStart w:id="7" w:name="sd93b6d18e14844ebb0c8b6c082f006aa"/>
      <w:bookmarkEnd w:id="7"/>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2.02 — Results of Operations and Financial Condition</w:t>
      </w:r>
    </w:p>
    <w:p>
      <w:pPr>
        <w:pStyle w:val="TextBody"/>
        <w:spacing w:lineRule="auto" w:line="288" w:before="0" w:after="0"/>
        <w:rPr>
          <w:rFonts w:ascii="inherit" w:hAnsi="inherit"/>
          <w:sz w:val="17"/>
        </w:rPr>
      </w:pPr>
      <w:r>
        <w:rPr>
          <w:rFonts w:ascii="inherit" w:hAnsi="inherit"/>
          <w:sz w:val="17"/>
        </w:rPr>
        <w:t>On October 27, 2014, EZCORP, Inc. issued a press release announcing its preliminary results of operations and financial condition for the fourth fiscal quarter ended September 30, 2014. A copy of that press release is attached as Exhibit 99.1.</w:t>
      </w:r>
    </w:p>
    <w:p>
      <w:pPr>
        <w:pStyle w:val="TextBody"/>
        <w:spacing w:lineRule="auto" w:line="288" w:before="0" w:after="0"/>
        <w:jc w:val="left"/>
        <w:rPr>
          <w:rFonts w:ascii="inherit" w:hAnsi="inherit"/>
          <w:i/>
          <w:sz w:val="17"/>
        </w:rPr>
      </w:pPr>
      <w:r>
        <w:rPr>
          <w:rFonts w:ascii="inherit" w:hAnsi="inherit"/>
          <w:i/>
          <w:sz w:val="17"/>
        </w:rPr>
        <w:t xml:space="preserve">As used herein, “GAAP” refers to accounting principles generally accepted in the United States. </w:t>
      </w:r>
    </w:p>
    <w:p>
      <w:pPr>
        <w:pStyle w:val="TextBody"/>
        <w:spacing w:lineRule="auto" w:line="288" w:before="0" w:after="0"/>
        <w:jc w:val="left"/>
        <w:rPr>
          <w:rFonts w:ascii="inherit" w:hAnsi="inherit"/>
          <w:sz w:val="17"/>
        </w:rPr>
      </w:pPr>
      <w:r>
        <w:rPr>
          <w:rFonts w:ascii="inherit" w:hAnsi="inherit"/>
          <w:sz w:val="17"/>
        </w:rPr>
        <w:t xml:space="preserve">The press release furnished in Exhibit 99.1 presents the financial results in accordance with GAAP. In addition, earnings per share from continuing operations for the three months ended September 30, 2014 are also presented on a non-GAAP basis. Information sufficient to reconcile the non-GAAP measure to the GAAP measure is also presented. This non-GAAP financial measure is not meant to be considered in isolation or as a substitute for the corresponding GAAP measure. </w:t>
      </w:r>
    </w:p>
    <w:p>
      <w:pPr>
        <w:pStyle w:val="TextBody"/>
        <w:spacing w:lineRule="auto" w:line="288" w:before="0" w:after="0"/>
        <w:rPr>
          <w:rFonts w:ascii="inherit" w:hAnsi="inherit"/>
          <w:sz w:val="17"/>
        </w:rPr>
      </w:pPr>
      <w:r>
        <w:rPr>
          <w:rFonts w:ascii="inherit" w:hAnsi="inherit"/>
          <w:sz w:val="17"/>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pStyle w:val="TextBody"/>
        <w:spacing w:lineRule="auto" w:line="288" w:before="0" w:after="0"/>
        <w:rPr>
          <w:rFonts w:ascii="inherit" w:hAnsi="inherit"/>
          <w:b/>
          <w:sz w:val="17"/>
        </w:rPr>
      </w:pPr>
      <w:bookmarkStart w:id="8" w:name="sbc001a7b52a84d33be45e070115c8a7b"/>
      <w:bookmarkEnd w:id="8"/>
      <w:r>
        <w:rPr>
          <w:rFonts w:ascii="inherit" w:hAnsi="inherit"/>
          <w:b/>
          <w:sz w:val="17"/>
        </w:rPr>
        <w:t>Item 9.01 Financial Statements and Exhibits.</w:t>
      </w:r>
    </w:p>
    <w:p>
      <w:pPr>
        <w:pStyle w:val="TextBody"/>
        <w:spacing w:lineRule="auto" w:line="288" w:before="0" w:after="0"/>
        <w:rPr>
          <w:rFonts w:ascii="inherit" w:hAnsi="inherit"/>
          <w:sz w:val="17"/>
        </w:rPr>
      </w:pPr>
      <w:r>
        <w:rPr>
          <w:rFonts w:ascii="inherit" w:hAnsi="inherit"/>
          <w:sz w:val="17"/>
        </w:rPr>
      </w:r>
    </w:p>
    <w:tbl>
      <w:tblPr>
        <w:tblW w:w="1000" w:type="dxa"/>
        <w:jc w:val="left"/>
        <w:tblInd w:w="0" w:type="dxa"/>
        <w:tblCellMar>
          <w:top w:w="0" w:type="dxa"/>
          <w:left w:w="0" w:type="dxa"/>
          <w:bottom w:w="0" w:type="dxa"/>
          <w:right w:w="0" w:type="dxa"/>
        </w:tblCellMar>
      </w:tblPr>
      <w:tblGrid>
        <w:gridCol w:w="260"/>
        <w:gridCol w:w="740"/>
      </w:tblGrid>
      <w:tr>
        <w:trPr/>
        <w:tc>
          <w:tcPr>
            <w:tcW w:w="2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(d)</w:t>
            </w:r>
          </w:p>
        </w:tc>
        <w:tc>
          <w:tcPr>
            <w:tcW w:w="74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Exhibits.</w:t>
            </w:r>
          </w:p>
        </w:tc>
      </w:tr>
    </w:tbl>
    <w:p>
      <w:pPr>
        <w:pStyle w:val="TextBody"/>
        <w:spacing w:lineRule="auto" w:line="288" w:before="0" w:after="0"/>
        <w:ind w:left="0" w:right="0" w:firstLine="60"/>
        <w:jc w:val="left"/>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754"/>
        <w:gridCol w:w="945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754" w:type="dxa"/>
            <w:tcBorders/>
            <w:shd w:fill="auto" w:val="clear"/>
            <w:vAlign w:val="center"/>
          </w:tcPr>
          <w:p>
            <w:pPr>
              <w:pStyle w:val="TableContents"/>
              <w:spacing w:before="0" w:after="283"/>
              <w:rPr>
                <w:sz w:val="4"/>
                <w:szCs w:val="4"/>
              </w:rPr>
            </w:pPr>
            <w:r>
              <w:rPr>
                <w:sz w:val="4"/>
                <w:szCs w:val="4"/>
              </w:rPr>
            </w:r>
          </w:p>
        </w:tc>
        <w:tc>
          <w:tcPr>
            <w:tcW w:w="94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5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9451" w:type="dxa"/>
            <w:tcBorders/>
            <w:shd w:fill="auto" w:val="clear"/>
            <w:vAlign w:val="center"/>
          </w:tcPr>
          <w:p>
            <w:pPr>
              <w:pStyle w:val="TableContents"/>
              <w:spacing w:before="0" w:after="0"/>
              <w:jc w:val="left"/>
              <w:rPr>
                <w:rFonts w:ascii="inherit" w:hAnsi="inherit"/>
                <w:sz w:val="17"/>
              </w:rPr>
            </w:pPr>
            <w:r>
              <w:rPr>
                <w:rFonts w:ascii="inherit" w:hAnsi="inherit"/>
                <w:sz w:val="17"/>
              </w:rPr>
              <w:t xml:space="preserve">Press Release, dated October 27, 2014, announcing EZCORP, Inc.’s preliminary results of operations and financial condition for the fourth fiscal quarter ended September 30, 2014.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9" w:name="s42dba9b7f85946cc96df420b4b9d71f8"/>
      <w:bookmarkStart w:id="10" w:name="s42dba9b7f85946cc96df420b4b9d71f8"/>
      <w:bookmarkEnd w:id="10"/>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hereunto duly authorized.</w:t>
      </w:r>
    </w:p>
    <w:p>
      <w:pPr>
        <w:pStyle w:val="TextBody"/>
        <w:spacing w:lineRule="auto" w:line="288" w:before="0" w:after="0"/>
        <w:rPr/>
      </w:pPr>
      <w:r>
        <w:rPr/>
        <w:t> </w:t>
      </w:r>
    </w:p>
    <w:tbl>
      <w:tblPr>
        <w:tblW w:w="10205" w:type="dxa"/>
        <w:jc w:val="center"/>
        <w:tblInd w:w="0" w:type="dxa"/>
        <w:tblCellMar>
          <w:top w:w="0" w:type="dxa"/>
          <w:left w:w="0" w:type="dxa"/>
          <w:bottom w:w="0" w:type="dxa"/>
          <w:right w:w="0" w:type="dxa"/>
        </w:tblCellMar>
      </w:tblPr>
      <w:tblGrid>
        <w:gridCol w:w="552"/>
        <w:gridCol w:w="4058"/>
        <w:gridCol w:w="216"/>
        <w:gridCol w:w="427"/>
        <w:gridCol w:w="216"/>
        <w:gridCol w:w="437"/>
        <w:gridCol w:w="216"/>
        <w:gridCol w:w="408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52" w:type="dxa"/>
            <w:tcBorders/>
            <w:shd w:fill="auto" w:val="clear"/>
            <w:vAlign w:val="center"/>
          </w:tcPr>
          <w:p>
            <w:pPr>
              <w:pStyle w:val="TableContents"/>
              <w:spacing w:before="0" w:after="283"/>
              <w:rPr>
                <w:sz w:val="4"/>
                <w:szCs w:val="4"/>
              </w:rPr>
            </w:pPr>
            <w:r>
              <w:rPr>
                <w:sz w:val="4"/>
                <w:szCs w:val="4"/>
              </w:rPr>
            </w:r>
          </w:p>
        </w:tc>
        <w:tc>
          <w:tcPr>
            <w:tcW w:w="4058"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40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2" w:type="dxa"/>
            <w:tcBorders/>
            <w:shd w:fill="auto" w:val="clear"/>
            <w:vAlign w:val="center"/>
          </w:tcPr>
          <w:p>
            <w:pPr>
              <w:pStyle w:val="TableContents"/>
              <w:spacing w:before="0" w:after="0"/>
              <w:ind w:left="0" w:right="0" w:firstLine="30"/>
              <w:rPr/>
            </w:pPr>
            <w:r>
              <w:rPr/>
              <w:t> </w:t>
            </w:r>
          </w:p>
        </w:tc>
        <w:tc>
          <w:tcPr>
            <w:tcW w:w="4058"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2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736" w:type="dxa"/>
            <w:gridSpan w:val="3"/>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52" w:type="dxa"/>
            <w:tcBorders/>
            <w:shd w:fill="auto" w:val="clear"/>
            <w:vAlign w:val="center"/>
          </w:tcPr>
          <w:p>
            <w:pPr>
              <w:pStyle w:val="TableContents"/>
              <w:spacing w:before="0" w:after="0"/>
              <w:ind w:left="0" w:right="0" w:firstLine="30"/>
              <w:rPr/>
            </w:pPr>
            <w:r>
              <w:rPr/>
              <w:t> </w:t>
            </w:r>
          </w:p>
        </w:tc>
        <w:tc>
          <w:tcPr>
            <w:tcW w:w="4058" w:type="dxa"/>
            <w:tcBorders/>
            <w:shd w:fill="auto" w:val="clear"/>
            <w:vAlign w:val="center"/>
          </w:tcPr>
          <w:p>
            <w:pPr>
              <w:pStyle w:val="TableContents"/>
              <w:spacing w:before="0" w:after="0"/>
              <w:ind w:left="0" w:right="0" w:firstLine="30"/>
              <w:rPr/>
            </w:pPr>
            <w:r>
              <w:rPr/>
              <w:t> </w:t>
            </w:r>
          </w:p>
        </w:tc>
        <w:tc>
          <w:tcPr>
            <w:tcW w:w="643" w:type="dxa"/>
            <w:gridSpan w:val="2"/>
            <w:tcBorders/>
            <w:shd w:fill="auto" w:val="clear"/>
            <w:vAlign w:val="center"/>
          </w:tcPr>
          <w:p>
            <w:pPr>
              <w:pStyle w:val="TableContents"/>
              <w:spacing w:before="0" w:after="0"/>
              <w:ind w:left="0" w:right="0" w:firstLine="30"/>
              <w:rPr/>
            </w:pPr>
            <w:r>
              <w:rPr/>
              <w:t> </w:t>
            </w:r>
          </w:p>
        </w:tc>
        <w:tc>
          <w:tcPr>
            <w:tcW w:w="653" w:type="dxa"/>
            <w:gridSpan w:val="2"/>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rPr/>
            </w:pPr>
            <w:r>
              <w:rPr/>
              <w:t> </w:t>
            </w:r>
          </w:p>
        </w:tc>
        <w:tc>
          <w:tcPr>
            <w:tcW w:w="4083" w:type="dxa"/>
            <w:tcBorders/>
            <w:shd w:fill="auto" w:val="clear"/>
            <w:vAlign w:val="center"/>
          </w:tcPr>
          <w:p>
            <w:pPr>
              <w:pStyle w:val="TableContents"/>
              <w:spacing w:before="0" w:after="0"/>
              <w:ind w:left="0" w:right="0" w:firstLine="30"/>
              <w:rPr/>
            </w:pPr>
            <w:r>
              <w:rPr/>
              <w:t> </w:t>
            </w:r>
          </w:p>
        </w:tc>
      </w:tr>
      <w:tr>
        <w:trPr/>
        <w:tc>
          <w:tcPr>
            <w:tcW w:w="5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w:t>
            </w:r>
          </w:p>
        </w:tc>
        <w:tc>
          <w:tcPr>
            <w:tcW w:w="40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October 27, 2014</w:t>
            </w:r>
          </w:p>
        </w:tc>
        <w:tc>
          <w:tcPr>
            <w:tcW w:w="216" w:type="dxa"/>
            <w:tcBorders/>
            <w:shd w:fill="auto" w:val="clear"/>
            <w:vAlign w:val="center"/>
          </w:tcPr>
          <w:p>
            <w:pPr>
              <w:pStyle w:val="TableContents"/>
              <w:spacing w:before="0" w:after="0"/>
              <w:ind w:left="0" w:right="0" w:firstLine="30"/>
              <w:jc w:val="left"/>
              <w:rPr/>
            </w:pPr>
            <w:r>
              <w:rPr/>
              <w:t> </w:t>
            </w:r>
          </w:p>
        </w:tc>
        <w:tc>
          <w:tcPr>
            <w:tcW w:w="42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By:</w:t>
            </w:r>
          </w:p>
        </w:tc>
        <w:tc>
          <w:tcPr>
            <w:tcW w:w="216" w:type="dxa"/>
            <w:tcBorders/>
            <w:shd w:fill="auto" w:val="clear"/>
            <w:vAlign w:val="center"/>
          </w:tcPr>
          <w:p>
            <w:pPr>
              <w:pStyle w:val="TableContents"/>
              <w:spacing w:before="0" w:after="0"/>
              <w:ind w:left="0" w:right="0" w:firstLine="30"/>
              <w:jc w:val="left"/>
              <w:rPr/>
            </w:pPr>
            <w:r>
              <w:rPr/>
              <w:t> </w:t>
            </w:r>
          </w:p>
        </w:tc>
        <w:tc>
          <w:tcPr>
            <w:tcW w:w="408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/s/ Mark Kuchenrither</w:t>
            </w:r>
          </w:p>
        </w:tc>
      </w:tr>
      <w:tr>
        <w:trPr/>
        <w:tc>
          <w:tcPr>
            <w:tcW w:w="552" w:type="dxa"/>
            <w:tcBorders/>
            <w:shd w:fill="auto" w:val="clear"/>
            <w:vAlign w:val="center"/>
          </w:tcPr>
          <w:p>
            <w:pPr>
              <w:pStyle w:val="TableContents"/>
              <w:spacing w:before="0" w:after="0"/>
              <w:ind w:left="0" w:right="0" w:firstLine="30"/>
              <w:rPr/>
            </w:pPr>
            <w:r>
              <w:rPr/>
              <w:t> </w:t>
            </w:r>
          </w:p>
        </w:tc>
        <w:tc>
          <w:tcPr>
            <w:tcW w:w="4058"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2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3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0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Mark Kuchenrither</w:t>
            </w:r>
          </w:p>
        </w:tc>
      </w:tr>
      <w:tr>
        <w:trPr/>
        <w:tc>
          <w:tcPr>
            <w:tcW w:w="552" w:type="dxa"/>
            <w:tcBorders/>
            <w:shd w:fill="auto" w:val="clear"/>
            <w:vAlign w:val="center"/>
          </w:tcPr>
          <w:p>
            <w:pPr>
              <w:pStyle w:val="TableContents"/>
              <w:spacing w:before="0" w:after="0"/>
              <w:ind w:left="0" w:right="0" w:firstLine="30"/>
              <w:rPr/>
            </w:pPr>
            <w:r>
              <w:rPr/>
              <w:t> </w:t>
            </w:r>
          </w:p>
        </w:tc>
        <w:tc>
          <w:tcPr>
            <w:tcW w:w="4058"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2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3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jc w:val="left"/>
              <w:rPr/>
            </w:pPr>
            <w:r>
              <w:rPr/>
              <w:t> </w:t>
            </w:r>
          </w:p>
        </w:tc>
        <w:tc>
          <w:tcPr>
            <w:tcW w:w="40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Executive Officer and Chief Financial Officer</w:t>
            </w:r>
          </w:p>
        </w:tc>
      </w:tr>
      <w:tr>
        <w:trPr/>
        <w:tc>
          <w:tcPr>
            <w:tcW w:w="552" w:type="dxa"/>
            <w:tcBorders/>
            <w:shd w:fill="auto" w:val="clear"/>
            <w:vAlign w:val="center"/>
          </w:tcPr>
          <w:p>
            <w:pPr>
              <w:pStyle w:val="TableContents"/>
              <w:spacing w:before="0" w:after="0"/>
              <w:ind w:left="0" w:right="0" w:firstLine="30"/>
              <w:rPr/>
            </w:pPr>
            <w:r>
              <w:rPr/>
              <w:t> </w:t>
            </w:r>
          </w:p>
        </w:tc>
        <w:tc>
          <w:tcPr>
            <w:tcW w:w="4058"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rPr/>
            </w:pPr>
            <w:r>
              <w:rPr/>
              <w:t> </w:t>
            </w:r>
          </w:p>
        </w:tc>
        <w:tc>
          <w:tcPr>
            <w:tcW w:w="42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rPr/>
            </w:pPr>
            <w:r>
              <w:rPr/>
              <w:t> </w:t>
            </w:r>
          </w:p>
        </w:tc>
        <w:tc>
          <w:tcPr>
            <w:tcW w:w="437" w:type="dxa"/>
            <w:tcBorders/>
            <w:shd w:fill="auto" w:val="clear"/>
            <w:vAlign w:val="center"/>
          </w:tcPr>
          <w:p>
            <w:pPr>
              <w:pStyle w:val="TableContents"/>
              <w:spacing w:before="0" w:after="0"/>
              <w:ind w:left="0" w:right="0" w:firstLine="30"/>
              <w:rPr/>
            </w:pPr>
            <w:r>
              <w:rPr/>
              <w:t> </w:t>
            </w:r>
          </w:p>
        </w:tc>
        <w:tc>
          <w:tcPr>
            <w:tcW w:w="216" w:type="dxa"/>
            <w:tcBorders/>
            <w:shd w:fill="auto" w:val="clear"/>
            <w:vAlign w:val="center"/>
          </w:tcPr>
          <w:p>
            <w:pPr>
              <w:pStyle w:val="TableContents"/>
              <w:spacing w:before="0" w:after="0"/>
              <w:ind w:left="0" w:right="0" w:firstLine="30"/>
              <w:rPr/>
            </w:pPr>
            <w:r>
              <w:rPr/>
              <w:t> </w:t>
            </w:r>
          </w:p>
        </w:tc>
        <w:tc>
          <w:tcPr>
            <w:tcW w:w="4083" w:type="dxa"/>
            <w:tcBorders/>
            <w:shd w:fill="auto" w:val="cle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rFonts w:ascii="inherit" w:hAnsi="inherit"/>
          <w:sz w:val="17"/>
        </w:rPr>
      </w:pPr>
      <w:r>
        <w:rPr>
          <w:rFonts w:ascii="inherit" w:hAnsi="inherit"/>
          <w:sz w:val="17"/>
        </w:rPr>
      </w:r>
      <w:bookmarkStart w:id="11" w:name="s8fae45a8a9e447fe8bd60f9a5145f3d4"/>
      <w:bookmarkStart w:id="12" w:name="s8fae45a8a9e447fe8bd60f9a5145f3d4"/>
      <w:bookmarkEnd w:id="12"/>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EXHIBIT INDEX</w:t>
      </w:r>
    </w:p>
    <w:tbl>
      <w:tblPr>
        <w:tblW w:w="10205" w:type="dxa"/>
        <w:jc w:val="left"/>
        <w:tblInd w:w="0" w:type="dxa"/>
        <w:tblCellMar>
          <w:top w:w="0" w:type="dxa"/>
          <w:left w:w="0" w:type="dxa"/>
          <w:bottom w:w="0" w:type="dxa"/>
          <w:right w:w="0" w:type="dxa"/>
        </w:tblCellMar>
      </w:tblPr>
      <w:tblGrid>
        <w:gridCol w:w="1383"/>
        <w:gridCol w:w="258"/>
        <w:gridCol w:w="8564"/>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38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5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383"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Exhibit</w:t>
            </w:r>
          </w:p>
          <w:p>
            <w:pPr>
              <w:pStyle w:val="TableContents"/>
              <w:spacing w:before="0" w:after="0"/>
              <w:ind w:left="0" w:right="0" w:firstLine="30"/>
              <w:jc w:val="center"/>
              <w:rPr>
                <w:rFonts w:ascii="inherit" w:hAnsi="inherit"/>
                <w:b/>
                <w:sz w:val="13"/>
              </w:rPr>
            </w:pPr>
            <w:r>
              <w:rPr>
                <w:rFonts w:ascii="inherit" w:hAnsi="inherit"/>
                <w:b/>
                <w:sz w:val="13"/>
              </w:rPr>
              <w:t>No.</w:t>
            </w:r>
          </w:p>
        </w:tc>
        <w:tc>
          <w:tcPr>
            <w:tcW w:w="258" w:type="dxa"/>
            <w:tcBorders/>
            <w:shd w:fill="auto" w:val="clear"/>
            <w:vAlign w:val="center"/>
          </w:tcPr>
          <w:p>
            <w:pPr>
              <w:pStyle w:val="TableContents"/>
              <w:spacing w:before="0" w:after="0"/>
              <w:ind w:left="0" w:right="0" w:firstLine="30"/>
              <w:jc w:val="left"/>
              <w:rPr/>
            </w:pPr>
            <w:r>
              <w:rPr/>
              <w:t>  </w:t>
            </w:r>
          </w:p>
        </w:tc>
        <w:tc>
          <w:tcPr>
            <w:tcW w:w="856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383" w:type="dxa"/>
            <w:tcBorders/>
            <w:shd w:fill="auto" w:val="clear"/>
            <w:vAlign w:val="center"/>
          </w:tcPr>
          <w:p>
            <w:pPr>
              <w:pStyle w:val="TableContents"/>
              <w:spacing w:before="0" w:after="0"/>
              <w:ind w:left="0" w:right="0" w:firstLine="30"/>
              <w:rPr/>
            </w:pPr>
            <w:r>
              <w:rPr/>
              <w:t> </w:t>
            </w:r>
          </w:p>
        </w:tc>
        <w:tc>
          <w:tcPr>
            <w:tcW w:w="258" w:type="dxa"/>
            <w:tcBorders/>
            <w:shd w:fill="auto" w:val="clear"/>
            <w:vAlign w:val="center"/>
          </w:tcPr>
          <w:p>
            <w:pPr>
              <w:pStyle w:val="TableContents"/>
              <w:spacing w:before="0" w:after="0"/>
              <w:ind w:left="0" w:right="0" w:firstLine="30"/>
              <w:rPr/>
            </w:pPr>
            <w:r>
              <w:rPr/>
              <w:t> </w:t>
            </w:r>
          </w:p>
        </w:tc>
        <w:tc>
          <w:tcPr>
            <w:tcW w:w="8564" w:type="dxa"/>
            <w:tcBorders/>
            <w:shd w:fill="auto" w:val="clear"/>
            <w:vAlign w:val="center"/>
          </w:tcPr>
          <w:p>
            <w:pPr>
              <w:pStyle w:val="TableContents"/>
              <w:spacing w:before="0" w:after="0"/>
              <w:ind w:left="0" w:right="0" w:firstLine="30"/>
              <w:rPr/>
            </w:pPr>
            <w:r>
              <w:rPr/>
              <w:t> </w:t>
            </w:r>
          </w:p>
        </w:tc>
      </w:tr>
      <w:tr>
        <w:trPr/>
        <w:tc>
          <w:tcPr>
            <w:tcW w:w="1383"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99.1</w:t>
            </w:r>
          </w:p>
        </w:tc>
        <w:tc>
          <w:tcPr>
            <w:tcW w:w="258" w:type="dxa"/>
            <w:tcBorders/>
            <w:shd w:fill="auto" w:val="clear"/>
            <w:vAlign w:val="center"/>
          </w:tcPr>
          <w:p>
            <w:pPr>
              <w:pStyle w:val="TableContents"/>
              <w:spacing w:before="0" w:after="0"/>
              <w:ind w:left="0" w:right="0" w:firstLine="30"/>
              <w:jc w:val="left"/>
              <w:rPr/>
            </w:pPr>
            <w:r>
              <w:rPr/>
              <w:t>  </w:t>
            </w:r>
          </w:p>
        </w:tc>
        <w:tc>
          <w:tcPr>
            <w:tcW w:w="8564" w:type="dxa"/>
            <w:tcBorders/>
            <w:shd w:fill="auto" w:val="clear"/>
            <w:vAlign w:val="center"/>
          </w:tcPr>
          <w:p>
            <w:pPr>
              <w:pStyle w:val="TableContents"/>
              <w:spacing w:before="0" w:after="0"/>
              <w:rPr>
                <w:rFonts w:ascii="inherit" w:hAnsi="inherit"/>
                <w:sz w:val="17"/>
              </w:rPr>
            </w:pPr>
            <w:r>
              <w:rPr>
                <w:rFonts w:ascii="inherit" w:hAnsi="inherit"/>
                <w:sz w:val="17"/>
              </w:rPr>
              <w:t xml:space="preserve">Press Release, dated October 27, 2014, announcing EZCORP, Inc.’s preliminary results of operations and financial condition for the fourth fiscal quarter ended September 30, 2014. </w:t>
            </w:r>
          </w:p>
          <w:p>
            <w:pPr>
              <w:pStyle w:val="TableContents"/>
              <w:spacing w:before="0" w:after="0"/>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rFonts w:ascii="inherit" w:hAnsi="inherit"/>
          <w:sz w:val="17"/>
        </w:rPr>
      </w:pPr>
      <w:r>
        <w:rPr>
          <w:rFonts w:ascii="inherit" w:hAnsi="inherit"/>
          <w:sz w:val="17"/>
        </w:rPr>
      </w:r>
      <w:bookmarkStart w:id="13" w:name="sae3689aecc084bae921db0cf7818576e"/>
      <w:bookmarkStart w:id="14" w:name="a2014pre-release.htm"/>
      <w:bookmarkStart w:id="15" w:name="ksa2014prerelease"/>
      <w:bookmarkStart w:id="16" w:name="sae3689aecc084bae921db0cf7818576e"/>
      <w:bookmarkStart w:id="17" w:name="a2014pre-release.htm"/>
      <w:bookmarkStart w:id="18" w:name="ksa2014prerelease"/>
      <w:bookmarkEnd w:id="16"/>
      <w:bookmarkEnd w:id="17"/>
      <w:bookmarkEnd w:id="18"/>
    </w:p>
    <w:p>
      <w:pPr>
        <w:pStyle w:val="TextBody"/>
        <w:spacing w:before="0" w:after="0"/>
        <w:rPr/>
      </w:pPr>
      <w:r>
        <w:rPr/>
      </w:r>
    </w:p>
    <w:p>
      <w:pPr>
        <w:pStyle w:val="TextBody"/>
        <w:spacing w:lineRule="auto" w:line="288" w:before="0" w:after="0"/>
        <w:jc w:val="center"/>
        <w:rPr/>
      </w:pPr>
      <w:r>
        <w:rPr/>
        <w:drawing>
          <wp:inline distT="0" distB="0" distL="0" distR="0">
            <wp:extent cx="256222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438150"/>
                    </a:xfrm>
                    <a:prstGeom prst="rect">
                      <a:avLst/>
                    </a:prstGeom>
                  </pic:spPr>
                </pic:pic>
              </a:graphicData>
            </a:graphic>
          </wp:inline>
        </w:drawing>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EZCORP PROVIDES EARNINGS UPDATE AND SCHEDULES EARNINGS ANNOUNCEMENT</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b/>
          <w:sz w:val="17"/>
        </w:rPr>
        <w:t xml:space="preserve">AUSTIN, Texas </w:t>
      </w:r>
      <w:r>
        <w:rPr>
          <w:rFonts w:ascii="inherit" w:hAnsi="inherit"/>
          <w:sz w:val="17"/>
        </w:rPr>
        <w:t xml:space="preserve">(October 27, 2014) - EZCORP, Inc. (NASDAQ: EZPW), a leading provider of easy cash solutions for consumers, today announced that it expects to report adjusted non-GAAP net income from continuing operations of $0.27 per share for the fourth quarter of fiscal 2014 ended September 30. On a GAAP basis, the Company expects to report a fourth quarter net loss of $(1.65) per share. </w:t>
      </w:r>
    </w:p>
    <w:p>
      <w:pPr>
        <w:pStyle w:val="TextBody"/>
        <w:spacing w:lineRule="auto" w:line="288" w:before="0" w:after="0"/>
        <w:jc w:val="both"/>
        <w:rPr>
          <w:rFonts w:ascii="inherit" w:hAnsi="inherit"/>
          <w:sz w:val="17"/>
        </w:rPr>
      </w:pPr>
      <w:r>
        <w:rPr>
          <w:rFonts w:ascii="inherit" w:hAnsi="inherit"/>
          <w:sz w:val="17"/>
        </w:rPr>
        <w:t>The Company took significant steps during the quarter to discontinue, restructure and realign core aspects of its business as the direct result of a detailed review of its businesses. These strategic actions are expected to put the Company on a solid foundation for growth with a lower cost structure in fiscal year 2015.</w:t>
      </w:r>
    </w:p>
    <w:p>
      <w:pPr>
        <w:pStyle w:val="TextBody"/>
        <w:spacing w:lineRule="auto" w:line="288" w:before="0" w:after="0"/>
        <w:jc w:val="both"/>
        <w:rPr>
          <w:rFonts w:ascii="inherit" w:hAnsi="inherit"/>
          <w:sz w:val="17"/>
        </w:rPr>
      </w:pPr>
      <w:r>
        <w:rPr>
          <w:rFonts w:ascii="inherit" w:hAnsi="inherit"/>
          <w:sz w:val="17"/>
        </w:rPr>
        <w:t>Adjusted non-GAAP net income from continuing operations was derived by excluding the impact of the following items*:</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Previously announced charges of $1.59 per shares related to the discontinued operations of the Company's stand-alone online lending businesses in the U.S. and the U.K. </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Restructuring charges of $0.12 per share resulting from the Company’s review of its businesses, including certain reorganization and management changes. </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One-time adjustments and other non-trendable items of $0.18 per share. Of this amount, reserve adjustments accounted for $0.12 per share. Adjustments were made to inventory reserves in U.S. Pawn as a result of the recent decline in gold prices, and in Empeño Fácil following a review of that business's inventory composition and value. At Grupo Finmart, bad debt reserves were increased after a government agency offered early retirement to its workers, which increased the number of loans outside of the automatic payroll deduction system.</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9055" w:type="dxa"/>
        <w:jc w:val="left"/>
        <w:tblInd w:w="0" w:type="dxa"/>
        <w:tblCellMar>
          <w:top w:w="0" w:type="dxa"/>
          <w:left w:w="0" w:type="dxa"/>
          <w:bottom w:w="0" w:type="dxa"/>
          <w:right w:w="0" w:type="dxa"/>
        </w:tblCellMar>
      </w:tblPr>
      <w:tblGrid>
        <w:gridCol w:w="485"/>
        <w:gridCol w:w="8570"/>
      </w:tblGrid>
      <w:tr>
        <w:trPr/>
        <w:tc>
          <w:tcPr>
            <w:tcW w:w="485" w:type="dxa"/>
            <w:tcBorders/>
            <w:shd w:fill="auto" w:val="clear"/>
            <w:vAlign w:val="center"/>
          </w:tcPr>
          <w:p>
            <w:pPr>
              <w:pStyle w:val="TableContents"/>
              <w:spacing w:before="0" w:after="283"/>
              <w:rPr>
                <w:sz w:val="4"/>
                <w:szCs w:val="4"/>
              </w:rPr>
            </w:pPr>
            <w:r>
              <w:rPr>
                <w:sz w:val="4"/>
                <w:szCs w:val="4"/>
              </w:rPr>
            </w:r>
          </w:p>
        </w:tc>
        <w:tc>
          <w:tcPr>
            <w:tcW w:w="857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857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Operating losses of $0.03 per share related to the Company’s discontinued online lending businesses. </w:t>
            </w:r>
          </w:p>
        </w:tc>
      </w:tr>
    </w:tbl>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 xml:space="preserve">The resulting adjusted non-GAAP net income from continuing operations of $0.27 per share reflects lower-than-expected operating results from two of the Company's reporting segments, as outlined below: </w:t>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i/>
                <w:sz w:val="17"/>
              </w:rPr>
              <w:t>U.S. &amp; Canada</w:t>
            </w:r>
            <w:r>
              <w:rPr>
                <w:sz w:val="17"/>
              </w:rPr>
              <w:t xml:space="preserve"> </w:t>
            </w:r>
            <w:r>
              <w:rPr>
                <w:rFonts w:ascii="inherit" w:hAnsi="inherit"/>
                <w:sz w:val="17"/>
              </w:rPr>
              <w:t xml:space="preserve">- The normalized operating performance from the U.S. &amp; Canada segment accounted for $0.09 of the shortfall relative to the Company’s expectations. The U.S. Pawn business was impacted by lower gold prices, which fell from a high of $1,339 to below $1,209 during the quarter, and also recorded lower-than-expected merchandise sales volume and margin. Pawn loan demand, however, finished strong, and pawn loans outstanding were 2.5% higher on a same-store basis versus a year earlier. The U.S. Financial Services business experienced lower than expected payday loan fee revenue and an increase in reserves related to higher-than-anticipated bad debt associated with loan products recently introduced in response to ordinances enacted in several Texas cities. </w:t>
            </w:r>
          </w:p>
        </w:tc>
      </w:tr>
    </w:tbl>
    <w:p>
      <w:pPr>
        <w:pStyle w:val="TextBody"/>
        <w:spacing w:lineRule="auto" w:line="288" w:before="0" w:after="0"/>
        <w:ind w:left="0" w:right="0" w:firstLine="720"/>
        <w:jc w:val="both"/>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both"/>
              <w:rPr>
                <w:sz w:val="17"/>
              </w:rPr>
            </w:pPr>
            <w:r>
              <w:rPr>
                <w:rFonts w:ascii="inherit" w:hAnsi="inherit"/>
                <w:i/>
                <w:sz w:val="17"/>
              </w:rPr>
              <w:t>Other International</w:t>
            </w:r>
            <w:r>
              <w:rPr>
                <w:sz w:val="17"/>
              </w:rPr>
              <w:t xml:space="preserve"> </w:t>
            </w:r>
            <w:r>
              <w:rPr>
                <w:rFonts w:ascii="inherit" w:hAnsi="inherit"/>
                <w:sz w:val="17"/>
              </w:rPr>
              <w:t xml:space="preserve">- The operating performance from the Other International segment accounted for $0.03 of the shortfall to expectations, primarily related to lower-than-expected net income from the Company's strategic affiliate, Cash Converters International Limited. </w:t>
            </w:r>
          </w:p>
        </w:tc>
      </w:tr>
    </w:tbl>
    <w:p>
      <w:pPr>
        <w:pStyle w:val="TextBody"/>
        <w:spacing w:lineRule="auto" w:line="288" w:before="0" w:after="0"/>
        <w:ind w:left="0" w:right="0" w:firstLine="72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In the Latin America segment, both Grupo Finmart and Empeño Fácil, when excluding the reserve adjustments discussed above and a few non-trendable items, performed slightly better than expected.</w:t>
      </w:r>
    </w:p>
    <w:p>
      <w:pPr>
        <w:pStyle w:val="TextBody"/>
        <w:spacing w:lineRule="auto" w:line="288" w:before="0" w:after="0"/>
        <w:jc w:val="both"/>
        <w:rPr>
          <w:rFonts w:ascii="inherit" w:hAnsi="inherit"/>
          <w:i/>
          <w:sz w:val="17"/>
        </w:rPr>
      </w:pPr>
      <w:r>
        <w:rPr>
          <w:rFonts w:ascii="inherit" w:hAnsi="inherit"/>
          <w:i/>
          <w:sz w:val="17"/>
        </w:rPr>
        <w:t>* See the attached non-GAAP EPS reconciliation table.</w:t>
      </w:r>
    </w:p>
    <w:p>
      <w:pPr>
        <w:pStyle w:val="TextBody"/>
        <w:rPr/>
      </w:pPr>
      <w:r>
        <w:rPr/>
      </w:r>
      <w:r>
        <w:br w:type="page"/>
      </w:r>
    </w:p>
    <w:p>
      <w:pPr>
        <w:pStyle w:val="TextBody"/>
        <w:spacing w:lineRule="auto" w:line="288" w:before="0" w:after="0"/>
        <w:rPr>
          <w:rFonts w:ascii="inherit" w:hAnsi="inherit"/>
          <w:sz w:val="17"/>
        </w:rPr>
      </w:pPr>
      <w:r>
        <w:rPr>
          <w:rFonts w:ascii="inherit" w:hAnsi="inherit"/>
          <w:sz w:val="17"/>
        </w:rPr>
      </w:r>
      <w:bookmarkStart w:id="19" w:name="sae3689aecc084bae921db0cf7818576e1"/>
      <w:bookmarkStart w:id="20" w:name="sae3689aecc084bae921db0cf7818576e1"/>
      <w:bookmarkEnd w:id="20"/>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EZCORP will provide further detail on these items and its overall quarterly operating results when it releases its full fourth quarter fiscal 2014 financial results on Thursday, November 6, 2014. In conjunction with the release, EZCORP has scheduled a conference call which will be broadcasted live over the internet that same day at 4:00 p.m. Central time.</w:t>
      </w:r>
    </w:p>
    <w:p>
      <w:pPr>
        <w:pStyle w:val="TextBody"/>
        <w:spacing w:lineRule="auto" w:line="288" w:before="0" w:after="0"/>
        <w:jc w:val="both"/>
        <w:rPr>
          <w:sz w:val="17"/>
        </w:rPr>
      </w:pPr>
      <w:r>
        <w:rPr>
          <w:rFonts w:ascii="inherit" w:hAnsi="inherit"/>
          <w:b/>
          <w:sz w:val="17"/>
        </w:rPr>
        <w:t>WHAT:</w:t>
      </w:r>
      <w:r>
        <w:rPr>
          <w:sz w:val="17"/>
        </w:rPr>
        <w:t>        </w:t>
      </w:r>
      <w:r>
        <w:rPr>
          <w:rFonts w:ascii="inherit" w:hAnsi="inherit"/>
          <w:sz w:val="17"/>
        </w:rPr>
        <w:t>EZCORP's Q4 fiscal 2014 earnings conference call webcast</w:t>
      </w:r>
    </w:p>
    <w:p>
      <w:pPr>
        <w:pStyle w:val="TextBody"/>
        <w:spacing w:lineRule="auto" w:line="288" w:before="0" w:after="0"/>
        <w:jc w:val="both"/>
        <w:rPr>
          <w:sz w:val="17"/>
        </w:rPr>
      </w:pPr>
      <w:r>
        <w:rPr>
          <w:rFonts w:ascii="inherit" w:hAnsi="inherit"/>
          <w:b/>
          <w:sz w:val="17"/>
        </w:rPr>
        <w:t>WHEN:</w:t>
      </w:r>
      <w:r>
        <w:rPr>
          <w:sz w:val="17"/>
        </w:rPr>
        <w:t>        </w:t>
      </w:r>
      <w:r>
        <w:rPr>
          <w:rFonts w:ascii="inherit" w:hAnsi="inherit"/>
          <w:sz w:val="17"/>
        </w:rPr>
        <w:t>Thursday, November 6, 2014 at 4:00 p.m. CT</w:t>
      </w:r>
    </w:p>
    <w:p>
      <w:pPr>
        <w:pStyle w:val="TextBody"/>
        <w:spacing w:lineRule="auto" w:line="288" w:before="0" w:after="0"/>
        <w:jc w:val="both"/>
        <w:rPr>
          <w:sz w:val="17"/>
        </w:rPr>
      </w:pPr>
      <w:r>
        <w:rPr>
          <w:rFonts w:ascii="inherit" w:hAnsi="inherit"/>
          <w:b/>
          <w:sz w:val="17"/>
        </w:rPr>
        <w:t>WHERE:</w:t>
      </w:r>
      <w:r>
        <w:rPr>
          <w:sz w:val="17"/>
        </w:rPr>
        <w:t>    </w:t>
      </w:r>
      <w:r>
        <w:rPr>
          <w:rFonts w:ascii="inherit" w:hAnsi="inherit"/>
          <w:color w:val="0000FF"/>
          <w:sz w:val="17"/>
          <w:u w:val="single"/>
        </w:rPr>
        <w:t>http://www.media-server.com/m/p/tjue463h</w:t>
      </w:r>
      <w:r>
        <w:rPr>
          <w:rFonts w:ascii="inherit" w:hAnsi="inherit"/>
          <w:sz w:val="17"/>
        </w:rPr>
        <w:t xml:space="preserve">, or </w:t>
      </w:r>
    </w:p>
    <w:p>
      <w:pPr>
        <w:pStyle w:val="TextBody"/>
        <w:spacing w:lineRule="auto" w:line="288" w:before="0" w:after="0"/>
        <w:jc w:val="left"/>
        <w:rPr>
          <w:sz w:val="17"/>
        </w:rPr>
      </w:pPr>
      <w:r>
        <w:rPr>
          <w:rFonts w:ascii="inherit" w:hAnsi="inherit"/>
          <w:b/>
          <w:sz w:val="17"/>
        </w:rPr>
        <w:t>DIAL-IN:</w:t>
      </w:r>
      <w:r>
        <w:rPr>
          <w:sz w:val="17"/>
        </w:rPr>
        <w:t>    </w:t>
      </w:r>
      <w:r>
        <w:rPr>
          <w:rFonts w:ascii="inherit" w:hAnsi="inherit"/>
          <w:sz w:val="17"/>
        </w:rPr>
        <w:t xml:space="preserve">Toll Free - (888) 734-0328 </w:t>
      </w:r>
    </w:p>
    <w:p>
      <w:pPr>
        <w:pStyle w:val="TextBody"/>
        <w:spacing w:lineRule="auto" w:line="288" w:before="0" w:after="0"/>
        <w:ind w:left="0" w:right="0" w:firstLine="1440"/>
        <w:jc w:val="left"/>
        <w:rPr>
          <w:rFonts w:ascii="inherit" w:hAnsi="inherit"/>
          <w:sz w:val="17"/>
        </w:rPr>
      </w:pPr>
      <w:r>
        <w:rPr>
          <w:rFonts w:ascii="inherit" w:hAnsi="inherit"/>
          <w:sz w:val="17"/>
        </w:rPr>
        <w:t xml:space="preserve">International - (678) 894-3054 </w:t>
      </w:r>
    </w:p>
    <w:p>
      <w:pPr>
        <w:pStyle w:val="TextBody"/>
        <w:spacing w:lineRule="auto" w:line="288" w:before="0" w:after="0"/>
        <w:ind w:left="0" w:right="0" w:firstLine="1440"/>
        <w:jc w:val="left"/>
        <w:rPr>
          <w:rFonts w:ascii="inherit" w:hAnsi="inherit"/>
          <w:sz w:val="17"/>
        </w:rPr>
      </w:pPr>
      <w:r>
        <w:rPr>
          <w:rFonts w:ascii="inherit" w:hAnsi="inherit"/>
          <w:sz w:val="17"/>
        </w:rPr>
        <w:t xml:space="preserve">Conference ID - 21970890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sz w:val="17"/>
        </w:rPr>
      </w:pPr>
      <w:r>
        <w:rPr>
          <w:rFonts w:ascii="inherit" w:hAnsi="inherit"/>
          <w:sz w:val="17"/>
        </w:rPr>
        <w:t xml:space="preserve">For those who cannot listen to the live call, an archive of the webcast will be available shortly after the call at </w:t>
      </w:r>
      <w:r>
        <w:rPr>
          <w:rFonts w:ascii="inherit" w:hAnsi="inherit"/>
          <w:color w:val="0000FF"/>
          <w:sz w:val="17"/>
          <w:u w:val="single"/>
        </w:rPr>
        <w:t>http://investors.ezcorp.com/</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 xml:space="preserve">About EZCORP </w:t>
      </w:r>
    </w:p>
    <w:p>
      <w:pPr>
        <w:pStyle w:val="TextBody"/>
        <w:spacing w:lineRule="auto" w:line="288" w:before="0" w:after="0"/>
        <w:jc w:val="both"/>
        <w:rPr>
          <w:rFonts w:ascii="inherit" w:hAnsi="inherit"/>
          <w:sz w:val="17"/>
        </w:rPr>
      </w:pPr>
      <w:r>
        <w:rPr>
          <w:rFonts w:ascii="inherit" w:hAnsi="inherit"/>
          <w:sz w:val="17"/>
        </w:rPr>
        <w:t>EZCORP is a leader in delivering easy cash solutions to our customers across channels, products, services and markets. With approximately 7,300 team members and approximately 1,400 locations and branches, we give our customers multiple ways to access instant cash, including pawn loans and consumer loans in the United States, Mexico and Canada, and fee-based credit services to customers seeking loans. At our pawn and buy/sell stores and online, we also sell merchandise, primarily collateral forfeited from pawn lending operations and used merchandise purchased from customers.</w:t>
      </w:r>
    </w:p>
    <w:p>
      <w:pPr>
        <w:pStyle w:val="TextBody"/>
        <w:spacing w:lineRule="auto" w:line="288" w:before="0" w:after="0"/>
        <w:jc w:val="both"/>
        <w:rPr>
          <w:rFonts w:ascii="inherit" w:hAnsi="inherit"/>
          <w:sz w:val="17"/>
        </w:rPr>
      </w:pPr>
      <w:r>
        <w:rPr>
          <w:rFonts w:ascii="inherit" w:hAnsi="inherit"/>
          <w:sz w:val="17"/>
        </w:rPr>
        <w:t>EZCORP owns controlling interests in Prestaciones Finmart, S.A.P.I. de C.V., SOFOM, E.N.R. (doing business under the names “Crediamigo” and “Adex”), a leading provider of consumer loans in 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pStyle w:val="TextBody"/>
        <w:spacing w:lineRule="auto" w:line="288" w:before="0" w:after="0"/>
        <w:jc w:val="both"/>
        <w:rPr>
          <w:rFonts w:ascii="inherit" w:hAnsi="inherit"/>
          <w:b/>
          <w:sz w:val="17"/>
        </w:rPr>
      </w:pPr>
      <w:r>
        <w:rPr>
          <w:rFonts w:ascii="inherit" w:hAnsi="inherit"/>
          <w:b/>
          <w:sz w:val="17"/>
        </w:rPr>
        <w:t>Forward-Looking Statements</w:t>
      </w:r>
    </w:p>
    <w:p>
      <w:pPr>
        <w:pStyle w:val="TextBody"/>
        <w:spacing w:lineRule="auto" w:line="288" w:before="0" w:after="0"/>
        <w:jc w:val="both"/>
        <w:rPr>
          <w:rFonts w:ascii="inherit" w:hAnsi="inherit"/>
          <w:sz w:val="17"/>
        </w:rPr>
      </w:pPr>
      <w:r>
        <w:rPr>
          <w:rFonts w:ascii="inherit" w:hAnsi="inherit"/>
          <w:sz w:val="17"/>
        </w:rPr>
        <w:t>This announcement contains certain forward-looking statements regarding the Company’s expected operating and financial performance. These statements are based on the Company’s current expectations as to the outcome and timing of future events. All statements, other than statements of historical facts, including all statements regarding the Company's performance, that address activities or results that the Company plans, expects, believes, projects, estimates or anticipates will, should or may occur in the future, including future financial or operating results, are forward-looking statements. Actual results may differ materially from those expressed or implied by these forward-looking statements due to a number of uncertainties and other factors, including operating risks, liquidity risks, legislative or regulatory developments, market factors or current or future litigation.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pStyle w:val="TextBody"/>
        <w:spacing w:lineRule="auto" w:line="288" w:before="0" w:after="0"/>
        <w:jc w:val="both"/>
        <w:rPr>
          <w:rFonts w:ascii="inherit" w:hAnsi="inherit"/>
          <w:b/>
          <w:sz w:val="17"/>
        </w:rPr>
      </w:pPr>
      <w:r>
        <w:rPr>
          <w:rFonts w:ascii="inherit" w:hAnsi="inherit"/>
          <w:b/>
          <w:sz w:val="17"/>
        </w:rPr>
        <w:t xml:space="preserve">Contact: </w:t>
      </w:r>
    </w:p>
    <w:p>
      <w:pPr>
        <w:pStyle w:val="TextBody"/>
        <w:spacing w:lineRule="auto" w:line="288" w:before="0" w:after="0"/>
        <w:jc w:val="left"/>
        <w:rPr>
          <w:rFonts w:ascii="inherit" w:hAnsi="inherit"/>
          <w:sz w:val="17"/>
        </w:rPr>
      </w:pPr>
      <w:r>
        <w:rPr>
          <w:rFonts w:ascii="inherit" w:hAnsi="inherit"/>
          <w:sz w:val="17"/>
        </w:rPr>
        <w:t>Mark Trinske</w:t>
      </w:r>
    </w:p>
    <w:p>
      <w:pPr>
        <w:pStyle w:val="TextBody"/>
        <w:spacing w:lineRule="auto" w:line="288" w:before="0" w:after="0"/>
        <w:jc w:val="left"/>
        <w:rPr>
          <w:rFonts w:ascii="inherit" w:hAnsi="inherit"/>
          <w:sz w:val="17"/>
        </w:rPr>
      </w:pPr>
      <w:r>
        <w:rPr>
          <w:rFonts w:ascii="inherit" w:hAnsi="inherit"/>
          <w:sz w:val="17"/>
        </w:rPr>
        <w:t>Vice President, Investor Relations and Communications</w:t>
      </w:r>
    </w:p>
    <w:p>
      <w:pPr>
        <w:pStyle w:val="TextBody"/>
        <w:spacing w:lineRule="auto" w:line="288" w:before="0" w:after="0"/>
        <w:jc w:val="left"/>
        <w:rPr>
          <w:rFonts w:ascii="inherit" w:hAnsi="inherit"/>
          <w:sz w:val="17"/>
        </w:rPr>
      </w:pPr>
      <w:r>
        <w:rPr>
          <w:rFonts w:ascii="inherit" w:hAnsi="inherit"/>
          <w:sz w:val="17"/>
        </w:rPr>
        <w:t>EZCORP, Inc.</w:t>
      </w:r>
    </w:p>
    <w:p>
      <w:pPr>
        <w:pStyle w:val="TextBody"/>
        <w:spacing w:lineRule="auto" w:line="288" w:before="0" w:after="0"/>
        <w:jc w:val="left"/>
        <w:rPr>
          <w:rFonts w:ascii="inherit" w:hAnsi="inherit"/>
          <w:sz w:val="17"/>
        </w:rPr>
      </w:pPr>
      <w:r>
        <w:rPr>
          <w:rFonts w:ascii="inherit" w:hAnsi="inherit"/>
          <w:sz w:val="17"/>
        </w:rPr>
        <w:t>(512) 314-2220</w:t>
      </w:r>
    </w:p>
    <w:p>
      <w:pPr>
        <w:pStyle w:val="TextBody"/>
        <w:spacing w:lineRule="auto" w:line="288" w:before="0" w:after="0"/>
        <w:jc w:val="left"/>
        <w:rPr>
          <w:rFonts w:ascii="inherit" w:hAnsi="inherit"/>
          <w:sz w:val="17"/>
        </w:rPr>
      </w:pPr>
      <w:r>
        <w:rPr>
          <w:rFonts w:ascii="inherit" w:hAnsi="inherit"/>
          <w:sz w:val="17"/>
        </w:rPr>
        <w:t>Investor_Relations@ezcorp.com</w:t>
      </w:r>
    </w:p>
    <w:p>
      <w:pPr>
        <w:pStyle w:val="TextBody"/>
        <w:spacing w:lineRule="auto" w:line="288" w:before="0" w:after="0"/>
        <w:jc w:val="left"/>
        <w:rPr>
          <w:rFonts w:ascii="inherit" w:hAnsi="inherit"/>
          <w:color w:val="0000FF"/>
          <w:sz w:val="17"/>
          <w:u w:val="single"/>
        </w:rPr>
      </w:pPr>
      <w:r>
        <w:rPr>
          <w:rFonts w:ascii="inherit" w:hAnsi="inherit"/>
          <w:color w:val="0000FF"/>
          <w:sz w:val="17"/>
          <w:u w:val="single"/>
        </w:rPr>
        <w:t>http://investors.ezcorp.com/</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rFonts w:ascii="inherit" w:hAnsi="inherit"/>
          <w:sz w:val="17"/>
        </w:rPr>
      </w:pPr>
      <w:r>
        <w:rPr>
          <w:rFonts w:ascii="inherit" w:hAnsi="inherit"/>
          <w:sz w:val="17"/>
        </w:rPr>
      </w:r>
      <w:bookmarkStart w:id="21" w:name="s887bdf05409e4bf6ac8b4cc8316357a4"/>
      <w:bookmarkStart w:id="22" w:name="s887bdf05409e4bf6ac8b4cc8316357a4"/>
      <w:bookmarkEnd w:id="22"/>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8060"/>
        <w:gridCol w:w="135"/>
        <w:gridCol w:w="790"/>
        <w:gridCol w:w="105"/>
        <w:gridCol w:w="140"/>
        <w:gridCol w:w="833"/>
        <w:gridCol w:w="142"/>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806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2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Fourth Quarter of Fiscal 2014 Non-GAAP EPS Reconciliation</w:t>
            </w:r>
          </w:p>
        </w:tc>
      </w:tr>
      <w:tr>
        <w:trPr/>
        <w:tc>
          <w:tcPr>
            <w:tcW w:w="8060" w:type="dxa"/>
            <w:tcBorders/>
            <w:shd w:fill="CCEEFF" w:val="clear"/>
            <w:vAlign w:val="center"/>
          </w:tcPr>
          <w:p>
            <w:pPr>
              <w:pStyle w:val="TableContents"/>
              <w:spacing w:before="0" w:after="0"/>
              <w:ind w:left="0" w:right="0" w:firstLine="30"/>
              <w:jc w:val="left"/>
              <w:rPr>
                <w:rFonts w:ascii="inherit" w:hAnsi="inherit"/>
                <w:i/>
                <w:sz w:val="17"/>
              </w:rPr>
            </w:pPr>
            <w:r>
              <w:rPr>
                <w:rFonts w:ascii="inherit" w:hAnsi="inherit"/>
                <w:i/>
                <w:sz w:val="17"/>
              </w:rPr>
              <w:t>(Per diluted share*)</w:t>
            </w:r>
          </w:p>
        </w:tc>
        <w:tc>
          <w:tcPr>
            <w:tcW w:w="1030" w:type="dxa"/>
            <w:gridSpan w:val="3"/>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30"/>
              <w:rPr/>
            </w:pPr>
            <w:r>
              <w:rPr/>
              <w:t> </w:t>
            </w:r>
          </w:p>
        </w:tc>
      </w:tr>
      <w:tr>
        <w:trPr/>
        <w:tc>
          <w:tcPr>
            <w:tcW w:w="806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30"/>
              <w:rPr/>
            </w:pPr>
            <w:r>
              <w:rPr/>
              <w:t> </w:t>
            </w:r>
          </w:p>
        </w:tc>
      </w:tr>
      <w:tr>
        <w:trPr/>
        <w:tc>
          <w:tcPr>
            <w:tcW w:w="806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Loss Attributable to EZCORP (GAAP)</w:t>
            </w:r>
          </w:p>
        </w:tc>
        <w:tc>
          <w:tcPr>
            <w:tcW w:w="1030" w:type="dxa"/>
            <w:gridSpan w:val="3"/>
            <w:tcBorders/>
            <w:shd w:fill="CCEEFF" w:val="clear"/>
            <w:vAlign w:val="center"/>
          </w:tcPr>
          <w:p>
            <w:pPr>
              <w:pStyle w:val="TableContents"/>
              <w:spacing w:before="0" w:after="0"/>
              <w:ind w:left="0" w:right="0" w:firstLine="30"/>
              <w:rPr/>
            </w:pPr>
            <w:r>
              <w:rPr/>
              <w:t> </w:t>
            </w:r>
          </w:p>
        </w:tc>
        <w:tc>
          <w:tcPr>
            <w:tcW w:w="140"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3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(1.65</w:t>
            </w:r>
          </w:p>
        </w:tc>
        <w:tc>
          <w:tcPr>
            <w:tcW w:w="14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r>
      <w:tr>
        <w:trPr/>
        <w:tc>
          <w:tcPr>
            <w:tcW w:w="806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30"/>
              <w:rPr/>
            </w:pPr>
            <w:r>
              <w:rPr/>
              <w:t> </w:t>
            </w:r>
          </w:p>
        </w:tc>
        <w:tc>
          <w:tcPr>
            <w:tcW w:w="1115" w:type="dxa"/>
            <w:gridSpan w:val="3"/>
            <w:tcBorders/>
            <w:shd w:fill="auto" w:val="clear"/>
            <w:vAlign w:val="center"/>
          </w:tcPr>
          <w:p>
            <w:pPr>
              <w:pStyle w:val="TableContents"/>
              <w:spacing w:before="0" w:after="0"/>
              <w:ind w:left="0" w:right="0" w:firstLine="300"/>
              <w:rPr/>
            </w:pPr>
            <w:r>
              <w:rPr/>
              <w:t> </w:t>
            </w:r>
          </w:p>
        </w:tc>
      </w:tr>
      <w:tr>
        <w:trPr/>
        <w:tc>
          <w:tcPr>
            <w:tcW w:w="806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Add Back:</w:t>
            </w:r>
          </w:p>
        </w:tc>
        <w:tc>
          <w:tcPr>
            <w:tcW w:w="1030" w:type="dxa"/>
            <w:gridSpan w:val="3"/>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540"/>
              <w:rPr/>
            </w:pPr>
            <w:r>
              <w:rPr/>
              <w:t> </w:t>
            </w:r>
          </w:p>
        </w:tc>
      </w:tr>
      <w:tr>
        <w:trPr/>
        <w:tc>
          <w:tcPr>
            <w:tcW w:w="80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 Write-off</w:t>
            </w:r>
          </w:p>
        </w:tc>
        <w:tc>
          <w:tcPr>
            <w:tcW w:w="103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auto" w:val="clear"/>
            <w:vAlign w:val="center"/>
          </w:tcPr>
          <w:p>
            <w:pPr>
              <w:pStyle w:val="TableContents"/>
              <w:spacing w:before="0" w:after="0"/>
              <w:jc w:val="right"/>
              <w:rPr>
                <w:rFonts w:ascii="inherit" w:hAnsi="inherit"/>
                <w:sz w:val="17"/>
              </w:rPr>
            </w:pPr>
            <w:r>
              <w:rPr>
                <w:rFonts w:ascii="inherit" w:hAnsi="inherit"/>
                <w:sz w:val="17"/>
              </w:rPr>
              <w:t>1.59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6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540"/>
              <w:rPr/>
            </w:pPr>
            <w:r>
              <w:rPr/>
              <w:t> </w:t>
            </w:r>
          </w:p>
        </w:tc>
      </w:tr>
      <w:tr>
        <w:trPr/>
        <w:tc>
          <w:tcPr>
            <w:tcW w:w="80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Restructuring Charges</w:t>
            </w:r>
          </w:p>
        </w:tc>
        <w:tc>
          <w:tcPr>
            <w:tcW w:w="103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auto" w:val="clear"/>
            <w:vAlign w:val="center"/>
          </w:tcPr>
          <w:p>
            <w:pPr>
              <w:pStyle w:val="TableContents"/>
              <w:spacing w:before="0" w:after="0"/>
              <w:jc w:val="right"/>
              <w:rPr>
                <w:rFonts w:ascii="inherit" w:hAnsi="inherit"/>
                <w:sz w:val="17"/>
              </w:rPr>
            </w:pPr>
            <w:r>
              <w:rPr>
                <w:rFonts w:ascii="inherit" w:hAnsi="inherit"/>
                <w:sz w:val="17"/>
              </w:rPr>
              <w:t>0.12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6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660"/>
              <w:rPr/>
            </w:pPr>
            <w:r>
              <w:rPr/>
              <w:t> </w:t>
            </w:r>
          </w:p>
        </w:tc>
      </w:tr>
      <w:tr>
        <w:trPr/>
        <w:tc>
          <w:tcPr>
            <w:tcW w:w="80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Reserve Adjustments</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shd w:fill="auto" w:val="clear"/>
            <w:vAlign w:val="center"/>
          </w:tcPr>
          <w:p>
            <w:pPr>
              <w:pStyle w:val="TableContents"/>
              <w:spacing w:before="0" w:after="0"/>
              <w:jc w:val="right"/>
              <w:rPr>
                <w:rFonts w:ascii="inherit" w:hAnsi="inherit"/>
                <w:sz w:val="17"/>
              </w:rPr>
            </w:pPr>
            <w:r>
              <w:rPr>
                <w:rFonts w:ascii="inherit" w:hAnsi="inherit"/>
                <w:sz w:val="17"/>
              </w:rPr>
              <w:t>0.12</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5" w:type="dxa"/>
            <w:gridSpan w:val="3"/>
            <w:tcBorders/>
            <w:shd w:fill="auto" w:val="clear"/>
            <w:vAlign w:val="center"/>
          </w:tcPr>
          <w:p>
            <w:pPr>
              <w:pStyle w:val="TableContents"/>
              <w:spacing w:before="0" w:after="0"/>
              <w:ind w:left="0" w:right="0" w:firstLine="660"/>
              <w:rPr/>
            </w:pPr>
            <w:r>
              <w:rPr/>
              <w:t> </w:t>
            </w:r>
          </w:p>
        </w:tc>
      </w:tr>
      <w:tr>
        <w:trPr/>
        <w:tc>
          <w:tcPr>
            <w:tcW w:w="80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One Time and Non-trendable Items</w:t>
            </w:r>
          </w:p>
        </w:tc>
        <w:tc>
          <w:tcPr>
            <w:tcW w:w="13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0.06</w:t>
            </w:r>
          </w:p>
        </w:tc>
        <w:tc>
          <w:tcPr>
            <w:tcW w:w="1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5" w:type="dxa"/>
            <w:gridSpan w:val="3"/>
            <w:tcBorders>
              <w:bottom w:val="single" w:sz="2" w:space="0" w:color="000000"/>
            </w:tcBorders>
            <w:shd w:fill="CCEEFF" w:val="clear"/>
            <w:tcMar>
              <w:bottom w:w="30" w:type="dxa"/>
            </w:tcMar>
            <w:vAlign w:val="center"/>
          </w:tcPr>
          <w:p>
            <w:pPr>
              <w:pStyle w:val="TableContents"/>
              <w:spacing w:before="0" w:after="0"/>
              <w:ind w:left="0" w:right="0" w:firstLine="540"/>
              <w:rPr/>
            </w:pPr>
            <w:r>
              <w:rPr/>
              <w:t> </w:t>
            </w:r>
          </w:p>
        </w:tc>
      </w:tr>
      <w:tr>
        <w:trPr/>
        <w:tc>
          <w:tcPr>
            <w:tcW w:w="80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One Time and Non-trendable Items</w:t>
            </w:r>
          </w:p>
        </w:tc>
        <w:tc>
          <w:tcPr>
            <w:tcW w:w="103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auto" w:val="clear"/>
            <w:vAlign w:val="center"/>
          </w:tcPr>
          <w:p>
            <w:pPr>
              <w:pStyle w:val="TableContents"/>
              <w:spacing w:before="0" w:after="0"/>
              <w:jc w:val="right"/>
              <w:rPr>
                <w:rFonts w:ascii="inherit" w:hAnsi="inherit"/>
                <w:sz w:val="17"/>
              </w:rPr>
            </w:pPr>
            <w:r>
              <w:rPr>
                <w:rFonts w:ascii="inherit" w:hAnsi="inherit"/>
                <w:sz w:val="17"/>
              </w:rPr>
              <w:t>0.18</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6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540"/>
              <w:rPr/>
            </w:pPr>
            <w:r>
              <w:rPr/>
              <w:t> </w:t>
            </w:r>
          </w:p>
        </w:tc>
      </w:tr>
      <w:tr>
        <w:trPr/>
        <w:tc>
          <w:tcPr>
            <w:tcW w:w="80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 Loss (excluding write-off)</w:t>
            </w:r>
          </w:p>
        </w:tc>
        <w:tc>
          <w:tcPr>
            <w:tcW w:w="1030"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33" w:type="dxa"/>
            <w:tcBorders/>
            <w:shd w:fill="auto" w:val="clear"/>
            <w:vAlign w:val="center"/>
          </w:tcPr>
          <w:p>
            <w:pPr>
              <w:pStyle w:val="TableContents"/>
              <w:spacing w:before="0" w:after="0"/>
              <w:jc w:val="right"/>
              <w:rPr>
                <w:rFonts w:ascii="inherit" w:hAnsi="inherit"/>
                <w:sz w:val="17"/>
              </w:rPr>
            </w:pPr>
            <w:r>
              <w:rPr>
                <w:rFonts w:ascii="inherit" w:hAnsi="inherit"/>
                <w:sz w:val="17"/>
              </w:rPr>
              <w:t>0.03</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06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30"/>
              <w:rPr/>
            </w:pPr>
            <w:r>
              <w:rPr/>
              <w:t> </w:t>
            </w:r>
          </w:p>
        </w:tc>
        <w:tc>
          <w:tcPr>
            <w:tcW w:w="1115" w:type="dxa"/>
            <w:gridSpan w:val="3"/>
            <w:tcBorders/>
            <w:shd w:fill="CCEEFF" w:val="clear"/>
            <w:vAlign w:val="center"/>
          </w:tcPr>
          <w:p>
            <w:pPr>
              <w:pStyle w:val="TableContents"/>
              <w:spacing w:before="0" w:after="0"/>
              <w:ind w:left="0" w:right="0" w:firstLine="300"/>
              <w:rPr/>
            </w:pPr>
            <w:r>
              <w:rPr/>
              <w:t> </w:t>
            </w:r>
          </w:p>
        </w:tc>
      </w:tr>
      <w:tr>
        <w:trPr/>
        <w:tc>
          <w:tcPr>
            <w:tcW w:w="806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Adjusted Net Income from Continuing Operations attributable to EZCORP (non-GAAP)</w:t>
            </w:r>
          </w:p>
        </w:tc>
        <w:tc>
          <w:tcPr>
            <w:tcW w:w="1030" w:type="dxa"/>
            <w:gridSpan w:val="3"/>
            <w:tcBorders/>
            <w:shd w:fill="auto" w:val="cle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33"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0.27</w:t>
            </w:r>
          </w:p>
        </w:tc>
        <w:tc>
          <w:tcPr>
            <w:tcW w:w="142"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i/>
          <w:sz w:val="13"/>
        </w:rPr>
      </w:pPr>
      <w:r>
        <w:rPr>
          <w:rFonts w:ascii="inherit" w:hAnsi="inherit"/>
          <w:i/>
          <w:sz w:val="13"/>
        </w:rPr>
        <w:t>* All per share amounts are stated on an after-tax basis</w:t>
      </w:r>
    </w:p>
    <w:p>
      <w:pPr>
        <w:pStyle w:val="TextBody"/>
        <w:spacing w:lineRule="auto" w:line="288" w:before="0" w:after="0"/>
        <w:rPr>
          <w:rFonts w:ascii="inherit" w:hAnsi="inherit"/>
          <w:sz w:val="13"/>
        </w:rPr>
      </w:pPr>
      <w:r>
        <w:rPr>
          <w:rFonts w:ascii="inherit" w:hAnsi="inherit"/>
          <w:sz w:val="13"/>
        </w:rPr>
      </w:r>
    </w:p>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t>3</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1554</Words>
  <CharactersWithSpaces>10768</CharactersWithSpaces>
  <Paragraphs>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