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73025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5" w:lineRule="exact"/>
        <w:rPr>
          <w:sz w:val="24"/>
          <w:szCs w:val="24"/>
          <w:color w:val="auto"/>
        </w:rPr>
      </w:pPr>
    </w:p>
    <w:p>
      <w:pPr>
        <w:ind w:left="3360" w:right="760" w:hanging="2740"/>
        <w:spacing w:after="0" w:line="397" w:lineRule="auto"/>
        <w:tabs>
          <w:tab w:leader="none" w:pos="120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2025 or</w:t>
      </w:r>
    </w:p>
    <w:p>
      <w:pPr>
        <w:spacing w:after="0" w:line="70"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-7620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52070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6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89"/>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126365</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9" w:lineRule="exact"/>
        <w:rPr>
          <w:sz w:val="24"/>
          <w:szCs w:val="24"/>
          <w:color w:val="auto"/>
        </w:rPr>
      </w:pPr>
    </w:p>
    <w:tbl>
      <w:tblPr>
        <w:tblLayout w:type="fixed"/>
        <w:tblInd w:w="1000" w:type="dxa"/>
        <w:tblCellMar>
          <w:top w:w="0" w:type="dxa"/>
          <w:left w:w="0" w:type="dxa"/>
          <w:bottom w:w="0" w:type="dxa"/>
          <w:right w:w="0" w:type="dxa"/>
        </w:tblCellMar>
      </w:tblPr>
      <w:tr>
        <w:trPr>
          <w:trHeight w:val="19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6"/>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ind w:right="64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54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580" w:type="dxa"/>
            <w:vAlign w:val="bottom"/>
          </w:tcPr>
          <w:p>
            <w:pPr>
              <w:ind w:left="12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3"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36"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January 29, 2026, 58,727,053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4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8"/>
              </w:rPr>
              <w:t>EZCORP, Inc.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INDEX TO FORM 10-Q</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60" w:type="dxa"/>
            <w:vAlign w:val="bottom"/>
            <w:gridSpan w:val="29"/>
          </w:tcPr>
          <w:p>
            <w:pPr>
              <w:spacing w:after="0"/>
              <w:rPr>
                <w:sz w:val="20"/>
                <w:szCs w:val="20"/>
                <w:color w:val="auto"/>
              </w:rPr>
            </w:pPr>
            <w:r>
              <w:rPr>
                <w:rFonts w:ascii="Arial" w:cs="Arial" w:eastAsia="Arial" w:hAnsi="Arial"/>
                <w:sz w:val="18"/>
                <w:szCs w:val="18"/>
                <w:color w:val="0000FF"/>
              </w:rPr>
              <w:t>PART I — FINANCIAL INFORMATION</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Borders>
              <w:bottom w:val="single" w:sz="8" w:color="0000FF"/>
            </w:tcBorders>
            <w:gridSpan w:val="16"/>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6480" w:type="dxa"/>
            <w:vAlign w:val="bottom"/>
            <w:gridSpan w:val="12"/>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gridSpan w:val="27"/>
          </w:tcPr>
          <w:p>
            <w:pPr>
              <w:spacing w:after="0"/>
              <w:rPr>
                <w:sz w:val="20"/>
                <w:szCs w:val="20"/>
                <w:color w:val="auto"/>
              </w:rPr>
            </w:pPr>
            <w:r>
              <w:rPr>
                <w:rFonts w:ascii="Arial" w:cs="Arial" w:eastAsia="Arial" w:hAnsi="Arial"/>
                <w:sz w:val="18"/>
                <w:szCs w:val="18"/>
                <w:color w:val="0000FF"/>
              </w:rPr>
              <w:t>Condensed Consolidated Balance Sheets as of December 31, 2025 and 2024 and September 30, 2025</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gridSpan w:val="27"/>
          </w:tcPr>
          <w:p>
            <w:pPr>
              <w:spacing w:after="0"/>
              <w:rPr>
                <w:sz w:val="20"/>
                <w:szCs w:val="20"/>
                <w:color w:val="auto"/>
              </w:rPr>
            </w:pPr>
            <w:r>
              <w:rPr>
                <w:rFonts w:ascii="Arial" w:cs="Arial" w:eastAsia="Arial" w:hAnsi="Arial"/>
                <w:sz w:val="18"/>
                <w:szCs w:val="18"/>
                <w:color w:val="0000FF"/>
              </w:rPr>
              <w:t>Condensed Consolidated Statements of Operations for the Three Months Ended December 31, 2025 and 2024</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Condensed Consolidated Statements of Comprehensive Income for the Three Months Ended December 31, 2025 and</w:t>
            </w:r>
          </w:p>
        </w:tc>
        <w:tc>
          <w:tcPr>
            <w:tcW w:w="11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74"/>
        </w:trPr>
        <w:tc>
          <w:tcPr>
            <w:tcW w:w="1080" w:type="dxa"/>
            <w:vAlign w:val="bottom"/>
            <w:gridSpan w:val="4"/>
            <w:vMerge w:val="restart"/>
          </w:tcPr>
          <w:p>
            <w:pPr>
              <w:ind w:left="680"/>
              <w:spacing w:after="0" w:line="156" w:lineRule="exact"/>
              <w:rPr>
                <w:sz w:val="20"/>
                <w:szCs w:val="20"/>
                <w:color w:val="auto"/>
              </w:rPr>
            </w:pPr>
            <w:r>
              <w:rPr>
                <w:rFonts w:ascii="Arial" w:cs="Arial" w:eastAsia="Arial" w:hAnsi="Arial"/>
                <w:sz w:val="18"/>
                <w:szCs w:val="18"/>
                <w:color w:val="0000FF"/>
                <w:w w:val="94"/>
              </w:rPr>
              <w:t>2024</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0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80" w:type="dxa"/>
            <w:vAlign w:val="bottom"/>
            <w:gridSpan w:val="26"/>
          </w:tcPr>
          <w:p>
            <w:pPr>
              <w:spacing w:after="0"/>
              <w:rPr>
                <w:sz w:val="20"/>
                <w:szCs w:val="20"/>
                <w:color w:val="auto"/>
              </w:rPr>
            </w:pPr>
            <w:r>
              <w:rPr>
                <w:rFonts w:ascii="Arial" w:cs="Arial" w:eastAsia="Arial" w:hAnsi="Arial"/>
                <w:sz w:val="18"/>
                <w:szCs w:val="18"/>
                <w:color w:val="0000FF"/>
                <w:w w:val="99"/>
              </w:rPr>
              <w:t>Condensed Consolidated Statements of Stockholders’ Equity for the Periods Ended December 31, 2025 and 2024</w:t>
            </w:r>
          </w:p>
        </w:tc>
        <w:tc>
          <w:tcPr>
            <w:tcW w:w="32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gridSpan w:val="26"/>
          </w:tcPr>
          <w:p>
            <w:pPr>
              <w:spacing w:after="0"/>
              <w:rPr>
                <w:sz w:val="20"/>
                <w:szCs w:val="20"/>
                <w:color w:val="auto"/>
              </w:rPr>
            </w:pPr>
            <w:r>
              <w:rPr>
                <w:rFonts w:ascii="Arial" w:cs="Arial" w:eastAsia="Arial" w:hAnsi="Arial"/>
                <w:sz w:val="18"/>
                <w:szCs w:val="18"/>
                <w:color w:val="0000FF"/>
              </w:rPr>
              <w:t>Condensed Consolidated Statements of Cash Flows for the Three Months Ended December 31, 2025 and 2024</w:t>
            </w:r>
          </w:p>
        </w:tc>
        <w:tc>
          <w:tcPr>
            <w:tcW w:w="32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80" w:type="dxa"/>
            <w:vAlign w:val="bottom"/>
            <w:gridSpan w:val="2"/>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00" w:type="dxa"/>
            <w:vAlign w:val="bottom"/>
            <w:gridSpan w:val="25"/>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20"/>
          </w:tcPr>
          <w:p>
            <w:pPr>
              <w:spacing w:after="0"/>
              <w:rPr>
                <w:sz w:val="20"/>
                <w:szCs w:val="20"/>
                <w:color w:val="auto"/>
              </w:rPr>
            </w:pPr>
            <w:r>
              <w:rPr>
                <w:rFonts w:ascii="Arial" w:cs="Arial" w:eastAsia="Arial" w:hAnsi="Arial"/>
                <w:sz w:val="18"/>
                <w:szCs w:val="18"/>
                <w:color w:val="0000FF"/>
              </w:rPr>
              <w:t>Note 2: Acquisitions</w:t>
            </w:r>
          </w:p>
        </w:tc>
        <w:tc>
          <w:tcPr>
            <w:tcW w:w="3460" w:type="dxa"/>
            <w:vAlign w:val="bottom"/>
            <w:gridSpan w:val="5"/>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0000FF"/>
                <w:w w:val="93"/>
              </w:rPr>
              <w:t>Note 3: Goodwill</w:t>
            </w:r>
          </w:p>
        </w:tc>
        <w:tc>
          <w:tcPr>
            <w:tcW w:w="260" w:type="dxa"/>
            <w:vAlign w:val="bottom"/>
          </w:tcPr>
          <w:p>
            <w:pPr>
              <w:spacing w:after="0"/>
              <w:rPr>
                <w:sz w:val="18"/>
                <w:szCs w:val="18"/>
                <w:color w:val="auto"/>
              </w:rPr>
            </w:pPr>
          </w:p>
        </w:tc>
        <w:tc>
          <w:tcPr>
            <w:tcW w:w="7380" w:type="dxa"/>
            <w:vAlign w:val="bottom"/>
            <w:gridSpan w:val="1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w w:val="96"/>
              </w:rPr>
              <w:t>Note 4: Earnings Per Share</w:t>
            </w:r>
          </w:p>
        </w:tc>
        <w:tc>
          <w:tcPr>
            <w:tcW w:w="6760" w:type="dxa"/>
            <w:vAlign w:val="bottom"/>
            <w:gridSpan w:val="15"/>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rPr>
              <w:t>Note 5: Leases</w:t>
            </w:r>
          </w:p>
        </w:tc>
        <w:tc>
          <w:tcPr>
            <w:tcW w:w="6760" w:type="dxa"/>
            <w:vAlign w:val="bottom"/>
            <w:gridSpan w:val="15"/>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12"/>
          </w:tcPr>
          <w:p>
            <w:pPr>
              <w:spacing w:after="0"/>
              <w:rPr>
                <w:sz w:val="20"/>
                <w:szCs w:val="20"/>
                <w:color w:val="auto"/>
              </w:rPr>
            </w:pPr>
            <w:r>
              <w:rPr>
                <w:rFonts w:ascii="Arial" w:cs="Arial" w:eastAsia="Arial" w:hAnsi="Arial"/>
                <w:sz w:val="18"/>
                <w:szCs w:val="18"/>
                <w:color w:val="0000FF"/>
                <w:w w:val="95"/>
              </w:rPr>
              <w:t>Note 6: Strategic Investments</w:t>
            </w:r>
          </w:p>
        </w:tc>
        <w:tc>
          <w:tcPr>
            <w:tcW w:w="6600" w:type="dxa"/>
            <w:vAlign w:val="bottom"/>
            <w:gridSpan w:val="13"/>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0000FF"/>
                <w:w w:val="96"/>
              </w:rPr>
              <w:t>Note 7: Fair Value Measurements</w:t>
            </w:r>
          </w:p>
        </w:tc>
        <w:tc>
          <w:tcPr>
            <w:tcW w:w="6280" w:type="dxa"/>
            <w:vAlign w:val="bottom"/>
            <w:gridSpan w:val="11"/>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0000FF"/>
              </w:rPr>
              <w:t>Note 8: Debt</w:t>
            </w:r>
          </w:p>
        </w:tc>
        <w:tc>
          <w:tcPr>
            <w:tcW w:w="6280" w:type="dxa"/>
            <w:vAlign w:val="bottom"/>
            <w:gridSpan w:val="11"/>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16"/>
          </w:tcPr>
          <w:p>
            <w:pPr>
              <w:spacing w:after="0"/>
              <w:rPr>
                <w:sz w:val="20"/>
                <w:szCs w:val="20"/>
                <w:color w:val="auto"/>
              </w:rPr>
            </w:pPr>
            <w:r>
              <w:rPr>
                <w:rFonts w:ascii="Arial" w:cs="Arial" w:eastAsia="Arial" w:hAnsi="Arial"/>
                <w:sz w:val="18"/>
                <w:szCs w:val="18"/>
                <w:color w:val="0000FF"/>
                <w:w w:val="97"/>
              </w:rPr>
              <w:t>Note 9: Common Stock and Stock Compensation</w:t>
            </w:r>
          </w:p>
        </w:tc>
        <w:tc>
          <w:tcPr>
            <w:tcW w:w="5040" w:type="dxa"/>
            <w:vAlign w:val="bottom"/>
            <w:gridSpan w:val="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15"/>
          </w:tcPr>
          <w:p>
            <w:pPr>
              <w:spacing w:after="0"/>
              <w:rPr>
                <w:sz w:val="20"/>
                <w:szCs w:val="20"/>
                <w:color w:val="auto"/>
              </w:rPr>
            </w:pPr>
            <w:r>
              <w:rPr>
                <w:rFonts w:ascii="Arial" w:cs="Arial" w:eastAsia="Arial" w:hAnsi="Arial"/>
                <w:sz w:val="18"/>
                <w:szCs w:val="18"/>
                <w:color w:val="0000FF"/>
                <w:w w:val="97"/>
              </w:rPr>
              <w:t>Note 10: Commitments and Contingencies</w:t>
            </w:r>
          </w:p>
        </w:tc>
        <w:tc>
          <w:tcPr>
            <w:tcW w:w="540" w:type="dxa"/>
            <w:vAlign w:val="bottom"/>
          </w:tcPr>
          <w:p>
            <w:pPr>
              <w:spacing w:after="0"/>
              <w:rPr>
                <w:sz w:val="18"/>
                <w:szCs w:val="18"/>
                <w:color w:val="auto"/>
              </w:rPr>
            </w:pPr>
          </w:p>
        </w:tc>
        <w:tc>
          <w:tcPr>
            <w:tcW w:w="5040" w:type="dxa"/>
            <w:vAlign w:val="bottom"/>
            <w:gridSpan w:val="9"/>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15"/>
          </w:tcPr>
          <w:p>
            <w:pPr>
              <w:spacing w:after="0"/>
              <w:rPr>
                <w:sz w:val="20"/>
                <w:szCs w:val="20"/>
                <w:color w:val="auto"/>
              </w:rPr>
            </w:pPr>
            <w:r>
              <w:rPr>
                <w:rFonts w:ascii="Arial" w:cs="Arial" w:eastAsia="Arial" w:hAnsi="Arial"/>
                <w:sz w:val="18"/>
                <w:szCs w:val="18"/>
                <w:color w:val="0000FF"/>
              </w:rPr>
              <w:t>Note 11: Segment Information</w:t>
            </w:r>
          </w:p>
        </w:tc>
        <w:tc>
          <w:tcPr>
            <w:tcW w:w="5580" w:type="dxa"/>
            <w:vAlign w:val="bottom"/>
            <w:gridSpan w:val="10"/>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gridSpan w:val="19"/>
          </w:tcPr>
          <w:p>
            <w:pPr>
              <w:spacing w:after="0"/>
              <w:rPr>
                <w:sz w:val="20"/>
                <w:szCs w:val="20"/>
                <w:color w:val="auto"/>
              </w:rPr>
            </w:pPr>
            <w:r>
              <w:rPr>
                <w:rFonts w:ascii="Arial" w:cs="Arial" w:eastAsia="Arial" w:hAnsi="Arial"/>
                <w:sz w:val="18"/>
                <w:szCs w:val="18"/>
                <w:color w:val="0000FF"/>
                <w:w w:val="98"/>
              </w:rPr>
              <w:t>Note 12: Supplemental Consolidated Financial Information</w:t>
            </w:r>
          </w:p>
        </w:tc>
        <w:tc>
          <w:tcPr>
            <w:tcW w:w="4300" w:type="dxa"/>
            <w:vAlign w:val="bottom"/>
            <w:gridSpan w:val="6"/>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gridSpan w:val="19"/>
          </w:tcPr>
          <w:p>
            <w:pPr>
              <w:spacing w:after="0"/>
              <w:rPr>
                <w:sz w:val="20"/>
                <w:szCs w:val="20"/>
                <w:color w:val="auto"/>
              </w:rPr>
            </w:pPr>
            <w:r>
              <w:rPr>
                <w:rFonts w:ascii="Arial" w:cs="Arial" w:eastAsia="Arial" w:hAnsi="Arial"/>
                <w:sz w:val="18"/>
                <w:szCs w:val="18"/>
                <w:color w:val="0000FF"/>
              </w:rPr>
              <w:t>Note 13: Subsequent Events</w:t>
            </w:r>
          </w:p>
        </w:tc>
        <w:tc>
          <w:tcPr>
            <w:tcW w:w="4300" w:type="dxa"/>
            <w:vAlign w:val="bottom"/>
            <w:gridSpan w:val="6"/>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8"/>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shd w:val="clear" w:color="auto" w:fill="0000FF"/>
          </w:tcPr>
          <w:p>
            <w:pPr>
              <w:spacing w:after="0" w:line="20" w:lineRule="exact"/>
              <w:rPr>
                <w:sz w:val="1"/>
                <w:szCs w:val="1"/>
                <w:color w:val="auto"/>
              </w:rPr>
            </w:pPr>
          </w:p>
        </w:tc>
        <w:tc>
          <w:tcPr>
            <w:tcW w:w="244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gridSpan w:val="24"/>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060" w:type="dxa"/>
            <w:vAlign w:val="bottom"/>
            <w:gridSpan w:val="4"/>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shd w:val="clear" w:color="auto" w:fill="0000FF"/>
          </w:tcPr>
          <w:p>
            <w:pPr>
              <w:spacing w:after="0" w:line="20" w:lineRule="exact"/>
              <w:rPr>
                <w:sz w:val="1"/>
                <w:szCs w:val="1"/>
                <w:color w:val="auto"/>
              </w:rPr>
            </w:pPr>
          </w:p>
        </w:tc>
        <w:tc>
          <w:tcPr>
            <w:tcW w:w="4500" w:type="dxa"/>
            <w:vAlign w:val="bottom"/>
            <w:tcBorders>
              <w:left w:val="single" w:sz="8" w:color="0000FF"/>
            </w:tcBorders>
            <w:gridSpan w:val="7"/>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gridSpan w:val="21"/>
          </w:tcPr>
          <w:p>
            <w:pPr>
              <w:ind w:left="20"/>
              <w:spacing w:after="0"/>
              <w:rPr>
                <w:sz w:val="20"/>
                <w:szCs w:val="20"/>
                <w:color w:val="auto"/>
              </w:rPr>
            </w:pPr>
            <w:r>
              <w:rPr>
                <w:rFonts w:ascii="Arial" w:cs="Arial" w:eastAsia="Arial" w:hAnsi="Arial"/>
                <w:sz w:val="18"/>
                <w:szCs w:val="18"/>
                <w:color w:val="0000FF"/>
              </w:rPr>
              <w:t>Item 4. Controls and Procedures</w:t>
            </w:r>
          </w:p>
        </w:tc>
        <w:tc>
          <w:tcPr>
            <w:tcW w:w="4500" w:type="dxa"/>
            <w:vAlign w:val="bottom"/>
            <w:gridSpan w:val="7"/>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60" w:type="dxa"/>
            <w:vAlign w:val="bottom"/>
            <w:gridSpan w:val="29"/>
          </w:tcPr>
          <w:p>
            <w:pPr>
              <w:spacing w:after="0"/>
              <w:rPr>
                <w:sz w:val="20"/>
                <w:szCs w:val="20"/>
                <w:color w:val="auto"/>
              </w:rPr>
            </w:pPr>
            <w:r>
              <w:rPr>
                <w:rFonts w:ascii="Arial" w:cs="Arial" w:eastAsia="Arial" w:hAnsi="Arial"/>
                <w:sz w:val="18"/>
                <w:szCs w:val="18"/>
                <w:color w:val="0000FF"/>
              </w:rPr>
              <w:t>PART II — OTHER INFORMATION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ind w:left="20"/>
              <w:spacing w:after="0"/>
              <w:rPr>
                <w:sz w:val="20"/>
                <w:szCs w:val="20"/>
                <w:color w:val="auto"/>
              </w:rPr>
            </w:pPr>
            <w:r>
              <w:rPr>
                <w:rFonts w:ascii="Arial" w:cs="Arial" w:eastAsia="Arial" w:hAnsi="Arial"/>
                <w:sz w:val="18"/>
                <w:szCs w:val="18"/>
                <w:color w:val="0000FF"/>
              </w:rPr>
              <w:t>Item 1. Legal Proceedings</w:t>
            </w:r>
          </w:p>
        </w:tc>
        <w:tc>
          <w:tcPr>
            <w:tcW w:w="7240" w:type="dxa"/>
            <w:vAlign w:val="bottom"/>
            <w:gridSpan w:val="18"/>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40" w:type="dxa"/>
            <w:vAlign w:val="bottom"/>
            <w:gridSpan w:val="13"/>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8"/>
          </w:tcPr>
          <w:p>
            <w:pPr>
              <w:ind w:left="20"/>
              <w:spacing w:after="0"/>
              <w:rPr>
                <w:sz w:val="20"/>
                <w:szCs w:val="20"/>
                <w:color w:val="auto"/>
              </w:rPr>
            </w:pPr>
            <w:r>
              <w:rPr>
                <w:rFonts w:ascii="Arial" w:cs="Arial" w:eastAsia="Arial" w:hAnsi="Arial"/>
                <w:sz w:val="18"/>
                <w:szCs w:val="18"/>
                <w:color w:val="0000FF"/>
              </w:rPr>
              <w:t>Item 1A. Risk Factors</w:t>
            </w:r>
          </w:p>
        </w:tc>
        <w:tc>
          <w:tcPr>
            <w:tcW w:w="7640" w:type="dxa"/>
            <w:vAlign w:val="bottom"/>
            <w:gridSpan w:val="20"/>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40" w:type="dxa"/>
            <w:vAlign w:val="bottom"/>
            <w:gridSpan w:val="14"/>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gridSpan w:val="21"/>
          </w:tcPr>
          <w:p>
            <w:pPr>
              <w:ind w:left="20"/>
              <w:spacing w:after="0"/>
              <w:rPr>
                <w:sz w:val="20"/>
                <w:szCs w:val="20"/>
                <w:color w:val="auto"/>
              </w:rPr>
            </w:pPr>
            <w:r>
              <w:rPr>
                <w:rFonts w:ascii="Arial" w:cs="Arial" w:eastAsia="Arial" w:hAnsi="Arial"/>
                <w:sz w:val="18"/>
                <w:szCs w:val="18"/>
                <w:color w:val="0000FF"/>
                <w:w w:val="99"/>
              </w:rPr>
              <w:t>Item 2. Unregistered Sale of Equity Security and Use of Proceeds</w:t>
            </w:r>
          </w:p>
        </w:tc>
        <w:tc>
          <w:tcPr>
            <w:tcW w:w="4500" w:type="dxa"/>
            <w:vAlign w:val="bottom"/>
            <w:gridSpan w:val="7"/>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40" w:type="dxa"/>
            <w:vAlign w:val="bottom"/>
            <w:gridSpan w:val="14"/>
            <w:shd w:val="clear" w:color="auto" w:fill="0000FF"/>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gridSpan w:val="21"/>
          </w:tcPr>
          <w:p>
            <w:pPr>
              <w:ind w:left="20"/>
              <w:spacing w:after="0"/>
              <w:rPr>
                <w:sz w:val="20"/>
                <w:szCs w:val="20"/>
                <w:color w:val="auto"/>
              </w:rPr>
            </w:pPr>
            <w:r>
              <w:rPr>
                <w:rFonts w:ascii="Arial" w:cs="Arial" w:eastAsia="Arial" w:hAnsi="Arial"/>
                <w:sz w:val="18"/>
                <w:szCs w:val="18"/>
                <w:color w:val="0000FF"/>
              </w:rPr>
              <w:t>Item 5. Other Information</w:t>
            </w:r>
          </w:p>
        </w:tc>
        <w:tc>
          <w:tcPr>
            <w:tcW w:w="4500" w:type="dxa"/>
            <w:vAlign w:val="bottom"/>
            <w:gridSpan w:val="7"/>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740" w:type="dxa"/>
            <w:vAlign w:val="bottom"/>
            <w:gridSpan w:val="21"/>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color w:val="0000FF"/>
                <w:w w:val="97"/>
              </w:rPr>
              <w:t>Item 6. Exhibits</w:t>
            </w:r>
          </w:p>
        </w:tc>
        <w:tc>
          <w:tcPr>
            <w:tcW w:w="760" w:type="dxa"/>
            <w:vAlign w:val="bottom"/>
            <w:gridSpan w:val="3"/>
          </w:tcPr>
          <w:p>
            <w:pPr>
              <w:spacing w:after="0"/>
              <w:rPr>
                <w:sz w:val="18"/>
                <w:szCs w:val="18"/>
                <w:color w:val="auto"/>
              </w:rPr>
            </w:pPr>
          </w:p>
        </w:tc>
        <w:tc>
          <w:tcPr>
            <w:tcW w:w="7740" w:type="dxa"/>
            <w:vAlign w:val="bottom"/>
            <w:gridSpan w:val="21"/>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500" w:type="dxa"/>
            <w:vAlign w:val="bottom"/>
            <w:gridSpan w:val="24"/>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60" w:type="dxa"/>
            <w:vAlign w:val="bottom"/>
            <w:gridSpan w:val="29"/>
          </w:tcPr>
          <w:p>
            <w:pPr>
              <w:spacing w:after="0"/>
              <w:rPr>
                <w:sz w:val="20"/>
                <w:szCs w:val="20"/>
                <w:color w:val="auto"/>
              </w:rPr>
            </w:pPr>
            <w:r>
              <w:rPr>
                <w:rFonts w:ascii="Arial" w:cs="Arial" w:eastAsia="Arial" w:hAnsi="Arial"/>
                <w:sz w:val="18"/>
                <w:szCs w:val="18"/>
                <w:color w:val="0000FF"/>
              </w:rPr>
              <w:t>SIGNATURES</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(in thousands, except per share amount)</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2025</w:t>
            </w:r>
          </w:p>
        </w:tc>
        <w:tc>
          <w:tcPr>
            <w:tcW w:w="17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195"/>
        </w:trPr>
        <w:tc>
          <w:tcPr>
            <w:tcW w:w="6060" w:type="dxa"/>
            <w:vAlign w:val="bottom"/>
          </w:tcPr>
          <w:p>
            <w:pPr>
              <w:ind w:left="20"/>
              <w:spacing w:after="0"/>
              <w:rPr>
                <w:sz w:val="20"/>
                <w:szCs w:val="20"/>
                <w:color w:val="auto"/>
              </w:rPr>
            </w:pPr>
            <w:r>
              <w:rPr>
                <w:rFonts w:ascii="Arial" w:cs="Arial" w:eastAsia="Arial" w:hAnsi="Arial"/>
                <w:sz w:val="16"/>
                <w:szCs w:val="16"/>
                <w:color w:val="auto"/>
              </w:rPr>
              <w:t>Assets:</w:t>
            </w:r>
          </w:p>
        </w:tc>
        <w:tc>
          <w:tcPr>
            <w:tcW w:w="4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465,911</w:t>
            </w:r>
          </w:p>
        </w:tc>
        <w:tc>
          <w:tcPr>
            <w:tcW w:w="14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174,506</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469,524</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Short-term restricted cash</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314,353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274,824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307,496</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48,733</w:t>
            </w: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253,446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199,481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248,457</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56,210</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36,562</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51,221</w:t>
            </w:r>
          </w:p>
        </w:tc>
        <w:tc>
          <w:tcPr>
            <w:tcW w:w="0" w:type="dxa"/>
            <w:vAlign w:val="bottom"/>
          </w:tcPr>
          <w:p>
            <w:pPr>
              <w:spacing w:after="0"/>
              <w:rPr>
                <w:sz w:val="1"/>
                <w:szCs w:val="1"/>
                <w:color w:val="auto"/>
              </w:rPr>
            </w:pPr>
          </w:p>
        </w:tc>
      </w:tr>
      <w:tr>
        <w:trPr>
          <w:trHeight w:val="209"/>
        </w:trPr>
        <w:tc>
          <w:tcPr>
            <w:tcW w:w="606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1,145,379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739,957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1,125,956</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18,123</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51,883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51,903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51,903</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75,331</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Right-of-use assets, net</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237,637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227,810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236,462</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restricted cash</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14,664</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331,083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304,722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324,889</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58,832</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29,548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24,990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29,455</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net</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16,922</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15,872</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1,987,480</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1,499,133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1,951,209</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103,205</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95,526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105,443</w:t>
            </w: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33,064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24,216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33,901</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lease liabilities, current</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61,459</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57,900</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61,228</w:t>
            </w:r>
          </w:p>
        </w:tc>
        <w:tc>
          <w:tcPr>
            <w:tcW w:w="0" w:type="dxa"/>
            <w:vAlign w:val="bottom"/>
          </w:tcPr>
          <w:p>
            <w:pPr>
              <w:spacing w:after="0"/>
              <w:rPr>
                <w:sz w:val="1"/>
                <w:szCs w:val="1"/>
                <w:color w:val="auto"/>
              </w:rPr>
            </w:pPr>
          </w:p>
        </w:tc>
      </w:tr>
      <w:tr>
        <w:trPr>
          <w:trHeight w:val="209"/>
        </w:trPr>
        <w:tc>
          <w:tcPr>
            <w:tcW w:w="606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190,049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254,003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200,572</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518,555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518,076</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182,228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184,736</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20,099</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12,317</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19,769</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916,781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675,239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925,724</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Commitments and contingencies (Note 10)</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480"/>
              <w:spacing w:after="0" w:line="162" w:lineRule="exact"/>
              <w:rPr>
                <w:sz w:val="20"/>
                <w:szCs w:val="20"/>
                <w:color w:val="auto"/>
              </w:rPr>
            </w:pPr>
            <w:r>
              <w:rPr>
                <w:rFonts w:ascii="Arial" w:cs="Arial" w:eastAsia="Arial" w:hAnsi="Arial"/>
                <w:sz w:val="16"/>
                <w:szCs w:val="16"/>
                <w:color w:val="auto"/>
              </w:rPr>
              <w:t>Class A Non-Voting Common Stock, par value $0.01 per share; shares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480"/>
              <w:spacing w:after="0" w:line="162" w:lineRule="exact"/>
              <w:rPr>
                <w:sz w:val="20"/>
                <w:szCs w:val="20"/>
                <w:color w:val="auto"/>
              </w:rPr>
            </w:pPr>
            <w:r>
              <w:rPr>
                <w:rFonts w:ascii="Arial" w:cs="Arial" w:eastAsia="Arial" w:hAnsi="Arial"/>
                <w:sz w:val="16"/>
                <w:szCs w:val="16"/>
                <w:color w:val="auto"/>
              </w:rPr>
              <w:t>authorized: 100,000,000; issued and outstanding: 58,724,555 as of</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480"/>
              <w:spacing w:after="0" w:line="162" w:lineRule="exact"/>
              <w:rPr>
                <w:sz w:val="20"/>
                <w:szCs w:val="20"/>
                <w:color w:val="auto"/>
              </w:rPr>
            </w:pPr>
            <w:r>
              <w:rPr>
                <w:rFonts w:ascii="Arial" w:cs="Arial" w:eastAsia="Arial" w:hAnsi="Arial"/>
                <w:sz w:val="16"/>
                <w:szCs w:val="16"/>
                <w:color w:val="auto"/>
              </w:rPr>
              <w:t>December 31, 2025; 52,050,550 as of December 31, 2024; 57,921,451 as</w:t>
            </w:r>
          </w:p>
        </w:tc>
        <w:tc>
          <w:tcPr>
            <w:tcW w:w="4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587</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of September 30, 2025</w:t>
            </w:r>
          </w:p>
        </w:tc>
        <w:tc>
          <w:tcPr>
            <w:tcW w:w="4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60" w:type="dxa"/>
            <w:vAlign w:val="bottom"/>
            <w:shd w:val="clear" w:color="auto" w:fill="CCEEFF"/>
          </w:tcPr>
          <w:p>
            <w:pPr>
              <w:ind w:left="480"/>
              <w:spacing w:after="0" w:line="163" w:lineRule="exact"/>
              <w:rPr>
                <w:sz w:val="20"/>
                <w:szCs w:val="20"/>
                <w:color w:val="auto"/>
              </w:rPr>
            </w:pPr>
            <w:r>
              <w:rPr>
                <w:rFonts w:ascii="Arial" w:cs="Arial" w:eastAsia="Arial" w:hAnsi="Arial"/>
                <w:sz w:val="16"/>
                <w:szCs w:val="16"/>
                <w:color w:val="auto"/>
              </w:rPr>
              <w:t>Class B Voting Common Stock, convertible, par value $0.01 per share;</w:t>
            </w: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shares authorized: 3,000,000; issued and outstanding: 2,970,171 as of</w:t>
            </w:r>
          </w:p>
        </w:tc>
        <w:tc>
          <w:tcPr>
            <w:tcW w:w="4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2025, December 31, 2024 and September 30, 2025</w:t>
            </w:r>
          </w:p>
        </w:tc>
        <w:tc>
          <w:tcPr>
            <w:tcW w:w="4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447,935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345,783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450,892</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656,991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536,427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612,687</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(34,844)</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(58,866)</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(38,703)</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1,070,699</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823,894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1,025,485</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1,987,480</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1,499,133</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1,951,209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r>
      <w:tr>
        <w:trPr>
          <w:trHeight w:val="189"/>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w w:val="96"/>
              </w:rPr>
              <w:t>2024</w:t>
            </w: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210,147</w:t>
            </w:r>
          </w:p>
        </w:tc>
        <w:tc>
          <w:tcPr>
            <w:tcW w:w="14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186,343</w:t>
            </w:r>
          </w:p>
        </w:tc>
      </w:tr>
      <w:tr>
        <w:trPr>
          <w:trHeight w:val="217"/>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 sales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w:t>
            </w: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131,917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117,052</w:t>
            </w:r>
          </w:p>
        </w:tc>
      </w:tr>
      <w:tr>
        <w:trPr>
          <w:trHeight w:val="217"/>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778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382,019</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320,170</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132,756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121,824</w:t>
            </w: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Jewelry scrap cost of goods sold</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26,297</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12,942</w:t>
            </w:r>
          </w:p>
        </w:tc>
      </w:tr>
      <w:tr>
        <w:trPr>
          <w:trHeight w:val="210"/>
        </w:trPr>
        <w:tc>
          <w:tcPr>
            <w:tcW w:w="7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222,966</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185,404</w:t>
            </w:r>
          </w:p>
        </w:tc>
      </w:tr>
      <w:tr>
        <w:trPr>
          <w:trHeight w:val="195"/>
        </w:trPr>
        <w:tc>
          <w:tcPr>
            <w:tcW w:w="7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126,772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110,936</w:t>
            </w: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26,743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24,184</w:t>
            </w:r>
          </w:p>
        </w:tc>
      </w:tr>
      <w:tr>
        <w:trPr>
          <w:trHeight w:val="217"/>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r>
      <w:tr>
        <w:trPr>
          <w:trHeight w:val="215"/>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162,358</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143,463</w:t>
            </w:r>
          </w:p>
        </w:tc>
      </w:tr>
      <w:tr>
        <w:trPr>
          <w:trHeight w:val="209"/>
        </w:trPr>
        <w:tc>
          <w:tcPr>
            <w:tcW w:w="778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60,608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41,941</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(2,093)</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41,384</w:t>
            </w:r>
          </w:p>
        </w:tc>
      </w:tr>
      <w:tr>
        <w:trPr>
          <w:trHeight w:val="215"/>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14,867</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10,368</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31,016</w:t>
            </w:r>
          </w:p>
        </w:tc>
      </w:tr>
      <w:tr>
        <w:trPr>
          <w:trHeight w:val="216"/>
        </w:trPr>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0.55</w:t>
            </w:r>
          </w:p>
        </w:tc>
        <w:tc>
          <w:tcPr>
            <w:tcW w:w="14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0.40</w:t>
            </w:r>
          </w:p>
        </w:tc>
      </w:tr>
      <w:tr>
        <w:trPr>
          <w:trHeight w:val="217"/>
        </w:trPr>
        <w:tc>
          <w:tcPr>
            <w:tcW w:w="7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61,243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54,827</w:t>
            </w: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497F"/>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7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89"/>
        </w:trPr>
        <w:tc>
          <w:tcPr>
            <w:tcW w:w="7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44,304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31,016</w:t>
            </w:r>
          </w:p>
        </w:tc>
        <w:tc>
          <w:tcPr>
            <w:tcW w:w="0" w:type="dxa"/>
            <w:vAlign w:val="bottom"/>
          </w:tcPr>
          <w:p>
            <w:pPr>
              <w:spacing w:after="0"/>
              <w:rPr>
                <w:sz w:val="1"/>
                <w:szCs w:val="1"/>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Foreign currency translation adjustment, net of income tax (expense) for our investment in</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unconsolidated affiliate of $(81) and $(106) for the three months ended December 31, 2025, and 2024,</w:t>
            </w: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3,859</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0" w:type="dxa"/>
            <w:vAlign w:val="bottom"/>
          </w:tcPr>
          <w:p>
            <w:pPr>
              <w:spacing w:after="0"/>
              <w:rPr>
                <w:sz w:val="1"/>
                <w:szCs w:val="1"/>
                <w:color w:val="auto"/>
              </w:rPr>
            </w:pPr>
          </w:p>
        </w:tc>
      </w:tr>
      <w:tr>
        <w:trPr>
          <w:trHeight w:val="215"/>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48,163</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5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80"/>
              <w:spacing w:after="0" w:line="116"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980" w:type="dxa"/>
            <w:vAlign w:val="bottom"/>
            <w:gridSpan w:val="4"/>
          </w:tcPr>
          <w:p>
            <w:pPr>
              <w:jc w:val="right"/>
              <w:ind w:right="260"/>
              <w:spacing w:after="0" w:line="116"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40" w:type="dxa"/>
            <w:vAlign w:val="bottom"/>
            <w:gridSpan w:val="4"/>
          </w:tcPr>
          <w:p>
            <w:pPr>
              <w:jc w:val="center"/>
              <w:ind w:right="220"/>
              <w:spacing w:after="0" w:line="116" w:lineRule="exact"/>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0"/>
                <w:szCs w:val="10"/>
                <w:color w:val="auto"/>
              </w:rPr>
            </w:pPr>
          </w:p>
        </w:tc>
        <w:tc>
          <w:tcPr>
            <w:tcW w:w="11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8"/>
        </w:trPr>
        <w:tc>
          <w:tcPr>
            <w:tcW w:w="45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7"/>
                <w:szCs w:val="17"/>
                <w:color w:val="auto"/>
              </w:rPr>
            </w:pPr>
          </w:p>
        </w:tc>
        <w:tc>
          <w:tcPr>
            <w:tcW w:w="1000" w:type="dxa"/>
            <w:vAlign w:val="bottom"/>
            <w:gridSpan w:val="4"/>
          </w:tcPr>
          <w:p>
            <w:pPr>
              <w:ind w:left="100"/>
              <w:spacing w:after="0"/>
              <w:rPr>
                <w:sz w:val="20"/>
                <w:szCs w:val="20"/>
                <w:color w:val="auto"/>
              </w:rPr>
            </w:pPr>
            <w:r>
              <w:rPr>
                <w:rFonts w:ascii="Arial" w:cs="Arial" w:eastAsia="Arial" w:hAnsi="Arial"/>
                <w:sz w:val="14"/>
                <w:szCs w:val="14"/>
                <w:b w:val="1"/>
                <w:bCs w:val="1"/>
                <w:color w:val="auto"/>
              </w:rPr>
              <w:t>Par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7"/>
                <w:szCs w:val="17"/>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20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45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2025</w:t>
            </w: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60,892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450,892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612,687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1,025,485</w:t>
            </w:r>
          </w:p>
        </w:tc>
        <w:tc>
          <w:tcPr>
            <w:tcW w:w="0" w:type="dxa"/>
            <w:vAlign w:val="bottom"/>
          </w:tcPr>
          <w:p>
            <w:pPr>
              <w:spacing w:after="0"/>
              <w:rPr>
                <w:sz w:val="1"/>
                <w:szCs w:val="1"/>
                <w:color w:val="auto"/>
              </w:rPr>
            </w:pPr>
          </w:p>
        </w:tc>
      </w:tr>
      <w:tr>
        <w:trPr>
          <w:trHeight w:val="215"/>
        </w:trPr>
        <w:tc>
          <w:tcPr>
            <w:tcW w:w="45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color w:val="auto"/>
              </w:rPr>
              <w:t>3,397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163"/>
        </w:trPr>
        <w:tc>
          <w:tcPr>
            <w:tcW w:w="45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Release of restricted stock, net of shares withheld for</w:t>
            </w:r>
          </w:p>
        </w:tc>
        <w:tc>
          <w:tcPr>
            <w:tcW w:w="880" w:type="dxa"/>
            <w:vAlign w:val="bottom"/>
            <w:gridSpan w:val="2"/>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803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w:t>
            </w:r>
          </w:p>
        </w:tc>
        <w:tc>
          <w:tcPr>
            <w:tcW w:w="8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220"/>
              <w:spacing w:after="0" w:line="162" w:lineRule="exact"/>
              <w:rPr>
                <w:sz w:val="20"/>
                <w:szCs w:val="20"/>
                <w:color w:val="auto"/>
              </w:rPr>
            </w:pPr>
            <w:r>
              <w:rPr>
                <w:rFonts w:ascii="Arial" w:cs="Arial" w:eastAsia="Arial" w:hAnsi="Arial"/>
                <w:sz w:val="16"/>
                <w:szCs w:val="16"/>
                <w:color w:val="auto"/>
              </w:rPr>
              <w:t>Taxes paid related to net share settlement of equity</w:t>
            </w:r>
          </w:p>
        </w:tc>
        <w:tc>
          <w:tcPr>
            <w:tcW w:w="40" w:type="dxa"/>
            <w:vAlign w:val="bottom"/>
          </w:tcPr>
          <w:p>
            <w:pPr>
              <w:spacing w:after="0"/>
              <w:rPr>
                <w:sz w:val="14"/>
                <w:szCs w:val="14"/>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gridSpan w:val="3"/>
            <w:vMerge w:val="restart"/>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62"/>
              <w:spacing w:after="0"/>
              <w:rPr>
                <w:sz w:val="20"/>
                <w:szCs w:val="20"/>
                <w:color w:val="auto"/>
              </w:rPr>
            </w:pPr>
            <w:r>
              <w:rPr>
                <w:rFonts w:ascii="Arial" w:cs="Arial" w:eastAsia="Arial" w:hAnsi="Arial"/>
                <w:sz w:val="16"/>
                <w:szCs w:val="16"/>
                <w:color w:val="auto"/>
              </w:rPr>
              <w:t>(6,346)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(6,346)</w:t>
            </w:r>
          </w:p>
        </w:tc>
        <w:tc>
          <w:tcPr>
            <w:tcW w:w="0" w:type="dxa"/>
            <w:vAlign w:val="bottom"/>
          </w:tcPr>
          <w:p>
            <w:pPr>
              <w:spacing w:after="0"/>
              <w:rPr>
                <w:sz w:val="1"/>
                <w:szCs w:val="1"/>
                <w:color w:val="auto"/>
              </w:rPr>
            </w:pPr>
          </w:p>
        </w:tc>
      </w:tr>
      <w:tr>
        <w:trPr>
          <w:trHeight w:val="215"/>
        </w:trPr>
        <w:tc>
          <w:tcPr>
            <w:tcW w:w="4560" w:type="dxa"/>
            <w:vAlign w:val="bottom"/>
          </w:tcPr>
          <w:p>
            <w:pPr>
              <w:ind w:left="220"/>
              <w:spacing w:after="0"/>
              <w:rPr>
                <w:sz w:val="20"/>
                <w:szCs w:val="20"/>
                <w:color w:val="auto"/>
              </w:rPr>
            </w:pPr>
            <w:r>
              <w:rPr>
                <w:rFonts w:ascii="Arial" w:cs="Arial" w:eastAsia="Arial" w:hAnsi="Arial"/>
                <w:sz w:val="16"/>
                <w:szCs w:val="16"/>
                <w:color w:val="auto"/>
              </w:rPr>
              <w:t>awards</w:t>
            </w:r>
          </w:p>
        </w:tc>
        <w:tc>
          <w:tcPr>
            <w:tcW w:w="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3,859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3,859</w:t>
            </w:r>
          </w:p>
        </w:tc>
        <w:tc>
          <w:tcPr>
            <w:tcW w:w="0" w:type="dxa"/>
            <w:vAlign w:val="bottom"/>
          </w:tcPr>
          <w:p>
            <w:pPr>
              <w:spacing w:after="0"/>
              <w:rPr>
                <w:sz w:val="1"/>
                <w:szCs w:val="1"/>
                <w:color w:val="auto"/>
              </w:rPr>
            </w:pPr>
          </w:p>
        </w:tc>
      </w:tr>
      <w:tr>
        <w:trPr>
          <w:trHeight w:val="215"/>
        </w:trPr>
        <w:tc>
          <w:tcPr>
            <w:tcW w:w="45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44,304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44,304</w:t>
            </w:r>
          </w:p>
        </w:tc>
        <w:tc>
          <w:tcPr>
            <w:tcW w:w="0" w:type="dxa"/>
            <w:vAlign w:val="bottom"/>
          </w:tcPr>
          <w:p>
            <w:pPr>
              <w:spacing w:after="0"/>
              <w:rPr>
                <w:sz w:val="1"/>
                <w:szCs w:val="1"/>
                <w:color w:val="auto"/>
              </w:rPr>
            </w:pPr>
          </w:p>
        </w:tc>
      </w:tr>
      <w:tr>
        <w:trPr>
          <w:trHeight w:val="217"/>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2025</w:t>
            </w:r>
          </w:p>
        </w:tc>
        <w:tc>
          <w:tcPr>
            <w:tcW w:w="88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61,695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617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447,935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656,991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1,070,699</w:t>
            </w:r>
          </w:p>
        </w:tc>
        <w:tc>
          <w:tcPr>
            <w:tcW w:w="0" w:type="dxa"/>
            <w:vAlign w:val="bottom"/>
          </w:tcPr>
          <w:p>
            <w:pPr>
              <w:spacing w:after="0"/>
              <w:rPr>
                <w:sz w:val="1"/>
                <w:szCs w:val="1"/>
                <w:color w:val="auto"/>
              </w:rPr>
            </w:pPr>
          </w:p>
        </w:tc>
      </w:tr>
      <w:tr>
        <w:trPr>
          <w:trHeight w:val="531"/>
        </w:trPr>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tcBorders>
              <w:bottom w:val="single" w:sz="8" w:color="auto"/>
            </w:tcBorders>
            <w:gridSpan w:val="5"/>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100"/>
              <w:spacing w:after="0" w:line="121"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40" w:type="dxa"/>
            <w:vAlign w:val="bottom"/>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0"/>
                <w:szCs w:val="10"/>
                <w:color w:val="auto"/>
              </w:rPr>
            </w:pPr>
          </w:p>
        </w:tc>
        <w:tc>
          <w:tcPr>
            <w:tcW w:w="114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7"/>
                <w:szCs w:val="17"/>
                <w:color w:val="auto"/>
              </w:rPr>
            </w:pP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7"/>
                <w:szCs w:val="17"/>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Par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4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507,206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(51,547)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804,571</w:t>
            </w:r>
          </w:p>
        </w:tc>
        <w:tc>
          <w:tcPr>
            <w:tcW w:w="0" w:type="dxa"/>
            <w:vAlign w:val="bottom"/>
          </w:tcPr>
          <w:p>
            <w:pPr>
              <w:spacing w:after="0"/>
              <w:rPr>
                <w:sz w:val="1"/>
                <w:szCs w:val="1"/>
                <w:color w:val="auto"/>
              </w:rPr>
            </w:pPr>
          </w:p>
        </w:tc>
      </w:tr>
      <w:tr>
        <w:trPr>
          <w:trHeight w:val="215"/>
        </w:trPr>
        <w:tc>
          <w:tcPr>
            <w:tcW w:w="45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jc w:val="center"/>
              <w:ind w:right="18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163"/>
        </w:trPr>
        <w:tc>
          <w:tcPr>
            <w:tcW w:w="45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Release of restricted stock, net of shares withheld for</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w:t>
            </w:r>
          </w:p>
        </w:tc>
        <w:tc>
          <w:tcPr>
            <w:tcW w:w="8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220"/>
              <w:spacing w:after="0" w:line="162" w:lineRule="exact"/>
              <w:rPr>
                <w:sz w:val="20"/>
                <w:szCs w:val="20"/>
                <w:color w:val="auto"/>
              </w:rPr>
            </w:pPr>
            <w:r>
              <w:rPr>
                <w:rFonts w:ascii="Arial" w:cs="Arial" w:eastAsia="Arial" w:hAnsi="Arial"/>
                <w:sz w:val="16"/>
                <w:szCs w:val="16"/>
                <w:color w:val="auto"/>
              </w:rPr>
              <w:t>Taxes paid related to net share settlement of equity</w:t>
            </w:r>
          </w:p>
        </w:tc>
        <w:tc>
          <w:tcPr>
            <w:tcW w:w="40" w:type="dxa"/>
            <w:vAlign w:val="bottom"/>
          </w:tcPr>
          <w:p>
            <w:pPr>
              <w:spacing w:after="0"/>
              <w:rPr>
                <w:sz w:val="14"/>
                <w:szCs w:val="14"/>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gridSpan w:val="3"/>
            <w:vMerge w:val="restart"/>
          </w:tcPr>
          <w:p>
            <w:pPr>
              <w:jc w:val="center"/>
              <w:ind w:right="18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(3,971)</w:t>
            </w:r>
          </w:p>
        </w:tc>
        <w:tc>
          <w:tcPr>
            <w:tcW w:w="0" w:type="dxa"/>
            <w:vAlign w:val="bottom"/>
          </w:tcPr>
          <w:p>
            <w:pPr>
              <w:spacing w:after="0"/>
              <w:rPr>
                <w:sz w:val="1"/>
                <w:szCs w:val="1"/>
                <w:color w:val="auto"/>
              </w:rPr>
            </w:pPr>
          </w:p>
        </w:tc>
      </w:tr>
      <w:tr>
        <w:trPr>
          <w:trHeight w:val="215"/>
        </w:trPr>
        <w:tc>
          <w:tcPr>
            <w:tcW w:w="4560" w:type="dxa"/>
            <w:vAlign w:val="bottom"/>
          </w:tcPr>
          <w:p>
            <w:pPr>
              <w:ind w:left="220"/>
              <w:spacing w:after="0"/>
              <w:rPr>
                <w:sz w:val="20"/>
                <w:szCs w:val="20"/>
                <w:color w:val="auto"/>
              </w:rPr>
            </w:pPr>
            <w:r>
              <w:rPr>
                <w:rFonts w:ascii="Arial" w:cs="Arial" w:eastAsia="Arial" w:hAnsi="Arial"/>
                <w:sz w:val="16"/>
                <w:szCs w:val="16"/>
                <w:color w:val="auto"/>
              </w:rPr>
              <w:t>awards</w:t>
            </w:r>
          </w:p>
        </w:tc>
        <w:tc>
          <w:tcPr>
            <w:tcW w:w="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loss</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(7,319)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w:t>
            </w:r>
          </w:p>
        </w:tc>
        <w:tc>
          <w:tcPr>
            <w:tcW w:w="0" w:type="dxa"/>
            <w:vAlign w:val="bottom"/>
          </w:tcPr>
          <w:p>
            <w:pPr>
              <w:spacing w:after="0"/>
              <w:rPr>
                <w:sz w:val="1"/>
                <w:szCs w:val="1"/>
                <w:color w:val="auto"/>
              </w:rPr>
            </w:pPr>
          </w:p>
        </w:tc>
      </w:tr>
      <w:tr>
        <w:trPr>
          <w:trHeight w:val="215"/>
        </w:trPr>
        <w:tc>
          <w:tcPr>
            <w:tcW w:w="456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(1,795)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31,016</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6"/>
                <w:szCs w:val="16"/>
                <w:color w:val="auto"/>
              </w:rPr>
              <w:t>Balances as of December 31, 2024</w:t>
            </w: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55,021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345,783</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536,427</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(58,866)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823,894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ind w:left="1820"/>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88"/>
        </w:trPr>
        <w:tc>
          <w:tcPr>
            <w:tcW w:w="7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44,304</w:t>
            </w:r>
          </w:p>
        </w:tc>
        <w:tc>
          <w:tcPr>
            <w:tcW w:w="120" w:type="dxa"/>
            <w:vAlign w:val="bottom"/>
          </w:tcPr>
          <w:p>
            <w:pPr>
              <w:spacing w:after="0"/>
              <w:rPr>
                <w:sz w:val="18"/>
                <w:szCs w:val="18"/>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31,016</w:t>
            </w:r>
          </w:p>
        </w:tc>
      </w:tr>
      <w:tr>
        <w:trPr>
          <w:trHeight w:val="217"/>
        </w:trPr>
        <w:tc>
          <w:tcPr>
            <w:tcW w:w="7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8,335</w:t>
            </w: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deferred financing costs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5"/>
        </w:trPr>
        <w:tc>
          <w:tcPr>
            <w:tcW w:w="784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14,421</w:t>
            </w: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15"/>
        </w:trPr>
        <w:tc>
          <w:tcPr>
            <w:tcW w:w="7840" w:type="dxa"/>
            <w:vAlign w:val="bottom"/>
          </w:tcPr>
          <w:p>
            <w:pPr>
              <w:ind w:left="360"/>
              <w:spacing w:after="0"/>
              <w:rPr>
                <w:sz w:val="20"/>
                <w:szCs w:val="20"/>
                <w:color w:val="auto"/>
              </w:rPr>
            </w:pPr>
            <w:r>
              <w:rPr>
                <w:rFonts w:ascii="Arial" w:cs="Arial" w:eastAsia="Arial" w:hAnsi="Arial"/>
                <w:sz w:val="16"/>
                <w:szCs w:val="16"/>
                <w:color w:val="auto"/>
              </w:rPr>
              <w:t>Other adjustments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inventory reserve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784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3,397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2,597</w:t>
            </w: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in net income from investment in unconsolidated affiliates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Pawn service charges receivable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r>
      <w:tr>
        <w:trPr>
          <w:trHeight w:val="215"/>
        </w:trPr>
        <w:tc>
          <w:tcPr>
            <w:tcW w:w="78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(2,384)</w:t>
            </w: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r>
      <w:tr>
        <w:trPr>
          <w:trHeight w:val="215"/>
        </w:trPr>
        <w:tc>
          <w:tcPr>
            <w:tcW w:w="78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(39,357)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(38,737)</w:t>
            </w:r>
          </w:p>
        </w:tc>
      </w:tr>
      <w:tr>
        <w:trPr>
          <w:trHeight w:val="217"/>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layaway deposits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w:t>
            </w:r>
          </w:p>
        </w:tc>
      </w:tr>
      <w:tr>
        <w:trPr>
          <w:trHeight w:val="215"/>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r>
      <w:tr>
        <w:trPr>
          <w:trHeight w:val="210"/>
        </w:trPr>
        <w:tc>
          <w:tcPr>
            <w:tcW w:w="7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25,991</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made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(272,746)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(247,225)</w:t>
            </w: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152,230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135,190</w:t>
            </w:r>
          </w:p>
        </w:tc>
      </w:tr>
      <w:tr>
        <w:trPr>
          <w:trHeight w:val="217"/>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115,522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101,850</w:t>
            </w: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(7,455)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(5,609)</w:t>
            </w:r>
          </w:p>
        </w:tc>
      </w:tr>
      <w:tr>
        <w:trPr>
          <w:trHeight w:val="217"/>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Issuance of notes receivable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unconsolidated affiliate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1,902</w:t>
            </w:r>
          </w:p>
        </w:tc>
      </w:tr>
      <w:tr>
        <w:trPr>
          <w:trHeight w:val="217"/>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9"/>
        </w:trPr>
        <w:tc>
          <w:tcPr>
            <w:tcW w:w="7840" w:type="dxa"/>
            <w:vAlign w:val="bottom"/>
          </w:tcPr>
          <w:p>
            <w:pPr>
              <w:ind w:left="5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(30,958)</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(14,040)</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8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(3,971)</w:t>
            </w:r>
          </w:p>
        </w:tc>
      </w:tr>
      <w:tr>
        <w:trPr>
          <w:trHeight w:val="217"/>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5"/>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of finance leases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7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w:t>
            </w:r>
          </w:p>
        </w:tc>
      </w:tr>
      <w:tr>
        <w:trPr>
          <w:trHeight w:val="21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r>
      <w:tr>
        <w:trPr>
          <w:trHeight w:val="21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484,713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179,807</w:t>
            </w:r>
          </w:p>
        </w:tc>
      </w:tr>
      <w:tr>
        <w:trPr>
          <w:trHeight w:val="21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486,121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183,892</w:t>
            </w: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00497F"/>
        </w:rPr>
        <w:t>Notes to Condensed 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22"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2025, filed with the Securities and Exchange Commission (“SEC”) on November 13, 2025 (“2025 Annual Report”).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periods presented are not necessarily indicative of results that may be expected for the fiscal year ending September 30, 2026 or any other period due, in part, to seasonal variations.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fiscal 2026, following a review of segment expenses to better align direct operating expenses with the respective segments, we modified our methodology for allocating certain expenses used in evaluating financial and segment performance and resource allocation. Specifically, we no longer allocate certain administrative expenses to our Latin America Pawn and U.S. Pawn segments; these costs are now reported within the "General and administrative" line in our Condensed Consolidated Statements of Operations.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recast the Condensed Consolidated Statements of Operations and segment contribution for prior periods to conform to this methodology. This resulted in a classification change of certain expenses totalling $5.5 million from Store expenses to General and administrative for the three months ended December 31, 2024. Additionally, segment contribution no longer includes certain administrative allocations to segments; these costs are now included within Corporate. Refer to Note 11: Segment Information.</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was no impact to Total operating expenses, Operating income, or Net income on our Condensed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material changes to our significant accounting policies during the three months ended December 31, 2025 from the policies described in our 2025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Sales Revenues Recognition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Customer layaway deposits are recorded as liabilities when a customer provides a deposit for merchandise. Upon cancellation, customer layaway deposits are generally refundable, less a cancellation fee, via credit slip. Our customer layaway deposits balance as of December 31, 2025, 2024 and September 30, 2025 was $33.1 million, $24.2 million and $33.9 million, respectively, and are generally recognized as revenues within a one-year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annual periods beginning after December 15, 2024. Early adoption is permitted, and the amendments should be applied on a prospective basis. Retrospective application is permitted. The adoption of this ASU is expected to only impact disclosures with respect to the Company’s consolidated financial statements.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(“ASU 2024-03”). Additionally, in January 2025,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periods presented in the financial statements. We are currently evaluating the impact of this standard on our consolidated financial statements and related disclosures.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2025, the FASB issued ASU 2025-03, </w:t>
      </w:r>
      <w:r>
        <w:rPr>
          <w:rFonts w:ascii="Arial" w:cs="Arial" w:eastAsia="Arial" w:hAnsi="Arial"/>
          <w:sz w:val="18"/>
          <w:szCs w:val="18"/>
          <w:i w:val="1"/>
          <w:iCs w:val="1"/>
          <w:color w:val="auto"/>
        </w:rPr>
        <w:t>Business Combinations (Topic 805) and Consolidation (Topic 810): Determining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Acquirer in the Acquisition of a Variable Interest Entity </w:t>
      </w:r>
      <w:r>
        <w:rPr>
          <w:rFonts w:ascii="Arial" w:cs="Arial" w:eastAsia="Arial" w:hAnsi="Arial"/>
          <w:sz w:val="18"/>
          <w:szCs w:val="18"/>
          <w:color w:val="auto"/>
        </w:rPr>
        <w:t>(“ASU 2025-03”). ASU 2025-03 revises current guidance for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requirements of ASU 2025-03 are effective for the Company for fiscal years beginning after December 15, 2026, and interim periods within those periods. Early adoption is permitted as of the beginning of an interim or annual reporting period. We are currently evaluating the impact of this standard on our consolidated financial statements and related disclosures.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2025, the FASB issued ASU 2025-06, Intangibles - Goodwill and Other - Internal-use Software: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We are currently evaluating the impact of this standard on our consolidated financial statements and related disclosures.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2025, the FASB issued ASU 2025-08, Financial Instruments - Credit Losses (Topic 326): Purchased Loans. ASU 2025-08 expands the use of the gross up method to certain acquired loans. Purchased season loans will be accounted for using the gross-up approach. The ASU is effective for fiscal years beginning after December 15, 2026, including interim periods within those fiscal years. We are currently evaluating the impact of this standard on our consolidated financial statements and related disclosures.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2025, the FASB issued ASU 2025-11, Interim Reporting (Topic 270), which clarifies the scope of interim reporting requirements and introduces a principles-based framework for disclosure of material events occurring after the most recent annual period. The ASU also consolidates interim disclosure requirements from other Codification topics into ASC 270. The guidance is effective for interim periods beginning after December 15, 2027, with early adoption permitted. We are currently evaluating the impact of this standard on our interim reporting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ACQUISITIONS</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were no material acquisitions during the three months ended December 31, 2025 and 2024. Refer to Note 13: Subsequent Events for acquisitions that closed after the Balance Sheet date.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U.S. Pawn</w:t>
            </w:r>
          </w:p>
        </w:tc>
        <w:tc>
          <w:tcPr>
            <w:tcW w:w="140" w:type="dxa"/>
            <w:vAlign w:val="bottom"/>
          </w:tcPr>
          <w:p>
            <w:pPr>
              <w:spacing w:after="0"/>
              <w:rPr>
                <w:sz w:val="19"/>
                <w:szCs w:val="19"/>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Latin America Pawn</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142"/>
        </w:trPr>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September 30, 2025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268,063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324,889</w:t>
            </w:r>
          </w:p>
        </w:tc>
      </w:tr>
      <w:tr>
        <w:trPr>
          <w:trHeight w:val="216"/>
        </w:trPr>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3,558</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5,250</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09"/>
        </w:trPr>
        <w:tc>
          <w:tcPr>
            <w:tcW w:w="6020" w:type="dxa"/>
            <w:vAlign w:val="bottom"/>
          </w:tcPr>
          <w:p>
            <w:pPr>
              <w:ind w:left="20"/>
              <w:spacing w:after="0"/>
              <w:rPr>
                <w:sz w:val="20"/>
                <w:szCs w:val="20"/>
                <w:color w:val="auto"/>
              </w:rPr>
            </w:pPr>
            <w:r>
              <w:rPr>
                <w:rFonts w:ascii="Arial" w:cs="Arial" w:eastAsia="Arial" w:hAnsi="Arial"/>
                <w:sz w:val="16"/>
                <w:szCs w:val="16"/>
                <w:color w:val="auto"/>
              </w:rPr>
              <w:t>Balance as of December 31, 2025</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271,621</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59,462</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331,083</w:t>
            </w:r>
          </w:p>
        </w:tc>
      </w:tr>
    </w:tbl>
    <w:p>
      <w:pPr>
        <w:spacing w:after="0" w:line="139" w:lineRule="exact"/>
        <w:rPr>
          <w:sz w:val="20"/>
          <w:szCs w:val="20"/>
          <w:color w:val="auto"/>
        </w:rPr>
      </w:pPr>
    </w:p>
    <w:p>
      <w:pPr>
        <w:ind w:left="180" w:hanging="172"/>
        <w:spacing w:after="0" w:line="231" w:lineRule="auto"/>
        <w:tabs>
          <w:tab w:leader="none" w:pos="17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Amount represents goodwill recognized in connection with acquisitions during the three months ended December 31, 2025 that were immaterial, individually and in the aggregate, and we have therefore omitted certain disclosures in this Form 10-Q.</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Latin America Pawn</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264,428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306,478</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(1,756)</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264,428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40,294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304,722</w:t>
            </w: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PER SHARE</w:t>
      </w:r>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64"/>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gridSpan w:val="4"/>
          </w:tcPr>
          <w:p>
            <w:pPr>
              <w:jc w:val="right"/>
              <w:ind w:right="839"/>
              <w:spacing w:after="0" w:line="164"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50"/>
        </w:trPr>
        <w:tc>
          <w:tcPr>
            <w:tcW w:w="7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Net income - 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44,304</w:t>
            </w:r>
          </w:p>
        </w:tc>
        <w:tc>
          <w:tcPr>
            <w:tcW w:w="14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31,016</w:t>
            </w: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61,243</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54,827</w:t>
            </w:r>
          </w:p>
        </w:tc>
      </w:tr>
      <w:tr>
        <w:trPr>
          <w:trHeight w:val="21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Basic earnings per common share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r>
      <w:tr>
        <w:trPr>
          <w:trHeight w:val="203"/>
        </w:trPr>
        <w:tc>
          <w:tcPr>
            <w:tcW w:w="7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31,016</w:t>
            </w:r>
          </w:p>
        </w:tc>
      </w:tr>
      <w:tr>
        <w:trPr>
          <w:trHeight w:val="215"/>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Add: Convertible Notes interest expense, net of tax*</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 diluted</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46,182</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33,455</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61,243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54,827</w:t>
            </w:r>
          </w:p>
        </w:tc>
      </w:tr>
      <w:tr>
        <w:trPr>
          <w:trHeight w:val="217"/>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 awards - effect of dilution**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r>
      <w:tr>
        <w:trPr>
          <w:trHeight w:val="215"/>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Convertible Notes - effect of dilution***</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20,477</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26,979</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83,282</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83,347</w:t>
            </w:r>
          </w:p>
        </w:tc>
      </w:tr>
      <w:tr>
        <w:trPr>
          <w:trHeight w:val="21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0.55</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r>
      <w:tr>
        <w:trPr>
          <w:trHeight w:val="203"/>
        </w:trPr>
        <w:tc>
          <w:tcPr>
            <w:tcW w:w="7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Potential common shares excluded from the calculation of diluted earnings per common share above: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r>
    </w:tbl>
    <w:p>
      <w:pPr>
        <w:spacing w:after="0" w:line="288" w:lineRule="exact"/>
        <w:rPr>
          <w:sz w:val="20"/>
          <w:szCs w:val="20"/>
          <w:color w:val="auto"/>
        </w:rPr>
      </w:pPr>
    </w:p>
    <w:p>
      <w:pPr>
        <w:ind w:left="340" w:hanging="332"/>
        <w:spacing w:after="0" w:line="272" w:lineRule="auto"/>
        <w:tabs>
          <w:tab w:leader="none" w:pos="247"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convertible debt for the three months ended December 31, 2025 consists of the 3.750% Convertible Senior Notes Due 2029 (the “2029 Convertible Notes”) and, for the three months ended December 31, 2024, also includes the 2.375% Convertible Senior Notes Due 2025 (the “2025 Convertible Notes”).</w:t>
      </w:r>
    </w:p>
    <w:p>
      <w:pPr>
        <w:ind w:left="340" w:hanging="332"/>
        <w:spacing w:after="0" w:line="261" w:lineRule="auto"/>
        <w:tabs>
          <w:tab w:leader="none" w:pos="35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performance-based awards for which targets for fiscal year tranches have been achieved and vesting is subject only to achievement of service conditions.</w:t>
      </w:r>
    </w:p>
    <w:p>
      <w:pPr>
        <w:ind w:left="340" w:hanging="332"/>
        <w:spacing w:after="0" w:line="251" w:lineRule="auto"/>
        <w:tabs>
          <w:tab w:leader="none" w:pos="376"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6.5 million of weighted average shares were included for the three months ended December 31, 2024 related to the 2025 Convertible Notes, which were settled in the third quarter of fiscal 2025 with a combination of cash and shares.</w:t>
      </w:r>
    </w:p>
    <w:p>
      <w:pPr>
        <w:ind w:left="340" w:hanging="332"/>
        <w:spacing w:after="0" w:line="284" w:lineRule="auto"/>
        <w:tabs>
          <w:tab w:leader="none" w:pos="43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LEASES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five to ten years and finance leases for vehicles with lease terms ranging from two to five years.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presents balances of our lease assets and liabilities and their balance sheet locations for both operating and financing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420" w:type="dxa"/>
            <w:vAlign w:val="bottom"/>
          </w:tcPr>
          <w:p>
            <w:pPr>
              <w:ind w:left="140"/>
              <w:spacing w:after="0"/>
              <w:rPr>
                <w:sz w:val="20"/>
                <w:szCs w:val="20"/>
                <w:color w:val="auto"/>
              </w:rPr>
            </w:pPr>
            <w:r>
              <w:rPr>
                <w:rFonts w:ascii="Arial" w:cs="Arial" w:eastAsia="Arial" w:hAnsi="Arial"/>
                <w:sz w:val="16"/>
                <w:szCs w:val="16"/>
                <w:b w:val="1"/>
                <w:bCs w:val="1"/>
                <w:color w:val="auto"/>
              </w:rPr>
              <w:t>Balance Sheet Location</w:t>
            </w: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2025</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2024</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196"/>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Lease assets:</w:t>
            </w:r>
          </w:p>
        </w:tc>
        <w:tc>
          <w:tcPr>
            <w:tcW w:w="34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assets, net</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236,462</w:t>
            </w:r>
          </w:p>
        </w:tc>
        <w:tc>
          <w:tcPr>
            <w:tcW w:w="0" w:type="dxa"/>
            <w:vAlign w:val="bottom"/>
          </w:tcPr>
          <w:p>
            <w:pPr>
              <w:spacing w:after="0"/>
              <w:rPr>
                <w:sz w:val="1"/>
                <w:szCs w:val="1"/>
                <w:color w:val="auto"/>
              </w:rPr>
            </w:pPr>
          </w:p>
        </w:tc>
      </w:tr>
      <w:tr>
        <w:trPr>
          <w:trHeight w:val="215"/>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lease assets</w:t>
            </w:r>
          </w:p>
        </w:tc>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 net</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7"/>
        </w:trPr>
        <w:tc>
          <w:tcPr>
            <w:tcW w:w="2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3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238,866</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229,150</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237,537</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Lease liabilities:</w:t>
            </w:r>
          </w:p>
        </w:tc>
        <w:tc>
          <w:tcPr>
            <w:tcW w:w="3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0"/>
              <w:spacing w:after="0"/>
              <w:rPr>
                <w:sz w:val="20"/>
                <w:szCs w:val="20"/>
                <w:color w:val="auto"/>
              </w:rPr>
            </w:pPr>
            <w:r>
              <w:rPr>
                <w:rFonts w:ascii="Arial" w:cs="Arial" w:eastAsia="Arial" w:hAnsi="Arial"/>
                <w:sz w:val="16"/>
                <w:szCs w:val="16"/>
                <w:color w:val="auto"/>
              </w:rPr>
              <w:t>Current:</w:t>
            </w:r>
          </w:p>
        </w:tc>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current</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61,228</w:t>
            </w: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Financing lease liabilities</w:t>
            </w:r>
          </w:p>
        </w:tc>
        <w:tc>
          <w:tcPr>
            <w:tcW w:w="3420" w:type="dxa"/>
            <w:vAlign w:val="bottom"/>
          </w:tcPr>
          <w:p>
            <w:pPr>
              <w:ind w:left="140"/>
              <w:spacing w:after="0" w:line="162" w:lineRule="exact"/>
              <w:rPr>
                <w:sz w:val="20"/>
                <w:szCs w:val="20"/>
                <w:color w:val="auto"/>
              </w:rPr>
            </w:pPr>
            <w:r>
              <w:rPr>
                <w:rFonts w:ascii="Arial" w:cs="Arial" w:eastAsia="Arial" w:hAnsi="Arial"/>
                <w:sz w:val="16"/>
                <w:szCs w:val="16"/>
                <w:color w:val="auto"/>
              </w:rPr>
              <w:t>Accounts payable, accrued expenses and</w:t>
            </w: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760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556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5"/>
        </w:trPr>
        <w:tc>
          <w:tcPr>
            <w:tcW w:w="2680" w:type="dxa"/>
            <w:vAlign w:val="bottom"/>
            <w:tcBorders>
              <w:bottom w:val="single" w:sz="8" w:color="CCEEFF"/>
            </w:tcBorders>
            <w:vMerge w:val="continue"/>
          </w:tcPr>
          <w:p>
            <w:pPr>
              <w:spacing w:after="0"/>
              <w:rPr>
                <w:sz w:val="18"/>
                <w:szCs w:val="18"/>
                <w:color w:val="auto"/>
              </w:rPr>
            </w:pPr>
          </w:p>
        </w:tc>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lease liabilities</w:t>
            </w:r>
          </w:p>
        </w:tc>
        <w:tc>
          <w:tcPr>
            <w:tcW w:w="34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62,219</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58,456</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61,871</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3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42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185,507</w:t>
            </w:r>
          </w:p>
        </w:tc>
        <w:tc>
          <w:tcPr>
            <w:tcW w:w="14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182,228</w:t>
            </w:r>
          </w:p>
        </w:tc>
        <w:tc>
          <w:tcPr>
            <w:tcW w:w="1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184,736</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3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7"/>
        </w:trPr>
        <w:tc>
          <w:tcPr>
            <w:tcW w:w="2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lease liabilities</w:t>
            </w:r>
          </w:p>
        </w:tc>
        <w:tc>
          <w:tcPr>
            <w:tcW w:w="34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186,114</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183,135</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185,309</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3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248,333</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241,591</w:t>
            </w: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247,180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7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88"/>
        </w:trPr>
        <w:tc>
          <w:tcPr>
            <w:tcW w:w="7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20,861</w:t>
            </w:r>
          </w:p>
        </w:tc>
        <w:tc>
          <w:tcPr>
            <w:tcW w:w="140" w:type="dxa"/>
            <w:vAlign w:val="bottom"/>
          </w:tcPr>
          <w:p>
            <w:pPr>
              <w:spacing w:after="0"/>
              <w:rPr>
                <w:sz w:val="18"/>
                <w:szCs w:val="18"/>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19,969</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cost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w:t>
            </w:r>
          </w:p>
        </w:tc>
      </w:tr>
      <w:tr>
        <w:trPr>
          <w:trHeight w:val="217"/>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lease cost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25,894</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23,262</w:t>
            </w:r>
          </w:p>
        </w:tc>
      </w:tr>
      <w:tr>
        <w:trPr>
          <w:trHeight w:val="203"/>
        </w:trPr>
        <w:tc>
          <w:tcPr>
            <w:tcW w:w="7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Financing lease cost: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financing lease assets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financing lease cost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23"/>
        </w:trPr>
        <w:tc>
          <w:tcPr>
            <w:tcW w:w="7640" w:type="dxa"/>
            <w:vAlign w:val="bottom"/>
          </w:tcPr>
          <w:p>
            <w:pPr>
              <w:ind w:left="220"/>
              <w:spacing w:after="0"/>
              <w:rPr>
                <w:sz w:val="20"/>
                <w:szCs w:val="20"/>
                <w:color w:val="auto"/>
              </w:rPr>
            </w:pPr>
            <w:r>
              <w:rPr>
                <w:rFonts w:ascii="Arial" w:cs="Arial" w:eastAsia="Arial" w:hAnsi="Arial"/>
                <w:sz w:val="16"/>
                <w:szCs w:val="16"/>
                <w:color w:val="auto"/>
              </w:rPr>
              <w:t>Total lease cost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26,088</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*Includes a reduction for sublease rental income of $0.7 million and $0.6 million for the three months ended December 31, 2025 and 2024, respectively.</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was $21.2 million and $20.0 million for the three months ended December 31, 2025 and 2024,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term and discount rates for leases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840" w:type="dxa"/>
            <w:vAlign w:val="bottom"/>
            <w:gridSpan w:val="3"/>
          </w:tcPr>
          <w:p>
            <w:pPr>
              <w:jc w:val="center"/>
              <w:ind w:left="10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2840" w:type="dxa"/>
            <w:vAlign w:val="bottom"/>
            <w:tcBorders>
              <w:bottom w:val="single" w:sz="8" w:color="auto"/>
            </w:tcBorders>
            <w:gridSpan w:val="3"/>
          </w:tcPr>
          <w:p>
            <w:pPr>
              <w:jc w:val="center"/>
              <w:ind w:left="1039"/>
              <w:spacing w:after="0"/>
              <w:rPr>
                <w:sz w:val="20"/>
                <w:szCs w:val="20"/>
                <w:color w:val="auto"/>
              </w:rPr>
            </w:pPr>
            <w:r>
              <w:rPr>
                <w:rFonts w:ascii="Arial" w:cs="Arial" w:eastAsia="Arial" w:hAnsi="Arial"/>
                <w:sz w:val="16"/>
                <w:szCs w:val="16"/>
                <w:b w:val="1"/>
                <w:bCs w:val="1"/>
                <w:color w:val="auto"/>
                <w:w w:val="99"/>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vMerge w:val="restart"/>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20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5"/>
        </w:trPr>
        <w:tc>
          <w:tcPr>
            <w:tcW w:w="728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2060" w:type="dxa"/>
            <w:vAlign w:val="bottom"/>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8.40 %</w:t>
            </w:r>
          </w:p>
        </w:tc>
        <w:tc>
          <w:tcPr>
            <w:tcW w:w="0" w:type="dxa"/>
            <w:vAlign w:val="bottom"/>
          </w:tcPr>
          <w:p>
            <w:pPr>
              <w:spacing w:after="0"/>
              <w:rPr>
                <w:sz w:val="1"/>
                <w:szCs w:val="1"/>
                <w:color w:val="auto"/>
              </w:rPr>
            </w:pPr>
          </w:p>
        </w:tc>
      </w:tr>
      <w:tr>
        <w:trPr>
          <w:trHeight w:val="215"/>
        </w:trPr>
        <w:tc>
          <w:tcPr>
            <w:tcW w:w="728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2060" w:type="dxa"/>
            <w:vAlign w:val="bottom"/>
          </w:tcPr>
          <w:p>
            <w:pPr>
              <w:jc w:val="right"/>
              <w:spacing w:after="0"/>
              <w:rPr>
                <w:sz w:val="20"/>
                <w:szCs w:val="20"/>
                <w:color w:val="auto"/>
              </w:rPr>
            </w:pPr>
            <w:r>
              <w:rPr>
                <w:rFonts w:ascii="Arial" w:cs="Arial" w:eastAsia="Arial" w:hAnsi="Arial"/>
                <w:sz w:val="16"/>
                <w:szCs w:val="16"/>
                <w:color w:val="auto"/>
              </w:rPr>
              <w:t>11.90 %</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11.14 %</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maturities of lease liabilities under ASC 842 by fiscal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90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rPr>
              <w:t>Financing Leases</w:t>
            </w:r>
          </w:p>
        </w:tc>
      </w:tr>
      <w:tr>
        <w:trPr>
          <w:trHeight w:val="210"/>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2026</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39,037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2030</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w:t>
            </w:r>
          </w:p>
        </w:tc>
      </w:tr>
      <w:tr>
        <w:trPr>
          <w:trHeight w:val="215"/>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portion representing imputed interest</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10"/>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lease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r>
      <w:tr>
        <w:trPr>
          <w:trHeight w:val="215"/>
        </w:trPr>
        <w:tc>
          <w:tcPr>
            <w:tcW w:w="74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r>
      <w:tr>
        <w:trPr>
          <w:trHeight w:val="217"/>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long-term net lease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$15.8 million and $18.2 million in non-cash additions to our operating right-of-use assets and lease liabilities for the three months ended December 31, 2025 and 2024,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STRATEGIC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we owned approximately 43.7%, of Cash Converters. We acquired our original investment in November 2009 and have increased our ownership through the acquisition of additional shares periodically since that time. During the three months ended December 31, 2025, we acquired an additional 35,780,747 shares for $7.1 million bringing our total shares owned to 309,719,904 shares. This additional investment did not increase our ownership percentage in Cash Converters.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received cash dividends from Cash Converters of $1.8 million and $1.9 million during the three months ended December 31, 2025 and 2024,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December 31, 2025 and 2024, we recorded our share of income of $1.8 million and $1.6 million, respectively, from Cash Converters, included in “Equity in net income of unconsolidated affiliates” in the Condensed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7: Fair Value Measurements for the fair value and carrying value of our investment in Cash Converters.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2022, we invested $15.0 million in exchange for a non-redeemable voting participating preferred equity interest in Founders One, LLC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preferred equity investment in Founders, a variable interest entity, is accounted for utilizing the measurement alternative within ASC 321, Investments — Equity Securities. As of December 31, 2025, our $45.0 million carrying value of the preferred equity investment and $29.3 million in Demand Promissory Notes (including accrued interest) are included in “Other investments” and “Prepaid expenses and other current assets” in our Condensed Consolidated Balance Sheets, respectively. As of December 31, 2025, our maximum exposure for losses related to our investment in Founders was our $45.0 million preferred equity investment and $29.3 million in Demand Promissory Notes (including accrued interest).</w:t>
      </w:r>
    </w:p>
    <w:p>
      <w:pPr>
        <w:spacing w:after="0" w:line="101"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Subsequent to the Balance Sheet date, on January 2, 2026, we acquired a controlling interest in Founders. See Note 13: Subsequent Events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212529"/>
        </w:rPr>
        <w:t>See Note 7: Fair Value Measurements for the fair value and carrying value of our loan to Founders.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FAIR VALUE MEASUREMENTS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2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Carrying Value</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200"/>
              <w:spacing w:after="0"/>
              <w:rPr>
                <w:sz w:val="20"/>
                <w:szCs w:val="20"/>
                <w:color w:val="auto"/>
              </w:rPr>
            </w:pPr>
            <w:r>
              <w:rPr>
                <w:rFonts w:ascii="Arial" w:cs="Arial" w:eastAsia="Arial" w:hAnsi="Arial"/>
                <w:sz w:val="16"/>
                <w:szCs w:val="16"/>
                <w:b w:val="1"/>
                <w:bCs w:val="1"/>
                <w:color w:val="auto"/>
              </w:rPr>
              <w:t>Estimated Fair Value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Fair Value Measurement Using</w:t>
            </w:r>
          </w:p>
        </w:tc>
        <w:tc>
          <w:tcPr>
            <w:tcW w:w="940" w:type="dxa"/>
            <w:vAlign w:val="bottom"/>
            <w:tcBorders>
              <w:top w:val="single" w:sz="8" w:color="auto"/>
              <w:bottom w:val="single" w:sz="8" w:color="auto"/>
            </w:tcBorders>
          </w:tcPr>
          <w:p>
            <w:pPr>
              <w:spacing w:after="0"/>
              <w:rPr>
                <w:sz w:val="18"/>
                <w:szCs w:val="18"/>
                <w:color w:val="auto"/>
              </w:rPr>
            </w:pPr>
          </w:p>
        </w:tc>
      </w:tr>
      <w:tr>
        <w:trPr>
          <w:trHeight w:val="210"/>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17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December 31, 2025</w:t>
            </w:r>
          </w:p>
        </w:tc>
        <w:tc>
          <w:tcPr>
            <w:tcW w:w="17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2025</w:t>
            </w: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38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Level 3</w:t>
            </w:r>
          </w:p>
        </w:tc>
      </w:tr>
      <w:tr>
        <w:trPr>
          <w:trHeight w:val="88"/>
        </w:trPr>
        <w:tc>
          <w:tcPr>
            <w:tcW w:w="6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3480" w:type="dxa"/>
            <w:vAlign w:val="bottom"/>
            <w:gridSpan w:val="2"/>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29,329</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29,329</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29,329</w:t>
            </w:r>
          </w:p>
        </w:tc>
      </w:tr>
      <w:tr>
        <w:trPr>
          <w:trHeight w:val="217"/>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225,523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459,689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 w:type="dxa"/>
            <w:vAlign w:val="bottom"/>
          </w:tcPr>
          <w:p>
            <w:pPr>
              <w:ind w:left="220"/>
              <w:spacing w:after="0"/>
              <w:rPr>
                <w:sz w:val="20"/>
                <w:szCs w:val="20"/>
                <w:color w:val="auto"/>
              </w:rPr>
            </w:pPr>
            <w:r>
              <w:rPr>
                <w:rFonts w:ascii="Arial" w:cs="Arial" w:eastAsia="Arial" w:hAnsi="Arial"/>
                <w:sz w:val="16"/>
                <w:szCs w:val="16"/>
                <w:color w:val="auto"/>
              </w:rPr>
              <w:t>2032</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293,032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319,404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319,404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Carrying Value</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200"/>
              <w:spacing w:after="0"/>
              <w:rPr>
                <w:sz w:val="20"/>
                <w:szCs w:val="20"/>
                <w:color w:val="auto"/>
              </w:rPr>
            </w:pPr>
            <w:r>
              <w:rPr>
                <w:rFonts w:ascii="Arial" w:cs="Arial" w:eastAsia="Arial" w:hAnsi="Arial"/>
                <w:sz w:val="16"/>
                <w:szCs w:val="16"/>
                <w:b w:val="1"/>
                <w:bCs w:val="1"/>
                <w:color w:val="auto"/>
              </w:rPr>
              <w:t>Estimated Fair Value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Fair Value Measurement Using</w:t>
            </w:r>
          </w:p>
        </w:tc>
        <w:tc>
          <w:tcPr>
            <w:tcW w:w="940" w:type="dxa"/>
            <w:vAlign w:val="bottom"/>
            <w:tcBorders>
              <w:top w:val="single" w:sz="8" w:color="auto"/>
              <w:bottom w:val="single" w:sz="8" w:color="auto"/>
            </w:tcBorders>
          </w:tcPr>
          <w:p>
            <w:pPr>
              <w:spacing w:after="0"/>
              <w:rPr>
                <w:sz w:val="18"/>
                <w:szCs w:val="18"/>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7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December 31, 2024</w:t>
            </w:r>
          </w:p>
        </w:tc>
        <w:tc>
          <w:tcPr>
            <w:tcW w:w="17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2024</w:t>
            </w: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38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Level 3</w:t>
            </w:r>
          </w:p>
        </w:tc>
      </w:tr>
      <w:tr>
        <w:trPr>
          <w:trHeight w:val="88"/>
        </w:trPr>
        <w:tc>
          <w:tcPr>
            <w:tcW w:w="34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348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16,317</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16,317</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16,317</w:t>
            </w:r>
          </w:p>
        </w:tc>
      </w:tr>
      <w:tr>
        <w:trPr>
          <w:trHeight w:val="217"/>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16"/>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102,339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80" w:type="dxa"/>
            <w:vAlign w:val="bottom"/>
          </w:tcPr>
          <w:p>
            <w:pPr>
              <w:ind w:left="220"/>
              <w:spacing w:after="0"/>
              <w:rPr>
                <w:sz w:val="20"/>
                <w:szCs w:val="20"/>
                <w:color w:val="auto"/>
              </w:rPr>
            </w:pPr>
            <w:r>
              <w:rPr>
                <w:rFonts w:ascii="Arial" w:cs="Arial" w:eastAsia="Arial" w:hAnsi="Arial"/>
                <w:sz w:val="16"/>
                <w:szCs w:val="16"/>
                <w:color w:val="auto"/>
              </w:rPr>
              <w:t>2029 Convertible Notes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224,505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289,887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289,887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Carrying Value</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200"/>
              <w:spacing w:after="0"/>
              <w:rPr>
                <w:sz w:val="20"/>
                <w:szCs w:val="20"/>
                <w:color w:val="auto"/>
              </w:rPr>
            </w:pPr>
            <w:r>
              <w:rPr>
                <w:rFonts w:ascii="Arial" w:cs="Arial" w:eastAsia="Arial" w:hAnsi="Arial"/>
                <w:sz w:val="16"/>
                <w:szCs w:val="16"/>
                <w:b w:val="1"/>
                <w:bCs w:val="1"/>
                <w:color w:val="auto"/>
              </w:rPr>
              <w:t>Estimated Fair Value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Fair Value Measurement Using</w:t>
            </w:r>
          </w:p>
        </w:tc>
        <w:tc>
          <w:tcPr>
            <w:tcW w:w="940" w:type="dxa"/>
            <w:vAlign w:val="bottom"/>
            <w:tcBorders>
              <w:top w:val="single" w:sz="8" w:color="auto"/>
              <w:bottom w:val="single" w:sz="8" w:color="auto"/>
            </w:tcBorders>
          </w:tcPr>
          <w:p>
            <w:pPr>
              <w:spacing w:after="0"/>
              <w:rPr>
                <w:sz w:val="18"/>
                <w:szCs w:val="18"/>
                <w:color w:val="auto"/>
              </w:rPr>
            </w:pPr>
          </w:p>
        </w:tc>
      </w:tr>
      <w:tr>
        <w:trPr>
          <w:trHeight w:val="210"/>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September 30, 2025</w:t>
            </w:r>
          </w:p>
        </w:tc>
        <w:tc>
          <w:tcPr>
            <w:tcW w:w="17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2025</w:t>
            </w: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Level 2</w:t>
            </w:r>
          </w:p>
        </w:tc>
        <w:tc>
          <w:tcPr>
            <w:tcW w:w="38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Level 3</w:t>
            </w:r>
          </w:p>
        </w:tc>
      </w:tr>
      <w:tr>
        <w:trPr>
          <w:trHeight w:val="88"/>
        </w:trPr>
        <w:tc>
          <w:tcPr>
            <w:tcW w:w="6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3480" w:type="dxa"/>
            <w:vAlign w:val="bottom"/>
            <w:gridSpan w:val="2"/>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24,369</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24,369</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24,369</w:t>
            </w:r>
          </w:p>
        </w:tc>
      </w:tr>
      <w:tr>
        <w:trPr>
          <w:trHeight w:val="217"/>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225,258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422,931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20" w:type="dxa"/>
            <w:vAlign w:val="bottom"/>
          </w:tcPr>
          <w:p>
            <w:pPr>
              <w:ind w:left="220"/>
              <w:spacing w:after="0"/>
              <w:rPr>
                <w:sz w:val="20"/>
                <w:szCs w:val="20"/>
                <w:color w:val="auto"/>
              </w:rPr>
            </w:pPr>
            <w:r>
              <w:rPr>
                <w:rFonts w:ascii="Arial" w:cs="Arial" w:eastAsia="Arial" w:hAnsi="Arial"/>
                <w:sz w:val="16"/>
                <w:szCs w:val="16"/>
                <w:color w:val="auto"/>
              </w:rPr>
              <w:t>2032</w:t>
            </w:r>
          </w:p>
        </w:tc>
        <w:tc>
          <w:tcPr>
            <w:tcW w:w="286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292,818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320,734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320,734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6: Strategic Investments, we have loans outstanding to Founders in exchange for Demand Promissory Notes secured by the common interest in Founders held by the other member. As of December 31, 2025, the interest rate on the notes was 15.0% per annum, and all principal and accrued interest is due on demand. Based primarily on the short-term nature of the notes, we estimate that its carrying value approximates fair value as of December 31, 2025. Subsequent to the Balance Sheet date, on January 2, 2026, we acquired a controlling interest in Founders. See Note 13: Subsequent Events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measured the fair value of the 2025 Convertible Notes, 2029 Convertible Notes, and 2032 Senior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Deferred</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Deferred</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Deferred</w:t>
            </w:r>
          </w:p>
        </w:tc>
        <w:tc>
          <w:tcPr>
            <w:tcW w:w="12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186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rPr>
              <w:t>Financing</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Financing</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Financing</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2032</w:t>
            </w:r>
          </w:p>
        </w:tc>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292,818</w:t>
            </w:r>
          </w:p>
        </w:tc>
        <w:tc>
          <w:tcPr>
            <w:tcW w:w="0" w:type="dxa"/>
            <w:vAlign w:val="bottom"/>
          </w:tcPr>
          <w:p>
            <w:pPr>
              <w:spacing w:after="0"/>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rPr>
              <w:t>2029</w:t>
            </w:r>
          </w:p>
        </w:tc>
        <w:tc>
          <w:tcPr>
            <w:tcW w:w="1460" w:type="dxa"/>
            <w:vAlign w:val="bottom"/>
          </w:tcPr>
          <w:p>
            <w:pPr>
              <w:ind w:left="40"/>
              <w:spacing w:after="0" w:line="162" w:lineRule="exact"/>
              <w:rPr>
                <w:sz w:val="20"/>
                <w:szCs w:val="20"/>
                <w:color w:val="auto"/>
              </w:rPr>
            </w:pPr>
            <w:r>
              <w:rPr>
                <w:rFonts w:ascii="Arial" w:cs="Arial" w:eastAsia="Arial" w:hAnsi="Arial"/>
                <w:sz w:val="16"/>
                <w:szCs w:val="16"/>
                <w:color w:val="auto"/>
              </w:rPr>
              <w:t>Convertible</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(4,477)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225,523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(5,495)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224,505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(4,742)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225,258</w:t>
            </w:r>
          </w:p>
        </w:tc>
        <w:tc>
          <w:tcPr>
            <w:tcW w:w="0" w:type="dxa"/>
            <w:vAlign w:val="bottom"/>
          </w:tcPr>
          <w:p>
            <w:pPr>
              <w:spacing w:after="0"/>
              <w:rPr>
                <w:sz w:val="1"/>
                <w:szCs w:val="1"/>
                <w:color w:val="auto"/>
              </w:rPr>
            </w:pPr>
          </w:p>
        </w:tc>
      </w:tr>
      <w:tr>
        <w:trPr>
          <w:trHeight w:val="215"/>
        </w:trPr>
        <w:tc>
          <w:tcPr>
            <w:tcW w:w="18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2025</w:t>
            </w:r>
          </w:p>
        </w:tc>
        <w:tc>
          <w:tcPr>
            <w:tcW w:w="146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Convertible</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103,205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6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530,000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518,555</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(5,663)</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327,710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530,000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(11,924)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518,076</w:t>
            </w:r>
          </w:p>
        </w:tc>
        <w:tc>
          <w:tcPr>
            <w:tcW w:w="0" w:type="dxa"/>
            <w:vAlign w:val="bottom"/>
          </w:tcPr>
          <w:p>
            <w:pPr>
              <w:spacing w:after="0"/>
              <w:rPr>
                <w:sz w:val="1"/>
                <w:szCs w:val="1"/>
                <w:color w:val="auto"/>
              </w:rPr>
            </w:pPr>
          </w:p>
        </w:tc>
      </w:tr>
      <w:tr>
        <w:trPr>
          <w:trHeight w:val="21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860" w:type="dxa"/>
            <w:vAlign w:val="bottom"/>
            <w:gridSpan w:val="2"/>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530,000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518,555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224,505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530,000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(11,924)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518,076</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interest expense related to its debt for the three months ended December 31, 2025 and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77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88"/>
        </w:trPr>
        <w:tc>
          <w:tcPr>
            <w:tcW w:w="7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2032 Senior Notes: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5,531</w:t>
            </w:r>
          </w:p>
        </w:tc>
        <w:tc>
          <w:tcPr>
            <w:tcW w:w="14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interest expense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5,745</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2029 Convertible Notes: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r>
      <w:tr>
        <w:trPr>
          <w:trHeight w:val="215"/>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17"/>
        </w:trPr>
        <w:tc>
          <w:tcPr>
            <w:tcW w:w="7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r>
      <w:tr>
        <w:trPr>
          <w:trHeight w:val="257"/>
        </w:trPr>
        <w:tc>
          <w:tcPr>
            <w:tcW w:w="7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Convertible Notes: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778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17"/>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7780" w:type="dxa"/>
            <w:vAlign w:val="bottom"/>
          </w:tcPr>
          <w:p>
            <w:pPr>
              <w:ind w:left="480"/>
              <w:spacing w:after="0"/>
              <w:rPr>
                <w:sz w:val="20"/>
                <w:szCs w:val="20"/>
                <w:color w:val="auto"/>
              </w:rPr>
            </w:pPr>
            <w:r>
              <w:rPr>
                <w:rFonts w:ascii="Arial" w:cs="Arial" w:eastAsia="Arial" w:hAnsi="Arial"/>
                <w:sz w:val="16"/>
                <w:szCs w:val="16"/>
                <w:color w:val="auto"/>
              </w:rPr>
              <w:t>Total interest expense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Company was in compliance with all covenants related to the 2032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reported sale price of our Class A Common Stock was greater than or equal to 130% of the applicable conversion price for the 2029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for at least 20 trading days in the 30 consecutive trading days ended on December 31, 2025. As a result, the 2029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are convertible at the option of the holders during the fiscal quarter ending March 31, 2026.</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COMMON STOCK AND STOCK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11, 2025, the Company’s Board of Directors (the “Board”) authorized the repurchase of up to $50 million of our Class A Non-Voting common shares over the next three years (the “2026 Common Stock Repurchase Program”). During the three months ended December 31, 2025, the Company did not repurchase any shares under the 2026 Common Stock Repurchase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previously authorized a repurchase program on May 3, 2022 (the “2022 Common Stock Repurchase Program”) which expired on May 3, 2025. The 2022 Common Stock Repurchase Program authorized the repurchase of up to $50 million of our Class A Common Stock over three years. During the three months ended December 31, 2024, the Company repurchased and retired 250,463 shares for $3.0 million under the 2022 Common Stock Repurchase Program. Execution of the program was responsive to fluctuating market conditions and valuations, liquidity needs and the expected return on investment compared to other opportunities.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and timing of purchases was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repurchase amount is allocated between “Additional paid-in capital” and “Retained earnings” in our condensed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200" w:type="dxa"/>
            <w:vAlign w:val="bottom"/>
            <w:gridSpan w:val="2"/>
            <w:vMerge w:val="restart"/>
          </w:tcPr>
          <w:p>
            <w:pPr>
              <w:ind w:left="7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6"/>
                <w:szCs w:val="16"/>
                <w:color w:val="auto"/>
              </w:rPr>
            </w:pPr>
          </w:p>
        </w:tc>
        <w:tc>
          <w:tcPr>
            <w:tcW w:w="1940" w:type="dxa"/>
            <w:vAlign w:val="bottom"/>
          </w:tcPr>
          <w:p>
            <w:pPr>
              <w:jc w:val="right"/>
              <w:ind w:right="27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ind w:right="153"/>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673,821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(1,159,937)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Outstanding as of December 31, 2025</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1,835,724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COMMITMENTS AND CONTINGENCIES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SEGMENT INFORMATION</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Our chief operating decision maker (“CODM”) is our chief executive officer. The CODM uses key financial information such as revenue growth, pawn service charges, segment gross profit, and segment contribution by comparing to and monitoring against budget and prior year results to evaluate segment performance and allocate resources.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regularly monitor for changes in facts and circumstances that would necessitate changes in our determination of operating segments. As indicated in Note 1, our results below reflect our updated methodology used in allocating certain expenses beginning in the first quarter of fiscal 2026, and the results from the prior period presented have been recast to conform with the current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Cash Converters and our investment in and notes receivable from Founders.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items include administrative expenses, depreciation and amortization, loss (gain) on sale or disposal of assets, interest income and expense and other (income) expense, and are not allocated between the segments. There are no inter-segment revenues presented below, and the amounts below were determined in accordance with the same accounting principles used in our consolidated financial statements.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income (loss) before income taxes tables present revenue for each reportable segment, disaggregated revenue within our reportable segments and Corporate, segment profits and segment contribution.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2025</w:t>
            </w: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9"/>
              </w:rPr>
              <w:t>Corporate</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139,042</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71,105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210,147</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210,147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 sales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95,174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131,917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131,917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269,760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112,259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382,019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382,019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132,756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 cost of goods sold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26,297</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160,709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222,966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222,966</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126,772</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26,743</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Loss on sale or disposal of assets and</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(4,814)</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93,658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93,658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(34,487)</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2024</w:t>
            </w: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Corporate</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Items</w:t>
            </w: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128,800</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57,543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186,343</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186,343</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 sales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87,876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117,052</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34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232,201</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87,969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320,170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320,170</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cost of goods sold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121,824</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Jewelry scrap cost of goods sold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138,677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185,404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185,404</w:t>
            </w:r>
          </w:p>
        </w:tc>
        <w:tc>
          <w:tcPr>
            <w:tcW w:w="0" w:type="dxa"/>
            <w:vAlign w:val="bottom"/>
          </w:tcPr>
          <w:p>
            <w:pPr>
              <w:spacing w:after="0"/>
              <w:rPr>
                <w:sz w:val="1"/>
                <w:szCs w:val="1"/>
                <w:color w:val="auto"/>
              </w:rPr>
            </w:pPr>
          </w:p>
        </w:tc>
      </w:tr>
      <w:tr>
        <w:trPr>
          <w:trHeight w:val="215"/>
        </w:trPr>
        <w:tc>
          <w:tcPr>
            <w:tcW w:w="342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110,936</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24,184</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162"/>
        </w:trPr>
        <w:tc>
          <w:tcPr>
            <w:tcW w:w="3420" w:type="dxa"/>
            <w:vAlign w:val="bottom"/>
          </w:tcPr>
          <w:p>
            <w:pPr>
              <w:ind w:left="220"/>
              <w:spacing w:after="0" w:line="162" w:lineRule="exact"/>
              <w:rPr>
                <w:sz w:val="20"/>
                <w:szCs w:val="20"/>
                <w:color w:val="auto"/>
              </w:rPr>
            </w:pPr>
            <w:r>
              <w:rPr>
                <w:rFonts w:ascii="Arial" w:cs="Arial" w:eastAsia="Arial" w:hAnsi="Arial"/>
                <w:sz w:val="16"/>
                <w:szCs w:val="16"/>
                <w:color w:val="auto"/>
              </w:rPr>
              <w:t>Loss on sale or disposal of assets and</w:t>
            </w:r>
          </w:p>
        </w:tc>
        <w:tc>
          <w:tcPr>
            <w:tcW w:w="160" w:type="dxa"/>
            <w:vAlign w:val="bottom"/>
          </w:tcPr>
          <w:p>
            <w:pPr>
              <w:spacing w:after="0"/>
              <w:rPr>
                <w:sz w:val="14"/>
                <w:szCs w:val="14"/>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Equity in net (income) loss of</w:t>
            </w:r>
          </w:p>
        </w:tc>
        <w:tc>
          <w:tcPr>
            <w:tcW w:w="1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Other expense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54,490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71,996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71,996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(30,612)</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6"/>
                <w:szCs w:val="16"/>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Pawn Loans</w:t>
            </w:r>
          </w:p>
        </w:tc>
        <w:tc>
          <w:tcPr>
            <w:tcW w:w="280" w:type="dxa"/>
            <w:vAlign w:val="bottom"/>
          </w:tcPr>
          <w:p>
            <w:pPr>
              <w:spacing w:after="0"/>
              <w:rPr>
                <w:sz w:val="16"/>
                <w:szCs w:val="16"/>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Inventory</w:t>
            </w:r>
          </w:p>
        </w:tc>
        <w:tc>
          <w:tcPr>
            <w:tcW w:w="24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380" w:type="dxa"/>
            <w:vAlign w:val="bottom"/>
          </w:tcPr>
          <w:p>
            <w:pPr>
              <w:spacing w:after="0"/>
              <w:rPr>
                <w:sz w:val="16"/>
                <w:szCs w:val="16"/>
                <w:color w:val="auto"/>
              </w:rPr>
            </w:pPr>
          </w:p>
        </w:tc>
        <w:tc>
          <w:tcPr>
            <w:tcW w:w="12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Investments</w:t>
            </w: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3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December 31, 2025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U.S. Pawn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239,944</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190,902</w:t>
            </w:r>
          </w:p>
        </w:tc>
        <w:tc>
          <w:tcPr>
            <w:tcW w:w="14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430,846</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Latin America Pawn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136,953</w:t>
            </w:r>
          </w:p>
        </w:tc>
        <w:tc>
          <w:tcPr>
            <w:tcW w:w="0" w:type="dxa"/>
            <w:vAlign w:val="bottom"/>
          </w:tcPr>
          <w:p>
            <w:pPr>
              <w:spacing w:after="0"/>
              <w:rPr>
                <w:sz w:val="1"/>
                <w:szCs w:val="1"/>
                <w:color w:val="auto"/>
              </w:rPr>
            </w:pPr>
          </w:p>
        </w:tc>
      </w:tr>
      <w:tr>
        <w:trPr>
          <w:trHeight w:val="209"/>
        </w:trPr>
        <w:tc>
          <w:tcPr>
            <w:tcW w:w="4120" w:type="dxa"/>
            <w:vAlign w:val="bottom"/>
          </w:tcPr>
          <w:p>
            <w:pPr>
              <w:ind w:left="220"/>
              <w:spacing w:after="0"/>
              <w:rPr>
                <w:sz w:val="20"/>
                <w:szCs w:val="20"/>
                <w:color w:val="auto"/>
              </w:rPr>
            </w:pPr>
            <w:r>
              <w:rPr>
                <w:rFonts w:ascii="Arial" w:cs="Arial" w:eastAsia="Arial" w:hAnsi="Arial"/>
                <w:sz w:val="16"/>
                <w:szCs w:val="16"/>
                <w:color w:val="auto"/>
              </w:rPr>
              <w:t>Total segment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567,799</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 *</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105,084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105,084</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1,314,597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1,987,480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December 31, 2024</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U.S. Pawn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220,208</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148,460</w:t>
            </w:r>
          </w:p>
        </w:tc>
        <w:tc>
          <w:tcPr>
            <w:tcW w:w="14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368,668</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Latin America Pawn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105,637</w:t>
            </w:r>
          </w:p>
        </w:tc>
        <w:tc>
          <w:tcPr>
            <w:tcW w:w="0" w:type="dxa"/>
            <w:vAlign w:val="bottom"/>
          </w:tcPr>
          <w:p>
            <w:pPr>
              <w:spacing w:after="0"/>
              <w:rPr>
                <w:sz w:val="1"/>
                <w:szCs w:val="1"/>
                <w:color w:val="auto"/>
              </w:rPr>
            </w:pPr>
          </w:p>
        </w:tc>
      </w:tr>
      <w:tr>
        <w:trPr>
          <w:trHeight w:val="209"/>
        </w:trPr>
        <w:tc>
          <w:tcPr>
            <w:tcW w:w="4120" w:type="dxa"/>
            <w:vAlign w:val="bottom"/>
          </w:tcPr>
          <w:p>
            <w:pPr>
              <w:ind w:left="220"/>
              <w:spacing w:after="0"/>
              <w:rPr>
                <w:sz w:val="20"/>
                <w:szCs w:val="20"/>
                <w:color w:val="auto"/>
              </w:rPr>
            </w:pPr>
            <w:r>
              <w:rPr>
                <w:rFonts w:ascii="Arial" w:cs="Arial" w:eastAsia="Arial" w:hAnsi="Arial"/>
                <w:sz w:val="16"/>
                <w:szCs w:val="16"/>
                <w:color w:val="auto"/>
              </w:rPr>
              <w:t>Total segment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474,305</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 *</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80,242</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944,586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1,499,133</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as of September 30, 2025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U.S. Pawn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233,774</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185,640</w:t>
            </w:r>
          </w:p>
        </w:tc>
        <w:tc>
          <w:tcPr>
            <w:tcW w:w="14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419,414</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Latin America Pawn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136,539</w:t>
            </w:r>
          </w:p>
        </w:tc>
        <w:tc>
          <w:tcPr>
            <w:tcW w:w="0" w:type="dxa"/>
            <w:vAlign w:val="bottom"/>
          </w:tcPr>
          <w:p>
            <w:pPr>
              <w:spacing w:after="0"/>
              <w:rPr>
                <w:sz w:val="1"/>
                <w:szCs w:val="1"/>
                <w:color w:val="auto"/>
              </w:rPr>
            </w:pPr>
          </w:p>
        </w:tc>
      </w:tr>
      <w:tr>
        <w:trPr>
          <w:trHeight w:val="209"/>
        </w:trPr>
        <w:tc>
          <w:tcPr>
            <w:tcW w:w="4120" w:type="dxa"/>
            <w:vAlign w:val="bottom"/>
          </w:tcPr>
          <w:p>
            <w:pPr>
              <w:ind w:left="220"/>
              <w:spacing w:after="0"/>
              <w:rPr>
                <w:sz w:val="20"/>
                <w:szCs w:val="20"/>
                <w:color w:val="auto"/>
              </w:rPr>
            </w:pPr>
            <w:r>
              <w:rPr>
                <w:rFonts w:ascii="Arial" w:cs="Arial" w:eastAsia="Arial" w:hAnsi="Arial"/>
                <w:sz w:val="16"/>
                <w:szCs w:val="16"/>
                <w:color w:val="auto"/>
              </w:rPr>
              <w:t>Total segment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555,953</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 *</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92,556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92,556</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1,302,700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consolidated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1,951,209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80" w:hanging="172"/>
        <w:spacing w:after="0" w:line="266" w:lineRule="auto"/>
        <w:tabs>
          <w:tab w:leader="none" w:pos="1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CODM does not review Other Investments assets when assessing segment performance and allocating resources. As such, the asset balance for Other Investments is not included within the total segment assets caption. The Other Investments balance includes the investment in Cash Converters, refer to Note 7 for the investment value.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SUPPLEMENTAL CONSOLIDATED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6"/>
        </w:trPr>
        <w:tc>
          <w:tcPr>
            <w:tcW w:w="69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88"/>
        </w:trPr>
        <w:tc>
          <w:tcPr>
            <w:tcW w:w="6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63,348</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(14,615)</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50,108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48,733</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252,049</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reserves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199,481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248,457</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9,429</w:t>
            </w:r>
          </w:p>
        </w:tc>
        <w:tc>
          <w:tcPr>
            <w:tcW w:w="0" w:type="dxa"/>
            <w:vAlign w:val="bottom"/>
          </w:tcPr>
          <w:p>
            <w:pPr>
              <w:spacing w:after="0"/>
              <w:rPr>
                <w:sz w:val="1"/>
                <w:szCs w:val="1"/>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15,106</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24,369</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 prepaid and receivable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51,221</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310,278</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(234,947)</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74,871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75,331</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22,923</w:t>
            </w:r>
          </w:p>
        </w:tc>
        <w:tc>
          <w:tcPr>
            <w:tcW w:w="0" w:type="dxa"/>
            <w:vAlign w:val="bottom"/>
          </w:tcPr>
          <w:p>
            <w:pPr>
              <w:spacing w:after="0"/>
              <w:rPr>
                <w:sz w:val="1"/>
                <w:szCs w:val="1"/>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19,063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accrual</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0" w:type="dxa"/>
            <w:vAlign w:val="bottom"/>
          </w:tcPr>
          <w:p>
            <w:pPr>
              <w:spacing w:after="0"/>
              <w:rPr>
                <w:sz w:val="1"/>
                <w:szCs w:val="1"/>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13,763</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payroll related expenses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Accrued sales and VAT 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4,377</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 payable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w:t>
            </w:r>
          </w:p>
        </w:tc>
        <w:tc>
          <w:tcPr>
            <w:tcW w:w="0" w:type="dxa"/>
            <w:vAlign w:val="bottom"/>
          </w:tcPr>
          <w:p>
            <w:pPr>
              <w:spacing w:after="0"/>
              <w:rPr>
                <w:sz w:val="1"/>
                <w:szCs w:val="1"/>
                <w:color w:val="auto"/>
              </w:rPr>
            </w:pPr>
          </w:p>
        </w:tc>
      </w:tr>
      <w:tr>
        <w:trPr>
          <w:trHeight w:val="21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14,030</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105,443</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condensed consolidated statements of cash flows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88"/>
        </w:trPr>
        <w:tc>
          <w:tcPr>
            <w:tcW w:w="8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8440" w:type="dxa"/>
            <w:vAlign w:val="bottom"/>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469,524</w:t>
            </w:r>
          </w:p>
        </w:tc>
        <w:tc>
          <w:tcPr>
            <w:tcW w:w="14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170,513</w:t>
            </w:r>
          </w:p>
        </w:tc>
      </w:tr>
      <w:tr>
        <w:trPr>
          <w:trHeight w:val="21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restricted cash at beginning of 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9,294</w:t>
            </w:r>
          </w:p>
        </w:tc>
      </w:tr>
      <w:tr>
        <w:trPr>
          <w:trHeight w:val="21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restricted cash at end of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14,664</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beginning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484,713</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179,807</w:t>
            </w: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465,911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174,506</w:t>
            </w:r>
          </w:p>
        </w:tc>
      </w:tr>
      <w:tr>
        <w:trPr>
          <w:trHeight w:val="215"/>
        </w:trPr>
        <w:tc>
          <w:tcPr>
            <w:tcW w:w="8440" w:type="dxa"/>
            <w:vAlign w:val="bottom"/>
          </w:tcPr>
          <w:p>
            <w:pPr>
              <w:ind w:left="140"/>
              <w:spacing w:after="0"/>
              <w:rPr>
                <w:sz w:val="20"/>
                <w:szCs w:val="20"/>
                <w:color w:val="auto"/>
              </w:rPr>
            </w:pPr>
            <w:r>
              <w:rPr>
                <w:rFonts w:ascii="Arial" w:cs="Arial" w:eastAsia="Arial" w:hAnsi="Arial"/>
                <w:sz w:val="16"/>
                <w:szCs w:val="16"/>
                <w:color w:val="auto"/>
              </w:rPr>
              <w:t>Short-term restricted cash at end of period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5,351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9,386</w:t>
            </w:r>
          </w:p>
        </w:tc>
      </w:tr>
      <w:tr>
        <w:trPr>
          <w:trHeight w:val="216"/>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restricted cash at end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14,859</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cash and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486,121</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183,892</w:t>
            </w:r>
          </w:p>
        </w:tc>
      </w:tr>
      <w:tr>
        <w:trPr>
          <w:trHeight w:val="203"/>
        </w:trPr>
        <w:tc>
          <w:tcPr>
            <w:tcW w:w="8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116,540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109,219</w:t>
            </w: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Accrued acquisition consideration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727</w:t>
            </w:r>
          </w:p>
        </w:tc>
        <w:tc>
          <w:tcPr>
            <w:tcW w:w="14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SUBSEQUENT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Acquisition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2, 2026, we acquired a controlling interest in Founders One, LLC (“Founders”) by exchanging our existing $45.0 million preferred equity investment and $ 10.0 million of demand promissory notes into common equity in Founders, and contributed an additional $9.4 million in cash. As a result, we now hold approximately 87.7% of Founders’ outstanding common equity and expect to consolidate Founders in our financial statements beginning January 2, 2026.</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Founders, through its subsidiary, Simple Management Group, Inc. (“SMG”), operates 105 pawn stores in the U.S. and 11 additional countries. The stores, which operate predominantly under the names “La Familia Pawn and Jewelry” and “CashWiz,” offer traditional pawn loans, buy/sell transactions, and, in Puerto Rico, auto pawn and auto title loans. Founders controls SMG with an 85.1% ownership interest.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preliminary purchase price allocation for this transaction has not yet been completed and is based on preliminary estimates that are subject to change as additional information becomes available. The total consideration transferred is estimated to be approximately $64.4 million, subject to final valuation. Final amounts, including tangible assets, identifiable intangible assets, and goodwill, will be disclosed in accordance with ASC 805 in future filings.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acquisition was funded through a combination of the conversion of existing investments and cash on hand. In connection with the acquisition, we entered into a three-year, senior secured debt facility with SMG to provide $156.4 million in funding at 13% per annum, replacing SMG’s third-party debt facility and debt owed to its shareholders and us. This intercompany debt will be eliminated upon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El Bufalo Pawn Acquisition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12, 2026, we closed the acquisition of 12 pawn stores in Texas operating under the name “El Bufalo Pawn” for approximately $27.5 million. The acquisition was funded by cash on hand. The preliminary purchase price allocation for this transaction has not yet been completed and is based on preliminary estimates that are subject to change as additional information becomes available. Final amounts, including tangible assets, identifiable intangible assets, and goodwill, will be disclosed in accordance with ASC 805 in future filings.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61"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w:t>
      </w:r>
      <w:hyperlink r:id="rId21">
        <w:r>
          <w:rPr>
            <w:rFonts w:ascii="Arial" w:cs="Arial" w:eastAsia="Arial" w:hAnsi="Arial"/>
            <w:sz w:val="18"/>
            <w:szCs w:val="18"/>
            <w:color w:val="auto"/>
          </w:rPr>
          <w:t xml:space="preserve">“Part I, Item 1A — Risk Factors” </w:t>
        </w:r>
      </w:hyperlink>
      <w:r>
        <w:rPr>
          <w:rFonts w:ascii="Arial" w:cs="Arial" w:eastAsia="Arial" w:hAnsi="Arial"/>
          <w:sz w:val="18"/>
          <w:szCs w:val="18"/>
          <w:color w:val="auto"/>
        </w:rPr>
        <w:t>of our Annual Report on Form 10-K for the year ended September 30, 2025,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Developments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11, 2025, the Board of Directors (“Board”) approved a new share repurchase program which replaced the previous program that expired on May 3, 2025. See Note 9 of Notes to Condensed Consolidated Financial Statements included in “Part I, Item 1 — Financial Statements.” Under the new program, we are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Founders One, LLC</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 2026, we acquired a controlling interest in Founders One, LLC (“Founders”), which through its subsidiary, Simple Management Group, Inc. (“SMG”), operates 105 pawn stores in the U.S. and 11 additional countries. This transaction expands our geographic footprint in attractive markets, including Florida and Puerto Rico, strengthens our partnership with a proven management team, and provides a platform for domestic and international growth. The total consideration transferred is estimated to be approximately $64.4 million, consisting of the conversion of our existing $45.0 million preferred equity investment, $ 10.0 million of Demand Promissory Notes, and an additional $9.4 million in cash. The acquisition was funded through a combination of the conversion of existing investments and cash on hand. Following the transaction, we own approximately 87.7% of Founders, which controls SMG with an 85.1% ownership interest, and we expect to consolidate Founder’s financial results going forward. We expect this acquisition to be immediately accretive to earnings and to meaningfully contribute to our financial results. In connection with the acquisition, we entered into a three-year, senior secured debt facility to provide SMG $156.4 million in funding at 13% per annum, replacing SMG’s third-party debt. This intercompany debt will be eliminated upon consolidation.</w:t>
      </w: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732020" cy="1139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80" w:type="dxa"/>
            <w:vAlign w:val="bottom"/>
            <w:vMerge w:val="restart"/>
            <w:shd w:val="clear" w:color="auto" w:fill="026DCE"/>
          </w:tcPr>
          <w:p>
            <w:pPr>
              <w:ind w:left="40"/>
              <w:spacing w:after="0"/>
              <w:rPr>
                <w:sz w:val="20"/>
                <w:szCs w:val="20"/>
                <w:color w:val="auto"/>
              </w:rPr>
            </w:pPr>
            <w:r>
              <w:rPr>
                <w:rFonts w:ascii="Arial" w:cs="Arial" w:eastAsia="Arial" w:hAnsi="Arial"/>
                <w:sz w:val="18"/>
                <w:szCs w:val="18"/>
                <w:b w:val="1"/>
                <w:bCs w:val="1"/>
                <w:color w:val="FFFFFF"/>
              </w:rPr>
              <w:t>Strengthen the Core</w:t>
            </w:r>
          </w:p>
        </w:tc>
        <w:tc>
          <w:tcPr>
            <w:tcW w:w="536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61"/>
        </w:trPr>
        <w:tc>
          <w:tcPr>
            <w:tcW w:w="2080" w:type="dxa"/>
            <w:vAlign w:val="bottom"/>
            <w:vMerge w:val="continue"/>
            <w:shd w:val="clear" w:color="auto" w:fill="026DCE"/>
          </w:tcPr>
          <w:p>
            <w:pPr>
              <w:spacing w:after="0"/>
              <w:rPr>
                <w:sz w:val="13"/>
                <w:szCs w:val="13"/>
                <w:color w:val="auto"/>
              </w:rPr>
            </w:pPr>
          </w:p>
        </w:tc>
        <w:tc>
          <w:tcPr>
            <w:tcW w:w="5360" w:type="dxa"/>
            <w:vAlign w:val="bottom"/>
            <w:vMerge w:val="restart"/>
            <w:shd w:val="clear" w:color="auto" w:fill="80C9FF"/>
          </w:tcPr>
          <w:p>
            <w:pPr>
              <w:ind w:left="40"/>
              <w:spacing w:after="0"/>
              <w:rPr>
                <w:sz w:val="20"/>
                <w:szCs w:val="20"/>
                <w:color w:val="auto"/>
              </w:rPr>
            </w:pPr>
            <w:r>
              <w:rPr>
                <w:rFonts w:ascii="Arial" w:cs="Arial" w:eastAsia="Arial" w:hAnsi="Arial"/>
                <w:sz w:val="18"/>
                <w:szCs w:val="18"/>
                <w:b w:val="1"/>
                <w:bCs w:val="1"/>
                <w:color w:val="FFFFFF"/>
              </w:rPr>
              <w:t>excellence in our pawn business</w:t>
            </w:r>
          </w:p>
        </w:tc>
        <w:tc>
          <w:tcPr>
            <w:tcW w:w="0" w:type="dxa"/>
            <w:vAlign w:val="bottom"/>
          </w:tcPr>
          <w:p>
            <w:pPr>
              <w:spacing w:after="0"/>
              <w:rPr>
                <w:sz w:val="1"/>
                <w:szCs w:val="1"/>
                <w:color w:val="auto"/>
              </w:rPr>
            </w:pPr>
          </w:p>
        </w:tc>
      </w:tr>
      <w:tr>
        <w:trPr>
          <w:trHeight w:val="86"/>
        </w:trPr>
        <w:tc>
          <w:tcPr>
            <w:tcW w:w="2080" w:type="dxa"/>
            <w:vAlign w:val="bottom"/>
            <w:shd w:val="clear" w:color="auto" w:fill="026DCE"/>
          </w:tcPr>
          <w:p>
            <w:pPr>
              <w:spacing w:after="0"/>
              <w:rPr>
                <w:sz w:val="7"/>
                <w:szCs w:val="7"/>
                <w:color w:val="auto"/>
              </w:rPr>
            </w:pPr>
          </w:p>
        </w:tc>
        <w:tc>
          <w:tcPr>
            <w:tcW w:w="536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347"/>
        </w:trPr>
        <w:tc>
          <w:tcPr>
            <w:tcW w:w="20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Cost Efficiency and</w:t>
            </w:r>
          </w:p>
        </w:tc>
        <w:tc>
          <w:tcPr>
            <w:tcW w:w="536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47"/>
        </w:trPr>
        <w:tc>
          <w:tcPr>
            <w:tcW w:w="20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Simplification</w:t>
            </w:r>
          </w:p>
        </w:tc>
        <w:tc>
          <w:tcPr>
            <w:tcW w:w="536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47"/>
        </w:trPr>
        <w:tc>
          <w:tcPr>
            <w:tcW w:w="2080" w:type="dxa"/>
            <w:vAlign w:val="bottom"/>
            <w:vMerge w:val="restart"/>
            <w:shd w:val="clear" w:color="auto" w:fill="026DCE"/>
          </w:tcPr>
          <w:p>
            <w:pPr>
              <w:ind w:left="40"/>
              <w:spacing w:after="0"/>
              <w:rPr>
                <w:sz w:val="20"/>
                <w:szCs w:val="20"/>
                <w:color w:val="auto"/>
              </w:rPr>
            </w:pPr>
            <w:r>
              <w:rPr>
                <w:rFonts w:ascii="Arial" w:cs="Arial" w:eastAsia="Arial" w:hAnsi="Arial"/>
                <w:sz w:val="18"/>
                <w:szCs w:val="18"/>
                <w:b w:val="1"/>
                <w:bCs w:val="1"/>
                <w:color w:val="FFFFFF"/>
              </w:rPr>
              <w:t>Innovate and Grow</w:t>
            </w:r>
          </w:p>
        </w:tc>
        <w:tc>
          <w:tcPr>
            <w:tcW w:w="536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61"/>
        </w:trPr>
        <w:tc>
          <w:tcPr>
            <w:tcW w:w="2080" w:type="dxa"/>
            <w:vAlign w:val="bottom"/>
            <w:vMerge w:val="continue"/>
            <w:shd w:val="clear" w:color="auto" w:fill="026DCE"/>
          </w:tcPr>
          <w:p>
            <w:pPr>
              <w:spacing w:after="0"/>
              <w:rPr>
                <w:sz w:val="13"/>
                <w:szCs w:val="13"/>
                <w:color w:val="auto"/>
              </w:rPr>
            </w:pPr>
          </w:p>
        </w:tc>
        <w:tc>
          <w:tcPr>
            <w:tcW w:w="5360" w:type="dxa"/>
            <w:vAlign w:val="bottom"/>
            <w:vMerge w:val="restart"/>
            <w:shd w:val="clear" w:color="auto" w:fill="80C9FF"/>
          </w:tcPr>
          <w:p>
            <w:pPr>
              <w:ind w:left="4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86"/>
        </w:trPr>
        <w:tc>
          <w:tcPr>
            <w:tcW w:w="2080" w:type="dxa"/>
            <w:vAlign w:val="bottom"/>
            <w:shd w:val="clear" w:color="auto" w:fill="026DCE"/>
          </w:tcPr>
          <w:p>
            <w:pPr>
              <w:spacing w:after="0"/>
              <w:rPr>
                <w:sz w:val="7"/>
                <w:szCs w:val="7"/>
                <w:color w:val="auto"/>
              </w:rPr>
            </w:pPr>
          </w:p>
        </w:tc>
        <w:tc>
          <w:tcPr>
            <w:tcW w:w="536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80" w:type="dxa"/>
            <w:vAlign w:val="bottom"/>
            <w:shd w:val="clear" w:color="auto" w:fill="026DCE"/>
          </w:tcPr>
          <w:p>
            <w:pPr>
              <w:spacing w:after="0"/>
              <w:rPr>
                <w:sz w:val="6"/>
                <w:szCs w:val="6"/>
                <w:color w:val="auto"/>
              </w:rPr>
            </w:pPr>
          </w:p>
        </w:tc>
        <w:tc>
          <w:tcPr>
            <w:tcW w:w="5360" w:type="dxa"/>
            <w:vAlign w:val="bottom"/>
            <w:shd w:val="clear" w:color="auto" w:fill="80C9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repay the amount advanced plus any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offer quality pre-owned goods for sale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Because a significant portion of our inventory and sales involve gold and jewelry, our results can be influenced by the market price of gold and diamonds.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U.S., PSC historically is highest in our fourth fiscal quarter (July through September) due to a higher average PLO balance during the summer and is lowest in our third fiscal quarter (April through June) following the tax refund season. Merchandise sales historically are highest in the U.S. in our first and second fiscal quarters (October through March) due to the holiday season, Valentine’s Day jewelry sales and our customers’ receipt of tax refunds. In Latin America, most of our customers receive additional compensation from their employers in December, and many receive additional compensation in June or July, applying downward pressure on PLO balances and fueling merchandise sales in those periods. As a net effect of these and other factors and excluding discrete charges, our consolidated income before tax is generally highest in our first fiscal quarter (October through December) and lowest in our third fiscal quarter (April through June).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 gross profit (“Jewelry Scrap GP”) for the three months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308610</wp:posOffset>
            </wp:positionV>
            <wp:extent cx="5743575" cy="278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4357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sources of gross profit by geographic disbursement for the three months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86360</wp:posOffset>
            </wp:positionV>
            <wp:extent cx="5743575" cy="278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Same-Store Financial Information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reflects an additional way of viewing aspects of our business that, when viewed with GAAP results, provides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months ended December 31, 2025 and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9"/>
              </w:rPr>
              <w:t>December 31,</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2024</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88"/>
        </w:trPr>
        <w:tc>
          <w:tcPr>
            <w:tcW w:w="5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5"/>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Guatemalan quetzal</w:t>
            </w:r>
          </w:p>
        </w:tc>
        <w:tc>
          <w:tcPr>
            <w:tcW w:w="46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5"/>
        </w:trPr>
        <w:tc>
          <w:tcPr>
            <w:tcW w:w="6420" w:type="dxa"/>
            <w:vAlign w:val="bottom"/>
            <w:gridSpan w:val="2"/>
          </w:tcPr>
          <w:p>
            <w:pPr>
              <w:ind w:left="20"/>
              <w:spacing w:after="0"/>
              <w:rPr>
                <w:sz w:val="20"/>
                <w:szCs w:val="20"/>
                <w:color w:val="auto"/>
              </w:rPr>
            </w:pPr>
            <w:r>
              <w:rPr>
                <w:rFonts w:ascii="Arial" w:cs="Arial" w:eastAsia="Arial" w:hAnsi="Arial"/>
                <w:sz w:val="16"/>
                <w:szCs w:val="16"/>
                <w:color w:val="auto"/>
              </w:rPr>
              <w:t>Australian dollar</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Cash Converters and our investment in and notes receivable from Founders.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108"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auto"/>
        </w:rPr>
        <w:t>Three Months Ended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20" w:type="dxa"/>
            <w:vAlign w:val="bottom"/>
          </w:tcPr>
          <w:p>
            <w:pPr>
              <w:spacing w:after="0"/>
              <w:rPr>
                <w:sz w:val="18"/>
                <w:szCs w:val="18"/>
                <w:color w:val="auto"/>
              </w:rPr>
            </w:pPr>
          </w:p>
        </w:tc>
        <w:tc>
          <w:tcPr>
            <w:tcW w:w="1260" w:type="dxa"/>
            <w:vAlign w:val="bottom"/>
            <w:tcBorders>
              <w:top w:val="single" w:sz="8" w:color="auto"/>
            </w:tcBorders>
          </w:tcPr>
          <w:p>
            <w:pPr>
              <w:ind w:left="440"/>
              <w:spacing w:after="0"/>
              <w:rPr>
                <w:sz w:val="20"/>
                <w:szCs w:val="20"/>
                <w:color w:val="auto"/>
              </w:rPr>
            </w:pPr>
            <w:r>
              <w:rPr>
                <w:rFonts w:ascii="Arial" w:cs="Arial" w:eastAsia="Arial" w:hAnsi="Arial"/>
                <w:sz w:val="16"/>
                <w:szCs w:val="16"/>
                <w:b w:val="1"/>
                <w:bCs w:val="1"/>
                <w:color w:val="auto"/>
              </w:rPr>
              <w:t>U.S. Pawn</w:t>
            </w: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Latin America Pawn</w:t>
            </w:r>
          </w:p>
        </w:tc>
        <w:tc>
          <w:tcPr>
            <w:tcW w:w="16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88"/>
        </w:trPr>
        <w:tc>
          <w:tcPr>
            <w:tcW w:w="602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September 30, 2025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r>
      <w:tr>
        <w:trPr>
          <w:trHeight w:val="215"/>
        </w:trPr>
        <w:tc>
          <w:tcPr>
            <w:tcW w:w="7280" w:type="dxa"/>
            <w:vAlign w:val="bottom"/>
            <w:gridSpan w:val="2"/>
          </w:tcPr>
          <w:p>
            <w:pPr>
              <w:ind w:left="220"/>
              <w:spacing w:after="0"/>
              <w:rPr>
                <w:sz w:val="20"/>
                <w:szCs w:val="20"/>
                <w:color w:val="auto"/>
              </w:rPr>
            </w:pPr>
            <w:r>
              <w:rPr>
                <w:rFonts w:ascii="Arial" w:cs="Arial" w:eastAsia="Arial" w:hAnsi="Arial"/>
                <w:sz w:val="16"/>
                <w:szCs w:val="16"/>
                <w:color w:val="auto"/>
              </w:rPr>
              <w:t>New locations opened</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280" w:type="dxa"/>
            <w:vAlign w:val="bottom"/>
            <w:gridSpan w:val="2"/>
          </w:tcPr>
          <w:p>
            <w:pPr>
              <w:ind w:left="220"/>
              <w:spacing w:after="0"/>
              <w:rPr>
                <w:sz w:val="20"/>
                <w:szCs w:val="20"/>
                <w:color w:val="auto"/>
              </w:rPr>
            </w:pPr>
            <w:r>
              <w:rPr>
                <w:rFonts w:ascii="Arial" w:cs="Arial" w:eastAsia="Arial" w:hAnsi="Arial"/>
                <w:sz w:val="16"/>
                <w:szCs w:val="16"/>
                <w:color w:val="auto"/>
              </w:rPr>
              <w:t>Locations combined or closed</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2025</w:t>
            </w:r>
          </w:p>
        </w:tc>
        <w:tc>
          <w:tcPr>
            <w:tcW w:w="1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r>
      <w:tr>
        <w:trPr>
          <w:trHeight w:val="594"/>
        </w:trPr>
        <w:tc>
          <w:tcPr>
            <w:tcW w:w="6020" w:type="dxa"/>
            <w:vAlign w:val="bottom"/>
          </w:tcPr>
          <w:p>
            <w:pPr>
              <w:spacing w:after="0"/>
              <w:rPr>
                <w:sz w:val="24"/>
                <w:szCs w:val="24"/>
                <w:color w:val="auto"/>
              </w:rPr>
            </w:pPr>
          </w:p>
        </w:tc>
        <w:tc>
          <w:tcPr>
            <w:tcW w:w="52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 December 31, 2024</w:t>
            </w:r>
          </w:p>
        </w:tc>
      </w:tr>
      <w:tr>
        <w:trPr>
          <w:trHeight w:val="210"/>
        </w:trPr>
        <w:tc>
          <w:tcPr>
            <w:tcW w:w="6020" w:type="dxa"/>
            <w:vAlign w:val="bottom"/>
          </w:tcPr>
          <w:p>
            <w:pPr>
              <w:spacing w:after="0"/>
              <w:rPr>
                <w:sz w:val="18"/>
                <w:szCs w:val="18"/>
                <w:color w:val="auto"/>
              </w:rPr>
            </w:pPr>
          </w:p>
        </w:tc>
        <w:tc>
          <w:tcPr>
            <w:tcW w:w="1260" w:type="dxa"/>
            <w:vAlign w:val="bottom"/>
          </w:tcPr>
          <w:p>
            <w:pPr>
              <w:ind w:left="440"/>
              <w:spacing w:after="0"/>
              <w:rPr>
                <w:sz w:val="20"/>
                <w:szCs w:val="20"/>
                <w:color w:val="auto"/>
              </w:rPr>
            </w:pPr>
            <w:r>
              <w:rPr>
                <w:rFonts w:ascii="Arial" w:cs="Arial" w:eastAsia="Arial" w:hAnsi="Arial"/>
                <w:sz w:val="16"/>
                <w:szCs w:val="16"/>
                <w:b w:val="1"/>
                <w:bCs w:val="1"/>
                <w:color w:val="auto"/>
              </w:rPr>
              <w:t>U.S. Pawn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Latin America Pawn</w:t>
            </w: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88"/>
        </w:trPr>
        <w:tc>
          <w:tcPr>
            <w:tcW w:w="602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September 30, 2024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r>
      <w:tr>
        <w:trPr>
          <w:trHeight w:val="215"/>
        </w:trPr>
        <w:tc>
          <w:tcPr>
            <w:tcW w:w="7280" w:type="dxa"/>
            <w:vAlign w:val="bottom"/>
            <w:gridSpan w:val="2"/>
          </w:tcPr>
          <w:p>
            <w:pPr>
              <w:ind w:left="220"/>
              <w:spacing w:after="0"/>
              <w:rPr>
                <w:sz w:val="20"/>
                <w:szCs w:val="20"/>
                <w:color w:val="auto"/>
              </w:rPr>
            </w:pPr>
            <w:r>
              <w:rPr>
                <w:rFonts w:ascii="Arial" w:cs="Arial" w:eastAsia="Arial" w:hAnsi="Arial"/>
                <w:sz w:val="16"/>
                <w:szCs w:val="16"/>
                <w:color w:val="auto"/>
              </w:rPr>
              <w:t>New locations opened</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2024</w:t>
            </w:r>
          </w:p>
        </w:tc>
        <w:tc>
          <w:tcPr>
            <w:tcW w:w="1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2025 vs. Three Months Ended December 31, 2024</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ectPr>
          <w:pgSz w:w="11900" w:h="16838" w:orient="portrait"/>
          <w:cols w:equalWidth="0" w:num="1">
            <w:col w:w="11240"/>
          </w:cols>
          <w:pgMar w:left="320" w:top="130" w:right="3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5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302"/>
        </w:trPr>
        <w:tc>
          <w:tcPr>
            <w:tcW w:w="5840" w:type="dxa"/>
            <w:vAlign w:val="bottom"/>
          </w:tcPr>
          <w:p>
            <w:pPr>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4"/>
        </w:trPr>
        <w:tc>
          <w:tcPr>
            <w:tcW w:w="5840" w:type="dxa"/>
            <w:vAlign w:val="bottom"/>
          </w:tcPr>
          <w:p>
            <w:pPr>
              <w:ind w:left="200"/>
              <w:spacing w:after="0"/>
              <w:rPr>
                <w:sz w:val="20"/>
                <w:szCs w:val="20"/>
                <w:color w:val="auto"/>
              </w:rPr>
            </w:pPr>
            <w:r>
              <w:rPr>
                <w:rFonts w:ascii="Arial" w:cs="Arial" w:eastAsia="Arial" w:hAnsi="Arial"/>
                <w:sz w:val="16"/>
                <w:szCs w:val="16"/>
                <w:b w:val="1"/>
                <w:bCs w:val="1"/>
                <w:color w:val="auto"/>
              </w:rPr>
              <w:t>Pawn service charges</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95,174</w:t>
            </w:r>
          </w:p>
        </w:tc>
        <w:tc>
          <w:tcPr>
            <w:tcW w:w="140" w:type="dxa"/>
            <w:vAlign w:val="bottom"/>
          </w:tcPr>
          <w:p>
            <w:pPr>
              <w:spacing w:after="0"/>
              <w:rPr>
                <w:sz w:val="19"/>
                <w:szCs w:val="19"/>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87,876</w:t>
            </w:r>
          </w:p>
        </w:tc>
      </w:tr>
      <w:tr>
        <w:trPr>
          <w:trHeight w:val="424"/>
        </w:trPr>
        <w:tc>
          <w:tcPr>
            <w:tcW w:w="5840" w:type="dxa"/>
            <w:vAlign w:val="bottom"/>
          </w:tcPr>
          <w:p>
            <w:pPr>
              <w:ind w:left="200"/>
              <w:spacing w:after="0"/>
              <w:rPr>
                <w:sz w:val="20"/>
                <w:szCs w:val="20"/>
                <w:color w:val="auto"/>
              </w:rPr>
            </w:pPr>
            <w:r>
              <w:rPr>
                <w:rFonts w:ascii="Arial" w:cs="Arial" w:eastAsia="Arial" w:hAnsi="Arial"/>
                <w:sz w:val="16"/>
                <w:szCs w:val="16"/>
                <w:color w:val="auto"/>
              </w:rPr>
              <w:t>Merchandise sales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139,042</w:t>
            </w: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128,800</w:t>
            </w:r>
          </w:p>
        </w:tc>
      </w:tr>
      <w:tr>
        <w:trPr>
          <w:trHeight w:val="211"/>
        </w:trPr>
        <w:tc>
          <w:tcPr>
            <w:tcW w:w="5840" w:type="dxa"/>
            <w:vAlign w:val="bottom"/>
          </w:tcPr>
          <w:p>
            <w:pPr>
              <w:ind w:left="200"/>
              <w:spacing w:after="0"/>
              <w:rPr>
                <w:sz w:val="20"/>
                <w:szCs w:val="20"/>
                <w:color w:val="auto"/>
              </w:rPr>
            </w:pPr>
            <w:r>
              <w:rPr>
                <w:rFonts w:ascii="Arial" w:cs="Arial" w:eastAsia="Arial" w:hAnsi="Arial"/>
                <w:sz w:val="16"/>
                <w:szCs w:val="16"/>
                <w:b w:val="1"/>
                <w:bCs w:val="1"/>
                <w:color w:val="auto"/>
              </w:rPr>
              <w:t>Merchandise sales gross profit</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53,355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47,244</w:t>
            </w:r>
          </w:p>
        </w:tc>
      </w:tr>
      <w:tr>
        <w:trPr>
          <w:trHeight w:val="215"/>
        </w:trPr>
        <w:tc>
          <w:tcPr>
            <w:tcW w:w="5840" w:type="dxa"/>
            <w:vAlign w:val="bottom"/>
          </w:tcPr>
          <w:p>
            <w:pPr>
              <w:ind w:left="440"/>
              <w:spacing w:after="0"/>
              <w:rPr>
                <w:sz w:val="20"/>
                <w:szCs w:val="20"/>
                <w:color w:val="auto"/>
              </w:rPr>
            </w:pPr>
            <w:r>
              <w:rPr>
                <w:rFonts w:ascii="Arial" w:cs="Arial" w:eastAsia="Arial" w:hAnsi="Arial"/>
                <w:sz w:val="16"/>
                <w:szCs w:val="16"/>
                <w:color w:val="auto"/>
              </w:rPr>
              <w:t>Gross margin on merchandise sales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38.4 %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36.7 %</w:t>
            </w:r>
          </w:p>
        </w:tc>
      </w:tr>
      <w:tr>
        <w:trPr>
          <w:trHeight w:val="432"/>
        </w:trPr>
        <w:tc>
          <w:tcPr>
            <w:tcW w:w="5840" w:type="dxa"/>
            <w:vAlign w:val="bottom"/>
          </w:tcPr>
          <w:p>
            <w:pPr>
              <w:ind w:left="200"/>
              <w:spacing w:after="0"/>
              <w:rPr>
                <w:sz w:val="20"/>
                <w:szCs w:val="20"/>
                <w:color w:val="auto"/>
              </w:rPr>
            </w:pPr>
            <w:r>
              <w:rPr>
                <w:rFonts w:ascii="Arial" w:cs="Arial" w:eastAsia="Arial" w:hAnsi="Arial"/>
                <w:sz w:val="16"/>
                <w:szCs w:val="16"/>
                <w:color w:val="auto"/>
              </w:rPr>
              <w:t>Jewelry scrap sales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35,514</w:t>
            </w: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15,498</w:t>
            </w:r>
          </w:p>
        </w:tc>
      </w:tr>
      <w:tr>
        <w:trPr>
          <w:trHeight w:val="211"/>
        </w:trPr>
        <w:tc>
          <w:tcPr>
            <w:tcW w:w="5840" w:type="dxa"/>
            <w:vAlign w:val="bottom"/>
          </w:tcPr>
          <w:p>
            <w:pPr>
              <w:ind w:left="200"/>
              <w:spacing w:after="0"/>
              <w:rPr>
                <w:sz w:val="20"/>
                <w:szCs w:val="20"/>
                <w:color w:val="auto"/>
              </w:rPr>
            </w:pPr>
            <w:r>
              <w:rPr>
                <w:rFonts w:ascii="Arial" w:cs="Arial" w:eastAsia="Arial" w:hAnsi="Arial"/>
                <w:sz w:val="16"/>
                <w:szCs w:val="16"/>
                <w:b w:val="1"/>
                <w:bCs w:val="1"/>
                <w:color w:val="auto"/>
              </w:rPr>
              <w:t>Jewelry scrap sales gross profit</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12,150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3,530</w:t>
            </w:r>
          </w:p>
        </w:tc>
      </w:tr>
      <w:tr>
        <w:trPr>
          <w:trHeight w:val="215"/>
        </w:trPr>
        <w:tc>
          <w:tcPr>
            <w:tcW w:w="5840" w:type="dxa"/>
            <w:vAlign w:val="bottom"/>
          </w:tcPr>
          <w:p>
            <w:pPr>
              <w:ind w:left="440"/>
              <w:spacing w:after="0"/>
              <w:rPr>
                <w:sz w:val="20"/>
                <w:szCs w:val="20"/>
                <w:color w:val="auto"/>
              </w:rPr>
            </w:pPr>
            <w:r>
              <w:rPr>
                <w:rFonts w:ascii="Arial" w:cs="Arial" w:eastAsia="Arial" w:hAnsi="Arial"/>
                <w:sz w:val="16"/>
                <w:szCs w:val="16"/>
                <w:color w:val="auto"/>
              </w:rPr>
              <w:t>Gross margin on jewelry scrap sales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22.8 %</w:t>
            </w:r>
          </w:p>
        </w:tc>
      </w:tr>
      <w:tr>
        <w:trPr>
          <w:trHeight w:val="432"/>
        </w:trPr>
        <w:tc>
          <w:tcPr>
            <w:tcW w:w="584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18"/>
        </w:trPr>
        <w:tc>
          <w:tcPr>
            <w:tcW w:w="5840" w:type="dxa"/>
            <w:vAlign w:val="bottom"/>
          </w:tcPr>
          <w:p>
            <w:pPr>
              <w:ind w:left="42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160,709</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138,677</w:t>
            </w:r>
          </w:p>
        </w:tc>
      </w:tr>
      <w:tr>
        <w:trPr>
          <w:trHeight w:val="423"/>
        </w:trPr>
        <w:tc>
          <w:tcPr>
            <w:tcW w:w="5840" w:type="dxa"/>
            <w:vAlign w:val="bottom"/>
          </w:tcPr>
          <w:p>
            <w:pPr>
              <w:spacing w:after="0"/>
              <w:rPr>
                <w:sz w:val="20"/>
                <w:szCs w:val="20"/>
                <w:color w:val="auto"/>
              </w:rPr>
            </w:pPr>
            <w:r>
              <w:rPr>
                <w:rFonts w:ascii="Arial" w:cs="Arial" w:eastAsia="Arial" w:hAnsi="Arial"/>
                <w:sz w:val="16"/>
                <w:szCs w:val="16"/>
                <w:color w:val="auto"/>
              </w:rPr>
              <w:t>Segment operating expenses: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6"/>
                <w:szCs w:val="16"/>
                <w:color w:val="auto"/>
              </w:rPr>
              <w:t>Store expenses</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87,166</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81,481</w:t>
            </w:r>
          </w:p>
        </w:tc>
      </w:tr>
      <w:tr>
        <w:trPr>
          <w:trHeight w:val="216"/>
        </w:trPr>
        <w:tc>
          <w:tcPr>
            <w:tcW w:w="58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2,723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2,717</w:t>
            </w:r>
          </w:p>
        </w:tc>
      </w:tr>
      <w:tr>
        <w:trPr>
          <w:trHeight w:val="216"/>
        </w:trPr>
        <w:tc>
          <w:tcPr>
            <w:tcW w:w="5840" w:type="dxa"/>
            <w:vAlign w:val="bottom"/>
          </w:tcPr>
          <w:p>
            <w:pPr>
              <w:ind w:left="200"/>
              <w:spacing w:after="0"/>
              <w:rPr>
                <w:sz w:val="20"/>
                <w:szCs w:val="20"/>
                <w:color w:val="auto"/>
              </w:rPr>
            </w:pPr>
            <w:r>
              <w:rPr>
                <w:rFonts w:ascii="Arial" w:cs="Arial" w:eastAsia="Arial" w:hAnsi="Arial"/>
                <w:sz w:val="16"/>
                <w:szCs w:val="16"/>
                <w:color w:val="auto"/>
              </w:rPr>
              <w:t>Loss on sale or disposal of assets and other</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8"/>
        </w:trPr>
        <w:tc>
          <w:tcPr>
            <w:tcW w:w="5840" w:type="dxa"/>
            <w:vAlign w:val="bottom"/>
          </w:tcPr>
          <w:p>
            <w:pPr>
              <w:ind w:left="440"/>
              <w:spacing w:after="0"/>
              <w:rPr>
                <w:sz w:val="20"/>
                <w:szCs w:val="20"/>
                <w:color w:val="auto"/>
              </w:rPr>
            </w:pPr>
            <w:r>
              <w:rPr>
                <w:rFonts w:ascii="Arial" w:cs="Arial" w:eastAsia="Arial" w:hAnsi="Arial"/>
                <w:sz w:val="16"/>
                <w:szCs w:val="16"/>
                <w:b w:val="1"/>
                <w:bCs w:val="1"/>
                <w:color w:val="auto"/>
              </w:rPr>
              <w:t>Segment operating contribution</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70,733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54,479</w:t>
            </w:r>
          </w:p>
        </w:tc>
      </w:tr>
      <w:tr>
        <w:trPr>
          <w:trHeight w:val="423"/>
        </w:trPr>
        <w:tc>
          <w:tcPr>
            <w:tcW w:w="5840" w:type="dxa"/>
            <w:vAlign w:val="bottom"/>
          </w:tcPr>
          <w:p>
            <w:pPr>
              <w:ind w:left="200"/>
              <w:spacing w:after="0"/>
              <w:rPr>
                <w:sz w:val="20"/>
                <w:szCs w:val="20"/>
                <w:color w:val="auto"/>
              </w:rPr>
            </w:pPr>
            <w:r>
              <w:rPr>
                <w:rFonts w:ascii="Arial" w:cs="Arial" w:eastAsia="Arial" w:hAnsi="Arial"/>
                <w:sz w:val="16"/>
                <w:szCs w:val="16"/>
                <w:color w:val="auto"/>
              </w:rPr>
              <w:t>Other segment income</w:t>
            </w:r>
          </w:p>
        </w:tc>
        <w:tc>
          <w:tcPr>
            <w:tcW w:w="40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218"/>
        </w:trPr>
        <w:tc>
          <w:tcPr>
            <w:tcW w:w="5840" w:type="dxa"/>
            <w:vAlign w:val="bottom"/>
          </w:tcPr>
          <w:p>
            <w:pPr>
              <w:ind w:left="440"/>
              <w:spacing w:after="0"/>
              <w:rPr>
                <w:sz w:val="20"/>
                <w:szCs w:val="20"/>
                <w:color w:val="auto"/>
              </w:rPr>
            </w:pPr>
            <w:r>
              <w:rPr>
                <w:rFonts w:ascii="Arial" w:cs="Arial" w:eastAsia="Arial" w:hAnsi="Arial"/>
                <w:sz w:val="16"/>
                <w:szCs w:val="16"/>
                <w:b w:val="1"/>
                <w:bCs w:val="1"/>
                <w:color w:val="auto"/>
              </w:rPr>
              <w:t>Segment contribution</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70,733</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54,490</w:t>
            </w:r>
          </w:p>
        </w:tc>
      </w:tr>
      <w:tr>
        <w:trPr>
          <w:trHeight w:val="417"/>
        </w:trPr>
        <w:tc>
          <w:tcPr>
            <w:tcW w:w="5840" w:type="dxa"/>
            <w:vAlign w:val="bottom"/>
          </w:tcPr>
          <w:p>
            <w:pPr>
              <w:spacing w:after="0"/>
              <w:rPr>
                <w:sz w:val="20"/>
                <w:szCs w:val="20"/>
                <w:color w:val="auto"/>
              </w:rPr>
            </w:pPr>
            <w:r>
              <w:rPr>
                <w:rFonts w:ascii="Arial" w:cs="Arial" w:eastAsia="Arial" w:hAnsi="Arial"/>
                <w:sz w:val="16"/>
                <w:szCs w:val="16"/>
                <w:color w:val="auto"/>
              </w:rPr>
              <w:t>Other data:</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7"/>
        </w:trPr>
        <w:tc>
          <w:tcPr>
            <w:tcW w:w="584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Average monthly ending pawn loan balance per store </w:t>
            </w:r>
            <w:r>
              <w:rPr>
                <w:rFonts w:ascii="Arial" w:cs="Arial" w:eastAsia="Arial" w:hAnsi="Arial"/>
                <w:sz w:val="21"/>
                <w:szCs w:val="21"/>
                <w:color w:val="auto"/>
                <w:vertAlign w:val="superscript"/>
              </w:rPr>
              <w:t>(a)</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396</w:t>
            </w:r>
          </w:p>
        </w:tc>
      </w:tr>
      <w:tr>
        <w:trPr>
          <w:trHeight w:val="215"/>
        </w:trPr>
        <w:tc>
          <w:tcPr>
            <w:tcW w:w="5840" w:type="dxa"/>
            <w:vAlign w:val="bottom"/>
          </w:tcPr>
          <w:p>
            <w:pPr>
              <w:ind w:left="200"/>
              <w:spacing w:after="0"/>
              <w:rPr>
                <w:sz w:val="20"/>
                <w:szCs w:val="20"/>
                <w:color w:val="auto"/>
              </w:rPr>
            </w:pPr>
            <w:r>
              <w:rPr>
                <w:rFonts w:ascii="Arial" w:cs="Arial" w:eastAsia="Arial" w:hAnsi="Arial"/>
                <w:sz w:val="16"/>
                <w:szCs w:val="16"/>
                <w:color w:val="auto"/>
              </w:rPr>
              <w:t>Monthly average yield on pawn loans outstanding</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7"/>
        </w:trPr>
        <w:tc>
          <w:tcPr>
            <w:tcW w:w="584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Pawn collateral - general merchandise </w:t>
            </w:r>
            <w:r>
              <w:rPr>
                <w:rFonts w:ascii="Arial" w:cs="Arial" w:eastAsia="Arial" w:hAnsi="Arial"/>
                <w:sz w:val="21"/>
                <w:szCs w:val="21"/>
                <w:color w:val="auto"/>
                <w:vertAlign w:val="superscript"/>
              </w:rPr>
              <w:t>(b)</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32 %</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86"/>
        </w:trPr>
        <w:tc>
          <w:tcPr>
            <w:tcW w:w="5840" w:type="dxa"/>
            <w:vAlign w:val="bottom"/>
          </w:tcPr>
          <w:p>
            <w:pPr>
              <w:ind w:left="200"/>
              <w:spacing w:after="0"/>
              <w:rPr>
                <w:sz w:val="20"/>
                <w:szCs w:val="20"/>
                <w:color w:val="auto"/>
              </w:rPr>
            </w:pPr>
            <w:r>
              <w:rPr>
                <w:rFonts w:ascii="Arial" w:cs="Arial" w:eastAsia="Arial" w:hAnsi="Arial"/>
                <w:sz w:val="16"/>
                <w:szCs w:val="16"/>
                <w:color w:val="auto"/>
              </w:rPr>
              <w:t xml:space="preserve">Pawn collateral - jewelry </w:t>
            </w:r>
            <w:r>
              <w:rPr>
                <w:rFonts w:ascii="Arial" w:cs="Arial" w:eastAsia="Arial" w:hAnsi="Arial"/>
                <w:sz w:val="21"/>
                <w:szCs w:val="21"/>
                <w:color w:val="auto"/>
                <w:vertAlign w:val="superscript"/>
              </w:rPr>
              <w:t>(b)</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-3935095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-3660775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-3103245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-1157605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-2828925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-3386455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4"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Prior period has been recast to conform to an updated allocation methodology implemented in the current period. The change was not material.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20955</wp:posOffset>
            </wp:positionV>
            <wp:extent cx="10198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33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8%</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13%</w:t>
      </w:r>
    </w:p>
    <w:p>
      <w:pPr>
        <w:spacing w:after="0" w:line="3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170bps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244%</w:t>
      </w:r>
    </w:p>
    <w:p>
      <w:pPr>
        <w:spacing w:after="0" w:line="3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1,140bps</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16%</w:t>
      </w: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7%</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w:t>
      </w:r>
    </w:p>
    <w:p>
      <w:pPr>
        <w:spacing w:after="0" w:line="46"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30%</w:t>
      </w: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20955</wp:posOffset>
            </wp:positionV>
            <wp:extent cx="10198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6"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30%</w:t>
      </w:r>
    </w:p>
    <w:p>
      <w:pPr>
        <w:spacing w:after="0" w:line="200" w:lineRule="exact"/>
        <w:rPr>
          <w:sz w:val="20"/>
          <w:szCs w:val="20"/>
          <w:color w:val="auto"/>
        </w:rPr>
      </w:pP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8%</w:t>
      </w:r>
    </w:p>
    <w:p>
      <w:pPr>
        <w:spacing w:after="0" w:line="3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(100)bps</w:t>
      </w:r>
    </w:p>
    <w:p>
      <w:pPr>
        <w:spacing w:after="0" w:line="3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(310)bps</w:t>
      </w:r>
    </w:p>
    <w:p>
      <w:pPr>
        <w:spacing w:after="0" w:line="3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310bps</w:t>
      </w:r>
    </w:p>
    <w:p>
      <w:pPr>
        <w:spacing w:after="0" w:line="991" w:lineRule="exact"/>
        <w:rPr>
          <w:sz w:val="20"/>
          <w:szCs w:val="20"/>
          <w:color w:val="auto"/>
        </w:rPr>
      </w:pPr>
    </w:p>
    <w:p>
      <w:pPr>
        <w:sectPr>
          <w:pgSz w:w="11900" w:h="16838" w:orient="portrait"/>
          <w:cols w:equalWidth="0" w:num="2">
            <w:col w:w="9500" w:space="600"/>
            <w:col w:w="1140"/>
          </w:cols>
          <w:pgMar w:left="320" w:top="130"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2025, segment store count increased to 547.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8%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increased 8%, and merchandise sale gross profit increased 170 bps.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Jewelry scrap sales increased 129%, and jewelry scrap sales gross margin increased from 22.8% to 34.2% due to increase in gold price and jewelry purchases.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7% (6% on a same-store basis), primarily due to increased labor, in line with store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$16.2 million, or 30%, primarily due to the changes described above.</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Constant Currency and Same-Store Financial Information”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ind w:left="520"/>
              <w:spacing w:after="0"/>
              <w:rPr>
                <w:sz w:val="20"/>
                <w:szCs w:val="20"/>
                <w:color w:val="auto"/>
              </w:rPr>
            </w:pPr>
            <w:r>
              <w:rPr>
                <w:rFonts w:ascii="Arial" w:cs="Arial" w:eastAsia="Arial" w:hAnsi="Arial"/>
                <w:sz w:val="16"/>
                <w:szCs w:val="16"/>
                <w:b w:val="1"/>
                <w:bCs w:val="1"/>
                <w:color w:val="auto"/>
              </w:rPr>
              <w:t>Three Months Ended 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2025 (Constant</w:t>
            </w: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2025 (GAAP)</w:t>
            </w:r>
          </w:p>
        </w:tc>
        <w:tc>
          <w:tcPr>
            <w:tcW w:w="18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2024 (GAAP)</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85"/>
        </w:trPr>
        <w:tc>
          <w:tcPr>
            <w:tcW w:w="4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88"/>
        </w:trPr>
        <w:tc>
          <w:tcPr>
            <w:tcW w:w="4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6"/>
                <w:szCs w:val="16"/>
                <w:b w:val="1"/>
                <w:bCs w:val="1"/>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36,743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29,176</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9"/>
              </w:rPr>
              <w:t>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20"/>
              <w:spacing w:after="0"/>
              <w:rPr>
                <w:sz w:val="20"/>
                <w:szCs w:val="20"/>
                <w:color w:val="auto"/>
              </w:rPr>
            </w:pPr>
            <w:r>
              <w:rPr>
                <w:rFonts w:ascii="Arial" w:cs="Arial" w:eastAsia="Arial" w:hAnsi="Arial"/>
                <w:sz w:val="16"/>
                <w:szCs w:val="16"/>
                <w:b w:val="1"/>
                <w:bCs w:val="1"/>
                <w:color w:val="auto"/>
              </w:rPr>
              <w:t>34,459</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9"/>
              </w:rPr>
              <w:t>18%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71,105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57,543</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66,172</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Merchandise sales 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24,036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17,275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22,344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29%</w:t>
            </w:r>
          </w:p>
        </w:tc>
        <w:tc>
          <w:tcPr>
            <w:tcW w:w="0" w:type="dxa"/>
            <w:vAlign w:val="bottom"/>
          </w:tcPr>
          <w:p>
            <w:pPr>
              <w:spacing w:after="0"/>
              <w:rPr>
                <w:sz w:val="1"/>
                <w:szCs w:val="1"/>
                <w:color w:val="auto"/>
              </w:rPr>
            </w:pPr>
          </w:p>
        </w:tc>
      </w:tr>
      <w:tr>
        <w:trPr>
          <w:trHeight w:val="215"/>
        </w:trPr>
        <w:tc>
          <w:tcPr>
            <w:tcW w:w="412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30.0 %</w:t>
            </w:r>
          </w:p>
        </w:tc>
        <w:tc>
          <w:tcPr>
            <w:tcW w:w="1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380bps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33.8 %</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380bps</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Jewelry scrap sales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4,394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1,234</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4,069</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230%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Jewelry scrap sales 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5"/>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1,351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480"/>
              <w:spacing w:after="0"/>
              <w:rPr>
                <w:sz w:val="20"/>
                <w:szCs w:val="20"/>
                <w:color w:val="auto"/>
              </w:rPr>
            </w:pPr>
            <w:r>
              <w:rPr>
                <w:rFonts w:ascii="Arial" w:cs="Arial" w:eastAsia="Arial" w:hAnsi="Arial"/>
                <w:sz w:val="16"/>
                <w:szCs w:val="16"/>
                <w:color w:val="auto"/>
              </w:rPr>
              <w:t>Gross margin on jewelry scrap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21.1 %</w:t>
            </w:r>
          </w:p>
        </w:tc>
        <w:tc>
          <w:tcPr>
            <w:tcW w:w="1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rPr>
              <w:t>1,218bps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33.2 %</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1,213bps</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62,257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46,727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58,170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24%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39,606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29,455</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36,883</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2,374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Segment operating contribution</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20,116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15,218</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32%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18,913</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24%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480"/>
              <w:spacing w:after="0"/>
              <w:rPr>
                <w:sz w:val="20"/>
                <w:szCs w:val="20"/>
                <w:color w:val="auto"/>
              </w:rPr>
            </w:pPr>
            <w:r>
              <w:rPr>
                <w:rFonts w:ascii="Arial" w:cs="Arial" w:eastAsia="Arial" w:hAnsi="Arial"/>
                <w:sz w:val="16"/>
                <w:szCs w:val="16"/>
                <w:b w:val="1"/>
                <w:bCs w:val="1"/>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15,289</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18,996</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24%</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Average monthly ending pawn loan balance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15%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store </w:t>
            </w:r>
            <w:r>
              <w:rPr>
                <w:rFonts w:ascii="Arial" w:cs="Arial" w:eastAsia="Arial" w:hAnsi="Arial"/>
                <w:sz w:val="21"/>
                <w:szCs w:val="21"/>
                <w:color w:val="auto"/>
                <w:vertAlign w:val="superscript"/>
              </w:rPr>
              <w:t>(a)</w:t>
            </w:r>
          </w:p>
        </w:tc>
        <w:tc>
          <w:tcPr>
            <w:tcW w:w="1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rPr>
              <w:t>—bps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collateral - general merchandise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(650)bps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(737)bps</w:t>
            </w:r>
          </w:p>
        </w:tc>
        <w:tc>
          <w:tcPr>
            <w:tcW w:w="0" w:type="dxa"/>
            <w:vAlign w:val="bottom"/>
          </w:tcPr>
          <w:p>
            <w:pPr>
              <w:spacing w:after="0"/>
              <w:rPr>
                <w:sz w:val="1"/>
                <w:szCs w:val="1"/>
                <w:color w:val="auto"/>
              </w:rPr>
            </w:pPr>
          </w:p>
        </w:tc>
      </w:tr>
      <w:tr>
        <w:trPr>
          <w:trHeight w:val="215"/>
        </w:trPr>
        <w:tc>
          <w:tcPr>
            <w:tcW w:w="4120" w:type="dxa"/>
            <w:vAlign w:val="bottom"/>
          </w:tcPr>
          <w:p>
            <w:pPr>
              <w:ind w:left="220"/>
              <w:spacing w:after="0"/>
              <w:rPr>
                <w:sz w:val="20"/>
                <w:szCs w:val="20"/>
                <w:color w:val="auto"/>
              </w:rPr>
            </w:pPr>
            <w:r>
              <w:rPr>
                <w:rFonts w:ascii="Arial" w:cs="Arial" w:eastAsia="Arial" w:hAnsi="Arial"/>
                <w:sz w:val="16"/>
                <w:szCs w:val="16"/>
                <w:color w:val="auto"/>
              </w:rPr>
              <w:t>Pawn collateral - jewelry</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40 %</w:t>
            </w:r>
          </w:p>
        </w:tc>
        <w:tc>
          <w:tcPr>
            <w:tcW w:w="1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650bps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47 %</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737bps</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2025 Change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2025 Change</w:t>
            </w:r>
          </w:p>
        </w:tc>
        <w:tc>
          <w:tcPr>
            <w:tcW w:w="0" w:type="dxa"/>
            <w:vAlign w:val="bottom"/>
          </w:tcPr>
          <w:p>
            <w:pPr>
              <w:spacing w:after="0"/>
              <w:rPr>
                <w:sz w:val="1"/>
                <w:szCs w:val="1"/>
                <w:color w:val="auto"/>
              </w:rPr>
            </w:pPr>
          </w:p>
        </w:tc>
      </w:tr>
      <w:tr>
        <w:trPr>
          <w:trHeight w:val="162"/>
        </w:trPr>
        <w:tc>
          <w:tcPr>
            <w:tcW w:w="84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8460" w:type="dxa"/>
            <w:vAlign w:val="bottom"/>
            <w:vMerge w:val="restart"/>
          </w:tcPr>
          <w:p>
            <w:pPr>
              <w:ind w:left="20"/>
              <w:spacing w:after="0"/>
              <w:rPr>
                <w:sz w:val="20"/>
                <w:szCs w:val="20"/>
                <w:color w:val="auto"/>
              </w:rPr>
            </w:pPr>
            <w:r>
              <w:rPr>
                <w:rFonts w:ascii="Arial" w:cs="Arial" w:eastAsia="Arial" w:hAnsi="Arial"/>
                <w:sz w:val="16"/>
                <w:szCs w:val="16"/>
                <w:color w:val="auto"/>
              </w:rPr>
              <w:t>Same-store data:</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(GAAP)</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195"/>
        </w:trPr>
        <w:tc>
          <w:tcPr>
            <w:tcW w:w="8460" w:type="dxa"/>
            <w:vAlign w:val="bottom"/>
            <w:vMerge w:val="continue"/>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PLO</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PSC</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Merchandise Sales Gross Profit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December 31, 2025, net store count increased by 21 due to the acquisition of 14 stores and the opening of 7 de novo stores.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26% to $36.7 million (18% to $34.5 million on a constant currency basis) as a result of higher average PLO and new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increased 24% (15% on a constant currency basis) and 16% on a same-store basis (8% on a constant currency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380 bps to 33.8% from 30.0%.</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Store expenses increased 34% (25% increase on a constant currency basis)) and increased by 24% on a same-store basis (16% increase on a constant currency basis). The constant currency increase was primarily due to increased labor, in line with store activity and minimum wage increases.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$4.9 million, or 32% ($3.7 million, or 24%, on a constant currency basis), due to the changes noted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Investments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8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6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expenses: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(963)</w:t>
            </w:r>
          </w:p>
        </w:tc>
        <w:tc>
          <w:tcPr>
            <w:tcW w:w="14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(594)</w:t>
            </w:r>
          </w:p>
        </w:tc>
        <w:tc>
          <w:tcPr>
            <w:tcW w:w="1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4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b w:val="1"/>
                <w:bCs w:val="1"/>
                <w:color w:val="auto"/>
              </w:rPr>
              <w:t>Segment contribution</w:t>
            </w:r>
          </w:p>
        </w:tc>
        <w:tc>
          <w:tcPr>
            <w:tcW w:w="106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2,786</w:t>
            </w:r>
          </w:p>
        </w:tc>
        <w:tc>
          <w:tcPr>
            <w:tcW w:w="14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2,217</w:t>
            </w:r>
          </w:p>
        </w:tc>
        <w:tc>
          <w:tcPr>
            <w:tcW w:w="1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9"/>
              </w:rPr>
              <w:t>26%</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Segment income was $2.8 million, an increase of $0.6 million from the prior year period, primarily due to an increase in interest income from our notes receivable due from Founders.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tbl>
      <w:tblPr>
        <w:tblLayout w:type="fixed"/>
        <w:tblInd w:w="0" w:type="dxa"/>
        <w:tblCellMar>
          <w:top w:w="0" w:type="dxa"/>
          <w:left w:w="0" w:type="dxa"/>
          <w:bottom w:w="0" w:type="dxa"/>
          <w:right w:w="0" w:type="dxa"/>
        </w:tblCellMar>
      </w:tblPr>
      <w:tr>
        <w:trPr>
          <w:trHeight w:val="164"/>
        </w:trPr>
        <w:tc>
          <w:tcPr>
            <w:tcW w:w="6040" w:type="dxa"/>
            <w:vAlign w:val="bottom"/>
          </w:tcPr>
          <w:p>
            <w:pPr>
              <w:spacing w:after="0"/>
              <w:rPr>
                <w:sz w:val="14"/>
                <w:szCs w:val="14"/>
                <w:color w:val="auto"/>
              </w:rPr>
            </w:pPr>
          </w:p>
        </w:tc>
        <w:tc>
          <w:tcPr>
            <w:tcW w:w="2820" w:type="dxa"/>
            <w:vAlign w:val="bottom"/>
            <w:gridSpan w:val="4"/>
          </w:tcPr>
          <w:p>
            <w:pPr>
              <w:jc w:val="right"/>
              <w:ind w:right="219"/>
              <w:spacing w:after="0" w:line="164" w:lineRule="exact"/>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6"/>
        </w:trPr>
        <w:tc>
          <w:tcPr>
            <w:tcW w:w="60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Change</w:t>
            </w:r>
          </w:p>
        </w:tc>
      </w:tr>
      <w:tr>
        <w:trPr>
          <w:trHeight w:val="88"/>
        </w:trPr>
        <w:tc>
          <w:tcPr>
            <w:tcW w:w="6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contribution</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93,658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71,996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30%</w:t>
            </w:r>
          </w:p>
        </w:tc>
      </w:tr>
      <w:tr>
        <w:trPr>
          <w:trHeight w:val="215"/>
        </w:trPr>
        <w:tc>
          <w:tcPr>
            <w:tcW w:w="604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6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24,184</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r>
      <w:tr>
        <w:trPr>
          <w:trHeight w:val="215"/>
        </w:trPr>
        <w:tc>
          <w:tcPr>
            <w:tcW w:w="604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3,498</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17"/>
        </w:trPr>
        <w:tc>
          <w:tcPr>
            <w:tcW w:w="6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159%</w:t>
            </w:r>
          </w:p>
        </w:tc>
      </w:tr>
      <w:tr>
        <w:trPr>
          <w:trHeight w:val="215"/>
        </w:trPr>
        <w:tc>
          <w:tcPr>
            <w:tcW w:w="604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(3,851)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157%</w:t>
            </w:r>
          </w:p>
        </w:tc>
      </w:tr>
      <w:tr>
        <w:trPr>
          <w:trHeight w:val="217"/>
        </w:trPr>
        <w:tc>
          <w:tcPr>
            <w:tcW w:w="6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Equity in net loss of unconsolidated affiliates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r>
      <w:tr>
        <w:trPr>
          <w:trHeight w:val="215"/>
        </w:trPr>
        <w:tc>
          <w:tcPr>
            <w:tcW w:w="60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loss (income)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(107)%</w:t>
            </w:r>
          </w:p>
        </w:tc>
      </w:tr>
      <w:tr>
        <w:trPr>
          <w:trHeight w:val="210"/>
        </w:trPr>
        <w:tc>
          <w:tcPr>
            <w:tcW w:w="60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41,384</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r>
      <w:tr>
        <w:trPr>
          <w:trHeight w:val="215"/>
        </w:trPr>
        <w:tc>
          <w:tcPr>
            <w:tcW w:w="60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14,867</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10,368</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43%</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44,304</w:t>
            </w: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31,016</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43%</w:t>
            </w:r>
          </w:p>
        </w:tc>
      </w:tr>
    </w:tbl>
    <w:p>
      <w:pPr>
        <w:spacing w:after="0" w:line="126"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Segment contribution increased $21.7 million or 30% over the prior year period, primarily due to improved operating results of the U.S. Pawn and Latin America Pawn segments above.</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General and administrative expenses increased $2.6 million or 11%, primarily due to labor costs (including higher incentive compensation) and professional fees related to acquisitions.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$5.0 million or 159%, primarily driven by the issuance of 2032 Senior Notes in the second quarter fiscal 2025.</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Interest income increased $2.4 million or 157%, primarily due to the increase in Cash and cash equivalents held as compared to the prior period.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expense increased $4.5 million, primarily due to an increase in income before income taxes of $17.8 million for the three months ended December 31, 2025 compared to the same period in the prior year.</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2025, Note 10: Income Taxes of Notes to Consolidated Financial Statements included in “Part II, Item 8 — Financial Statements and Supplemental Data” for quantification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 and cash equivalents balance was $465.9 million at December 31, 2025 compared to $469.5 million at September 30, 2025. Our cash and equivalents are primarily held in cash depository accounts with banks in geographies we operate or invested in high quality, short-term liquid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440" w:type="dxa"/>
            <w:vAlign w:val="bottom"/>
          </w:tcPr>
          <w:p>
            <w:pPr>
              <w:spacing w:after="0"/>
              <w:rPr>
                <w:sz w:val="16"/>
                <w:szCs w:val="16"/>
                <w:color w:val="auto"/>
              </w:rPr>
            </w:pPr>
          </w:p>
        </w:tc>
      </w:tr>
      <w:tr>
        <w:trPr>
          <w:trHeight w:val="216"/>
        </w:trPr>
        <w:tc>
          <w:tcPr>
            <w:tcW w:w="6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88"/>
        </w:trPr>
        <w:tc>
          <w:tcPr>
            <w:tcW w:w="6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r>
      <w:tr>
        <w:trPr>
          <w:trHeight w:val="215"/>
        </w:trPr>
        <w:tc>
          <w:tcPr>
            <w:tcW w:w="66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(30,958)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(14,040)</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120%</w:t>
            </w:r>
          </w:p>
        </w:tc>
      </w:tr>
      <w:tr>
        <w:trPr>
          <w:trHeight w:val="21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1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(66)%</w:t>
            </w:r>
          </w:p>
        </w:tc>
      </w:tr>
      <w:tr>
        <w:trPr>
          <w:trHeight w:val="21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(66)%</w:t>
            </w:r>
          </w:p>
        </w:tc>
      </w:tr>
    </w:tbl>
    <w:p>
      <w:pPr>
        <w:spacing w:after="0" w:line="112"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$13.2 million increase in cash flows provided by operating activities year-over-year was primarily due to an increase in net income as well as changes in working capital primarily related to the timing of payments of accounts payable, prepaid expenses, customer layaway deposits and income taxes.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$16.9 million increase in cash flows used in investing activities year-over-year was primarily due to a $8.5 million increase in net pawn lending outflows and a $22.1 million increase in net cash flows used related to investments, acquisitions and capital expenditures, partially offset by a $13.7 million increase in cash inflows from the sale of forfeited collateral.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$0.6 million decrease in cash flows used in financing activities was primarily related to the purchase and retirement of treasury shares in the first quarter of fiscal 2025, partially offset by increased tax withholding for the settlement of equity awards in the first quarter of fiscal 2026.</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net effect of these changes was a $1.4 million increase in cash on hand during the current year to date period, resulting in a $486.1 million ending cash, cash equivalents and restricted cash balance.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11, 2025, the Board approved a new share repurchase program which replaced the previous program that expired on May 3, 2025. Under the new program, we are authorized to repurchase up to $50 million of our Class A Non-Voting common shares over the next three years (the “2026 Common Stock Repurchase Program”). During the three months ended December 31, 2025, we did not repurchase and retire any shares under the 2026 Common Stock Repurchase Program. See Note 9 of Notes to Condensed Consolidated Financial Statements included in “Part I, Item 1 —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Depending on the level of acquisition activity and other factors, our ability to repay our longer term debt obligations, including the convertible debt maturing in December 2029 and the senior notes due April 2032, may require us to refinance these obligations through the issuance of new debt securities, equity securities, convertible securities or through new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the contractual obligations disclosed in “Part II, Item 7 — Management’s Discussion and Analysis of Financial Condition and Results of Operations” of our Annual Report on Form 10-K for the year ended September 30, 2025.</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1 of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177"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Item 1A — Risk Factors” of our Annual Report on Form 10-K for the year ended September 30, 2025 and “Part II, Item 1A — Risk Factors” of</w:t>
        </w:r>
      </w:hyperlink>
      <w:r>
        <w:rPr>
          <w:rFonts w:ascii="Arial" w:cs="Arial" w:eastAsia="Arial" w:hAnsi="Arial"/>
          <w:sz w:val="18"/>
          <w:szCs w:val="18"/>
          <w:color w:val="auto"/>
        </w:rPr>
        <w:t xml:space="preserve"> this Report.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2025. There have been no material changes in our reported market risks or risk management policies since the filing of our Annual Report on Form 10-K for the year ended September 30, 2025.</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December 31, 2025. Our principal executive officer and principal financial officer have concluded that as of December 31, 2025,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1" w:lineRule="exact"/>
        <w:rPr>
          <w:sz w:val="20"/>
          <w:szCs w:val="20"/>
          <w:color w:val="auto"/>
        </w:rPr>
      </w:pPr>
    </w:p>
    <w:p>
      <w:pPr>
        <w:ind w:right="3620" w:firstLine="3627"/>
        <w:spacing w:after="0" w:line="391" w:lineRule="auto"/>
        <w:rPr>
          <w:sz w:val="20"/>
          <w:szCs w:val="20"/>
          <w:color w:val="auto"/>
        </w:rPr>
      </w:pPr>
      <w:r>
        <w:rPr>
          <w:rFonts w:ascii="Arial" w:cs="Arial" w:eastAsia="Arial" w:hAnsi="Arial"/>
          <w:sz w:val="25"/>
          <w:szCs w:val="25"/>
          <w:b w:val="1"/>
          <w:bCs w:val="1"/>
          <w:color w:val="00497F"/>
        </w:rPr>
        <w:t>PART II — OTHER INFORMATION ITEM 1. LEGAL PROCEEDINGS</w:t>
      </w:r>
    </w:p>
    <w:p>
      <w:pPr>
        <w:jc w:val="both"/>
        <w:spacing w:after="0" w:line="287" w:lineRule="auto"/>
        <w:rPr>
          <w:sz w:val="20"/>
          <w:szCs w:val="20"/>
          <w:color w:val="auto"/>
        </w:rPr>
      </w:pPr>
      <w:r>
        <w:rPr>
          <w:rFonts w:ascii="Arial" w:cs="Arial" w:eastAsia="Arial" w:hAnsi="Arial"/>
          <w:sz w:val="18"/>
          <w:szCs w:val="18"/>
          <w:color w:val="auto"/>
        </w:rPr>
        <w:t>See Note 10: Commitments And Contingencies of Notes to Condensed Consolidated Financial Statements included in “Part I, Item 1 —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2025.</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 of Equity Security and Use of Proceeds</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2025, the Board of Directors approved a share repurchase program, under which we were authorized to repurchase up to $50.0 million of our Class A Non-Voting common shares over a three-year period. No shares were repurchased during the first quarter of fiscal 2026. As of December 31, 2025, $50.0 million remained available under the program.</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5.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Director or Executive Officer adopted, modified or terminated any contract, instruction, written plan or other trading arrangement relating to the purchase or sale of Company securities during the fiscal quarter ended December 31,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27260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471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0"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Principal Executive Officer, pursuant to Rule 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u w:val="single" w:color="auto"/>
          <w:color w:val="0000FF"/>
        </w:rPr>
        <w:t>14(a) under the Securities Exchange Act of 1934</w:t>
      </w:r>
    </w:p>
    <w:p>
      <w:pPr>
        <w:spacing w:after="0" w:line="10"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of Principal Financial Officer, pursuant to Rule 13a-14(a)</w:t>
      </w:r>
    </w:p>
    <w:p>
      <w:pPr>
        <w:ind w:left="800"/>
        <w:spacing w:after="0"/>
        <w:rPr>
          <w:sz w:val="20"/>
          <w:szCs w:val="20"/>
          <w:color w:val="auto"/>
        </w:rPr>
      </w:pPr>
      <w:r>
        <w:rPr>
          <w:rFonts w:ascii="Arial" w:cs="Arial" w:eastAsia="Arial" w:hAnsi="Arial"/>
          <w:sz w:val="16"/>
          <w:szCs w:val="16"/>
          <w:u w:val="single" w:color="auto"/>
          <w:color w:val="0000FF"/>
        </w:rPr>
        <w:t>under the Securities Exchange Act of 1934</w:t>
      </w:r>
    </w:p>
    <w:p>
      <w:pPr>
        <w:spacing w:after="0" w:line="16" w:lineRule="exact"/>
        <w:rPr>
          <w:sz w:val="20"/>
          <w:szCs w:val="20"/>
          <w:color w:val="auto"/>
        </w:rPr>
      </w:pPr>
    </w:p>
    <w:p>
      <w:pPr>
        <w:ind w:left="800" w:right="4240" w:hanging="604"/>
        <w:spacing w:after="0" w:line="246" w:lineRule="auto"/>
        <w:tabs>
          <w:tab w:leader="none" w:pos="7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Certifications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right="4280" w:hanging="694"/>
        <w:spacing w:after="0" w:line="234"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sectPr>
          <w:pgSz w:w="11900" w:h="16838" w:orient="portrait"/>
          <w:cols w:equalWidth="0" w:num="2">
            <w:col w:w="9760" w:space="680"/>
            <w:col w:w="680"/>
          </w:cols>
          <w:pgMar w:left="320" w:top="130" w:right="459" w:bottom="1440" w:gutter="0" w:footer="0" w:header="0"/>
        </w:sectPr>
      </w:pPr>
    </w:p>
    <w:p>
      <w:pPr>
        <w:ind w:left="800" w:right="5440" w:hanging="542"/>
        <w:spacing w:after="0" w:line="251"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3" w:lineRule="exact"/>
        <w:rPr>
          <w:sz w:val="20"/>
          <w:szCs w:val="20"/>
          <w:color w:val="auto"/>
        </w:rPr>
      </w:pPr>
    </w:p>
    <w:p>
      <w:pPr>
        <w:ind w:left="800" w:right="240" w:hanging="774"/>
        <w:spacing w:after="0" w:line="264"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February 4, 2026</w:t>
      </w:r>
      <w:r>
        <w:rPr>
          <w:sz w:val="20"/>
          <w:szCs w:val="20"/>
          <w:color w:val="auto"/>
        </w:rPr>
        <w:tab/>
      </w:r>
      <w:r>
        <w:rPr>
          <w:rFonts w:ascii="Arial" w:cs="Arial" w:eastAsia="Arial" w:hAnsi="Arial"/>
          <w:sz w:val="17"/>
          <w:szCs w:val="17"/>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17780</wp:posOffset>
            </wp:positionV>
            <wp:extent cx="33343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130"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Lachlan P. Given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undersigned officers of EZCORP, Inc. hereby certify that (a) EZCORP’s Quarterly Report on Form 10-Q for the quarter ended December 31, 2025,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Lachlan P. Given</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February 4, 2026</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21" Type="http://schemas.openxmlformats.org/officeDocument/2006/relationships/hyperlink" Target="https://www.sec.gov/ix?doc=/Archives/edgar/data/876523/000087652323000045/ezpw-2023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2026-02-04T15:24:39Z</dcterms:created>
  <dcterms:modified xsi:type="dcterms:W3CDTF">2026-02-04T15:24:39Z</dcterms:modified>
</cp:coreProperties>
</file>