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39"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18415</wp:posOffset>
            </wp:positionV>
            <wp:extent cx="6995795" cy="5803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80326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Bryant Ellen H</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2500 BEE CAVE ROAD, BLDG. 1, STE. 200</w:t>
      </w:r>
    </w:p>
    <w:p>
      <w:pPr>
        <w:spacing w:after="0" w:line="34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4"/>
          <w:szCs w:val="24"/>
          <w:color w:val="auto"/>
        </w:rPr>
      </w:pPr>
    </w:p>
    <w:p>
      <w:pPr>
        <w:ind w:left="120"/>
        <w:spacing w:after="0"/>
        <w:tabs>
          <w:tab w:leader="none" w:pos="2580" w:val="left"/>
        </w:tabs>
        <w:rPr>
          <w:sz w:val="20"/>
          <w:szCs w:val="20"/>
          <w:color w:val="auto"/>
        </w:rPr>
      </w:pPr>
      <w:r>
        <w:rPr>
          <w:rFonts w:ascii="Arial" w:cs="Arial" w:eastAsia="Arial" w:hAnsi="Arial"/>
          <w:sz w:val="16"/>
          <w:szCs w:val="16"/>
          <w:color w:val="0000FF"/>
        </w:rPr>
        <w:t>ROLLINGWOOD TX</w:t>
      </w:r>
      <w:r>
        <w:rPr>
          <w:sz w:val="20"/>
          <w:szCs w:val="20"/>
          <w:color w:val="auto"/>
        </w:rPr>
        <w:tab/>
      </w:r>
      <w:r>
        <w:rPr>
          <w:rFonts w:ascii="Arial" w:cs="Arial" w:eastAsia="Arial" w:hAnsi="Arial"/>
          <w:sz w:val="14"/>
          <w:szCs w:val="14"/>
          <w:color w:val="0000FF"/>
        </w:rPr>
        <w:t>78746</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40" w:type="dxa"/>
            <w:vAlign w:val="bottom"/>
            <w:gridSpan w:val="4"/>
          </w:tcPr>
          <w:p>
            <w:pPr>
              <w:ind w:left="8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EZCORP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EZPW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1240" w:type="dxa"/>
            <w:vAlign w:val="bottom"/>
            <w:gridSpan w:val="3"/>
          </w:tcPr>
          <w:p>
            <w:pPr>
              <w:ind w:left="80"/>
              <w:spacing w:after="0"/>
              <w:rPr>
                <w:sz w:val="20"/>
                <w:szCs w:val="20"/>
                <w:color w:val="auto"/>
              </w:rPr>
            </w:pPr>
            <w:r>
              <w:rPr>
                <w:rFonts w:ascii="Arial" w:cs="Arial" w:eastAsia="Arial" w:hAnsi="Arial"/>
                <w:sz w:val="16"/>
                <w:szCs w:val="16"/>
                <w:color w:val="0000FF"/>
              </w:rPr>
              <w:t>11/14/2023</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6"/>
                <w:szCs w:val="16"/>
                <w:color w:val="0000FF"/>
              </w:rPr>
              <w:t>Chief Legal Officer</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00"/>
        <w:spacing w:after="0" w:line="27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80" w:space="66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4"/>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38"/>
              <w:spacing w:after="0"/>
              <w:rPr>
                <w:sz w:val="20"/>
                <w:szCs w:val="20"/>
                <w:color w:val="auto"/>
              </w:rPr>
            </w:pPr>
            <w:r>
              <w:rPr>
                <w:rFonts w:ascii="Arial" w:cs="Arial" w:eastAsia="Arial" w:hAnsi="Arial"/>
                <w:sz w:val="11"/>
                <w:szCs w:val="11"/>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w w:val="95"/>
              </w:rPr>
              <w:t>Class A Non-Voting Common Stock</w:t>
            </w:r>
          </w:p>
        </w:tc>
        <w:tc>
          <w:tcPr>
            <w:tcW w:w="1840" w:type="dxa"/>
            <w:vAlign w:val="bottom"/>
            <w:gridSpan w:val="3"/>
          </w:tcPr>
          <w:p>
            <w:pPr>
              <w:jc w:val="center"/>
              <w:ind w:left="694"/>
              <w:spacing w:after="0"/>
              <w:rPr>
                <w:sz w:val="20"/>
                <w:szCs w:val="20"/>
                <w:color w:val="auto"/>
              </w:rPr>
            </w:pPr>
            <w:r>
              <w:rPr>
                <w:rFonts w:ascii="Arial" w:cs="Arial" w:eastAsia="Arial" w:hAnsi="Arial"/>
                <w:sz w:val="16"/>
                <w:szCs w:val="16"/>
                <w:color w:val="0000FF"/>
                <w:w w:val="94"/>
              </w:rPr>
              <w:t>11/14/2023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M</w:t>
            </w:r>
          </w:p>
        </w:tc>
        <w:tc>
          <w:tcPr>
            <w:tcW w:w="700" w:type="dxa"/>
            <w:vAlign w:val="bottom"/>
          </w:tcPr>
          <w:p>
            <w:pPr>
              <w:jc w:val="right"/>
              <w:spacing w:after="0"/>
              <w:rPr>
                <w:sz w:val="20"/>
                <w:szCs w:val="20"/>
                <w:color w:val="auto"/>
              </w:rPr>
            </w:pPr>
            <w:r>
              <w:rPr>
                <w:rFonts w:ascii="Arial" w:cs="Arial" w:eastAsia="Arial" w:hAnsi="Arial"/>
                <w:sz w:val="16"/>
                <w:szCs w:val="16"/>
                <w:color w:val="0000FF"/>
              </w:rPr>
              <w:t>50,448</w:t>
            </w:r>
          </w:p>
        </w:tc>
        <w:tc>
          <w:tcPr>
            <w:tcW w:w="640" w:type="dxa"/>
            <w:vAlign w:val="bottom"/>
          </w:tcPr>
          <w:p>
            <w:pPr>
              <w:ind w:left="340"/>
              <w:spacing w:after="0"/>
              <w:rPr>
                <w:sz w:val="20"/>
                <w:szCs w:val="20"/>
                <w:color w:val="auto"/>
              </w:rPr>
            </w:pPr>
            <w:r>
              <w:rPr>
                <w:rFonts w:ascii="Arial" w:cs="Arial" w:eastAsia="Arial" w:hAnsi="Arial"/>
                <w:sz w:val="16"/>
                <w:szCs w:val="16"/>
                <w:color w:val="0000FF"/>
              </w:rPr>
              <w:t>A</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8.52</w:t>
            </w:r>
          </w:p>
        </w:tc>
        <w:tc>
          <w:tcPr>
            <w:tcW w:w="40" w:type="dxa"/>
            <w:vAlign w:val="bottom"/>
          </w:tcPr>
          <w:p>
            <w:pPr>
              <w:spacing w:after="0"/>
              <w:rPr>
                <w:sz w:val="21"/>
                <w:szCs w:val="21"/>
                <w:color w:val="auto"/>
              </w:rPr>
            </w:pPr>
          </w:p>
        </w:tc>
        <w:tc>
          <w:tcPr>
            <w:tcW w:w="1260" w:type="dxa"/>
            <w:vAlign w:val="bottom"/>
            <w:gridSpan w:val="3"/>
          </w:tcPr>
          <w:p>
            <w:pPr>
              <w:ind w:left="360"/>
              <w:spacing w:after="0"/>
              <w:rPr>
                <w:sz w:val="20"/>
                <w:szCs w:val="20"/>
                <w:color w:val="auto"/>
              </w:rPr>
            </w:pPr>
            <w:r>
              <w:rPr>
                <w:rFonts w:ascii="Arial" w:cs="Arial" w:eastAsia="Arial" w:hAnsi="Arial"/>
                <w:sz w:val="16"/>
                <w:szCs w:val="16"/>
                <w:color w:val="0000FF"/>
              </w:rPr>
              <w:t>133,874</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w w:val="95"/>
              </w:rPr>
              <w:t>Class A Non-Voting Common Stock</w:t>
            </w:r>
          </w:p>
        </w:tc>
        <w:tc>
          <w:tcPr>
            <w:tcW w:w="1840" w:type="dxa"/>
            <w:vAlign w:val="bottom"/>
            <w:gridSpan w:val="3"/>
          </w:tcPr>
          <w:p>
            <w:pPr>
              <w:jc w:val="center"/>
              <w:ind w:left="694"/>
              <w:spacing w:after="0"/>
              <w:rPr>
                <w:sz w:val="20"/>
                <w:szCs w:val="20"/>
                <w:color w:val="auto"/>
              </w:rPr>
            </w:pPr>
            <w:r>
              <w:rPr>
                <w:rFonts w:ascii="Arial" w:cs="Arial" w:eastAsia="Arial" w:hAnsi="Arial"/>
                <w:sz w:val="16"/>
                <w:szCs w:val="16"/>
                <w:color w:val="0000FF"/>
                <w:w w:val="94"/>
              </w:rPr>
              <w:t>11/14/2023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F</w:t>
            </w:r>
          </w:p>
        </w:tc>
        <w:tc>
          <w:tcPr>
            <w:tcW w:w="700" w:type="dxa"/>
            <w:vAlign w:val="bottom"/>
          </w:tcPr>
          <w:p>
            <w:pPr>
              <w:jc w:val="right"/>
              <w:spacing w:after="0"/>
              <w:rPr>
                <w:sz w:val="20"/>
                <w:szCs w:val="20"/>
                <w:color w:val="auto"/>
              </w:rPr>
            </w:pPr>
            <w:r>
              <w:rPr>
                <w:rFonts w:ascii="Arial" w:cs="Arial" w:eastAsia="Arial" w:hAnsi="Arial"/>
                <w:sz w:val="16"/>
                <w:szCs w:val="16"/>
                <w:color w:val="0000FF"/>
              </w:rPr>
              <w:t>19,851</w:t>
            </w:r>
          </w:p>
        </w:tc>
        <w:tc>
          <w:tcPr>
            <w:tcW w:w="640" w:type="dxa"/>
            <w:vAlign w:val="bottom"/>
          </w:tcPr>
          <w:p>
            <w:pPr>
              <w:ind w:left="340"/>
              <w:spacing w:after="0"/>
              <w:rPr>
                <w:sz w:val="20"/>
                <w:szCs w:val="20"/>
                <w:color w:val="auto"/>
              </w:rPr>
            </w:pPr>
            <w:r>
              <w:rPr>
                <w:rFonts w:ascii="Arial" w:cs="Arial" w:eastAsia="Arial" w:hAnsi="Arial"/>
                <w:sz w:val="16"/>
                <w:szCs w:val="16"/>
                <w:color w:val="0000FF"/>
              </w:rPr>
              <w:t>D</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8.52</w:t>
            </w:r>
          </w:p>
        </w:tc>
        <w:tc>
          <w:tcPr>
            <w:tcW w:w="40" w:type="dxa"/>
            <w:vAlign w:val="bottom"/>
          </w:tcPr>
          <w:p>
            <w:pPr>
              <w:spacing w:after="0"/>
              <w:rPr>
                <w:sz w:val="21"/>
                <w:szCs w:val="21"/>
                <w:color w:val="auto"/>
              </w:rPr>
            </w:pPr>
          </w:p>
        </w:tc>
        <w:tc>
          <w:tcPr>
            <w:tcW w:w="1260" w:type="dxa"/>
            <w:vAlign w:val="bottom"/>
            <w:gridSpan w:val="3"/>
          </w:tcPr>
          <w:p>
            <w:pPr>
              <w:ind w:left="360"/>
              <w:spacing w:after="0"/>
              <w:rPr>
                <w:sz w:val="20"/>
                <w:szCs w:val="20"/>
                <w:color w:val="auto"/>
              </w:rPr>
            </w:pPr>
            <w:r>
              <w:rPr>
                <w:rFonts w:ascii="Arial" w:cs="Arial" w:eastAsia="Arial" w:hAnsi="Arial"/>
                <w:sz w:val="16"/>
                <w:szCs w:val="16"/>
                <w:color w:val="0000FF"/>
              </w:rPr>
              <w:t>114,023</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jc w:val="right"/>
              <w:ind w:right="358"/>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continue"/>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Non-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11,594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11/14/2023</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Arial" w:cs="Arial" w:eastAsia="Arial" w:hAnsi="Arial"/>
                <w:sz w:val="13"/>
                <w:szCs w:val="13"/>
                <w:color w:val="0000FF"/>
                <w:w w:val="91"/>
              </w:rPr>
              <w:t>A</w:t>
            </w:r>
          </w:p>
        </w:tc>
        <w:tc>
          <w:tcPr>
            <w:tcW w:w="520" w:type="dxa"/>
            <w:vAlign w:val="bottom"/>
          </w:tcPr>
          <w:p>
            <w:pPr>
              <w:ind w:left="100"/>
              <w:spacing w:after="0" w:line="140" w:lineRule="exact"/>
              <w:rPr>
                <w:sz w:val="20"/>
                <w:szCs w:val="20"/>
                <w:color w:val="auto"/>
              </w:rPr>
            </w:pPr>
            <w:r>
              <w:rPr>
                <w:rFonts w:ascii="Arial" w:cs="Arial" w:eastAsia="Arial" w:hAnsi="Arial"/>
                <w:sz w:val="13"/>
                <w:szCs w:val="13"/>
                <w:color w:val="0000FF"/>
              </w:rPr>
              <w:t>11,594</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right"/>
              <w:ind w:right="183"/>
              <w:spacing w:after="0" w:line="140" w:lineRule="exact"/>
              <w:rPr>
                <w:sz w:val="20"/>
                <w:szCs w:val="20"/>
                <w:color w:val="auto"/>
              </w:rPr>
            </w:pPr>
            <w:r>
              <w:rPr>
                <w:rFonts w:ascii="Arial" w:cs="Arial" w:eastAsia="Arial" w:hAnsi="Arial"/>
                <w:sz w:val="13"/>
                <w:szCs w:val="13"/>
                <w:color w:val="0000FF"/>
              </w:rPr>
              <w:t>125,923</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Non-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50,448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11/14/2023</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Arial" w:cs="Arial" w:eastAsia="Arial" w:hAnsi="Arial"/>
                <w:sz w:val="13"/>
                <w:szCs w:val="13"/>
                <w:color w:val="0000FF"/>
              </w:rPr>
              <w:t>50,448</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right"/>
              <w:ind w:right="223"/>
              <w:spacing w:after="0" w:line="140" w:lineRule="exact"/>
              <w:rPr>
                <w:sz w:val="20"/>
                <w:szCs w:val="20"/>
                <w:color w:val="auto"/>
              </w:rPr>
            </w:pPr>
            <w:r>
              <w:rPr>
                <w:rFonts w:ascii="Arial" w:cs="Arial" w:eastAsia="Arial" w:hAnsi="Arial"/>
                <w:sz w:val="13"/>
                <w:szCs w:val="13"/>
                <w:color w:val="0000FF"/>
              </w:rPr>
              <w:t>75,475</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-2518410</wp:posOffset>
            </wp:positionV>
            <wp:extent cx="28575" cy="2523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52349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at the time of vesting.</w:t>
      </w:r>
    </w:p>
    <w:p>
      <w:pPr>
        <w:spacing w:after="0" w:line="40" w:lineRule="exact"/>
        <w:rPr>
          <w:rFonts w:ascii="Arial" w:cs="Arial" w:eastAsia="Arial" w:hAnsi="Arial"/>
          <w:sz w:val="13"/>
          <w:szCs w:val="13"/>
          <w:color w:val="008000"/>
        </w:rPr>
      </w:pPr>
    </w:p>
    <w:p>
      <w:pPr>
        <w:ind w:left="40" w:right="160"/>
        <w:spacing w:after="0" w:line="23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following "bonus" units: (1) 4,059 units attributable to the fiscal 2021 Restricted Stock Unit award earned with achievement of the specified performance goal for fiscal 2023 and vesting on September 30, 2023, subject to continued employment, plus (2) 3,829 units attributable to the fiscal 2022 Restricted Stock Unit award earned with achievement of the specified performance goal for fiscal 2023 and vesting on September 30, 2024, subject to continued employment, plus (3) 3,706 units attributable to the fiscal 2023 Restricted Stock Unit award earned with achievement of the specified performance goal for fiscal 2023 and vesting on September 30, 2025, subject to continued employment.</w:t>
      </w:r>
    </w:p>
    <w:p>
      <w:pPr>
        <w:sectPr>
          <w:pgSz w:w="11900" w:h="16838" w:orient="portrait"/>
          <w:cols w:equalWidth="0" w:num="1">
            <w:col w:w="11080"/>
          </w:cols>
          <w:pgMar w:left="460" w:top="220" w:right="35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3. The units vested on November 14, 2023 after specified performance goals were achieved.</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2"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Carrie Putnam,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635</wp:posOffset>
            </wp:positionV>
            <wp:extent cx="1309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17"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8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4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1300"/>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0000FF"/>
        </w:rPr>
        <w:t>11/16/2023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4" w:lineRule="exact"/>
        <w:rPr>
          <w:sz w:val="24"/>
          <w:szCs w:val="24"/>
          <w:color w:val="auto"/>
        </w:rPr>
      </w:pPr>
    </w:p>
    <w:p>
      <w:pPr>
        <w:sectPr>
          <w:pgSz w:w="11900" w:h="16838" w:orient="portrait"/>
          <w:cols w:equalWidth="0" w:num="2">
            <w:col w:w="8660" w:space="14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9943"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2023-11-16T14:33:26Z</dcterms:created>
  <dcterms:modified xsi:type="dcterms:W3CDTF">2023-11-16T14:33:26Z</dcterms:modified>
</cp:coreProperties>
</file>