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As filed with the Securities and Exchange Commission on November 3, 2023</w:t>
      </w:r>
    </w:p>
    <w:p>
      <w:pPr>
        <w:pStyle w:val="TextBody"/>
        <w:bidi w:val="0"/>
        <w:spacing w:lineRule="auto" w:line="288" w:before="120" w:after="283"/>
        <w:jc w:val="right"/>
        <w:rPr>
          <w:rFonts w:ascii="Arial Narrow;sans-serif" w:hAnsi="Arial Narrow;sans-serif"/>
          <w:b w:val="false"/>
          <w:color w:val="000000"/>
          <w:sz w:val="20"/>
        </w:rPr>
      </w:pPr>
      <w:r>
        <w:rPr>
          <w:rFonts w:ascii="Arial Narrow;sans-serif" w:hAnsi="Arial Narrow;sans-serif"/>
          <w:b w:val="false"/>
          <w:color w:val="000000"/>
          <w:sz w:val="20"/>
        </w:rPr>
        <w:t>Registration No. 333-</w:t>
      </w:r>
    </w:p>
    <w:p>
      <w:pPr>
        <w:pStyle w:val="TextBody"/>
        <w:bidi w:val="0"/>
        <w:spacing w:before="0" w:after="120"/>
        <w:jc w:val="left"/>
        <w:rPr/>
      </w:pPr>
      <w:r>
        <w:rPr/>
      </w:r>
    </w:p>
    <w:p>
      <w:pPr>
        <w:pStyle w:val="TextBody"/>
        <w:bidi w:val="0"/>
        <w:spacing w:lineRule="auto" w:line="288" w:before="0" w:after="0"/>
        <w:jc w:val="center"/>
        <w:rPr/>
      </w:pPr>
      <w:r>
        <w:rPr>
          <w:color w:val="000000"/>
        </w:rPr>
        <w:t> </w:t>
      </w:r>
      <w:r>
        <w:rPr>
          <w:rFonts w:ascii="Arial Narrow;sans-serif" w:hAnsi="Arial Narrow;sans-serif"/>
          <w:b w:val="false"/>
          <w:color w:val="000000"/>
          <w:sz w:val="22"/>
        </w:rPr>
        <w:t>UNITED STATES</w:t>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SECURITIES AND EXCHANGE COMMISSION</w:t>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Washington, D.C. 20549</w:t>
      </w:r>
    </w:p>
    <w:p>
      <w:pPr>
        <w:pStyle w:val="TextBody"/>
        <w:bidi w:val="0"/>
        <w:spacing w:lineRule="auto" w:line="288" w:before="240" w:after="283"/>
        <w:jc w:val="center"/>
        <w:rPr>
          <w:rFonts w:ascii="Arial Narrow;sans-serif" w:hAnsi="Arial Narrow;sans-serif"/>
          <w:b/>
          <w:color w:val="000000"/>
          <w:sz w:val="28"/>
        </w:rPr>
      </w:pPr>
      <w:r>
        <w:rPr>
          <w:rFonts w:ascii="Arial Narrow;sans-serif" w:hAnsi="Arial Narrow;sans-serif"/>
          <w:b/>
          <w:color w:val="000000"/>
          <w:sz w:val="28"/>
        </w:rPr>
        <w:t>FORM S-8</w:t>
      </w:r>
    </w:p>
    <w:p>
      <w:pPr>
        <w:pStyle w:val="TextBody"/>
        <w:bidi w:val="0"/>
        <w:spacing w:lineRule="auto" w:line="288" w:before="120" w:after="283"/>
        <w:jc w:val="center"/>
        <w:rPr>
          <w:rFonts w:ascii="Arial Narrow;sans-serif" w:hAnsi="Arial Narrow;sans-serif"/>
          <w:b/>
          <w:color w:val="000000"/>
          <w:sz w:val="24"/>
        </w:rPr>
      </w:pPr>
      <w:r>
        <w:rPr>
          <w:rFonts w:ascii="Arial Narrow;sans-serif" w:hAnsi="Arial Narrow;sans-serif"/>
          <w:b/>
          <w:color w:val="000000"/>
          <w:sz w:val="24"/>
        </w:rPr>
        <w:t>REGISTRATION STATEMENT UNDER THE SECURITIES ACT OF 1933</w:t>
      </w:r>
    </w:p>
    <w:p>
      <w:pPr>
        <w:pStyle w:val="TextBody"/>
        <w:bidi w:val="0"/>
        <w:spacing w:lineRule="auto" w:line="288" w:before="240" w:after="283"/>
        <w:jc w:val="center"/>
        <w:rPr>
          <w:rFonts w:ascii="Arial Narrow;sans-serif" w:hAnsi="Arial Narrow;sans-serif"/>
          <w:b/>
          <w:color w:val="000000"/>
          <w:sz w:val="40"/>
        </w:rPr>
      </w:pPr>
      <w:r>
        <w:rPr>
          <w:rFonts w:ascii="Arial Narrow;sans-serif" w:hAnsi="Arial Narrow;sans-serif"/>
          <w:b/>
          <w:color w:val="000000"/>
          <w:sz w:val="40"/>
        </w:rPr>
        <w:t>EZCORP, INC.</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p>
      <w:pPr>
        <w:pStyle w:val="TextBody"/>
        <w:bidi w:val="0"/>
        <w:spacing w:lineRule="auto" w:line="288" w:before="240" w:after="283"/>
        <w:jc w:val="left"/>
        <w:rPr/>
      </w:pPr>
      <w:r>
        <w:rPr>
          <w:color w:val="000000"/>
        </w:rPr>
        <w:t>    </w:t>
      </w:r>
      <w:r>
        <w:rPr>
          <w:rFonts w:ascii="Arial Narrow;sans-serif" w:hAnsi="Arial Narrow;sans-serif"/>
          <w:b/>
          <w:color w:val="000000"/>
          <w:sz w:val="20"/>
        </w:rPr>
        <w:t>Delaware</w:t>
      </w:r>
      <w:r>
        <w:rPr>
          <w:color w:val="000000"/>
        </w:rPr>
        <w:t>    </w:t>
      </w:r>
      <w:r>
        <w:rPr>
          <w:rFonts w:ascii="Arial Narrow;sans-serif" w:hAnsi="Arial Narrow;sans-serif"/>
          <w:b/>
          <w:color w:val="000000"/>
          <w:sz w:val="20"/>
        </w:rPr>
        <w:t>74-2540145</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6"/>
        </w:rPr>
        <w:t>(State or other jurisdiction of incorporation or organization)    (I.R.S. Employer Identification No.)</w:t>
      </w:r>
    </w:p>
    <w:p>
      <w:pPr>
        <w:pStyle w:val="TextBody"/>
        <w:bidi w:val="0"/>
        <w:spacing w:lineRule="auto" w:line="288" w:before="120" w:after="283"/>
        <w:jc w:val="left"/>
        <w:rPr>
          <w:color w:val="000000"/>
        </w:rPr>
      </w:pPr>
      <w:r>
        <w:rPr>
          <w:color w:val="000000"/>
        </w:rPr>
        <w:t>    </w:t>
      </w:r>
      <w:r>
        <w:rPr>
          <w:rFonts w:ascii="Arial Narrow;sans-serif" w:hAnsi="Arial Narrow;sans-serif"/>
          <w:b/>
          <w:color w:val="000000"/>
          <w:sz w:val="20"/>
        </w:rPr>
        <w:t>2500 Bee Cave Road, Building One, Suite 200, Rollingwood, Texas    78746</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6"/>
        </w:rPr>
        <w:t>(Address of Principal Executive Offices)    (Zip Code)</w:t>
      </w:r>
    </w:p>
    <w:p>
      <w:pPr>
        <w:pStyle w:val="TextBody"/>
        <w:bidi w:val="0"/>
        <w:spacing w:lineRule="auto" w:line="288" w:before="240" w:after="283"/>
        <w:jc w:val="center"/>
        <w:rPr>
          <w:rFonts w:ascii="Arial Narrow;sans-serif" w:hAnsi="Arial Narrow;sans-serif"/>
          <w:b/>
          <w:color w:val="000000"/>
          <w:sz w:val="28"/>
        </w:rPr>
      </w:pPr>
      <w:r>
        <w:rPr>
          <w:rFonts w:ascii="Arial Narrow;sans-serif" w:hAnsi="Arial Narrow;sans-serif"/>
          <w:b/>
          <w:color w:val="000000"/>
          <w:sz w:val="28"/>
        </w:rPr>
        <w:t>EZCORP, INC. 2022 LONG-TERM INCENTIVE PLAN</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 xml:space="preserve">(Full title of the plan) </w:t>
      </w:r>
    </w:p>
    <w:p>
      <w:pPr>
        <w:pStyle w:val="TextBody"/>
        <w:bidi w:val="0"/>
        <w:spacing w:lineRule="auto" w:line="288" w:before="240" w:after="283"/>
        <w:jc w:val="center"/>
        <w:rPr>
          <w:rFonts w:ascii="Arial Narrow;sans-serif" w:hAnsi="Arial Narrow;sans-serif"/>
          <w:b/>
          <w:color w:val="000000"/>
          <w:sz w:val="20"/>
        </w:rPr>
      </w:pPr>
      <w:r>
        <w:rPr>
          <w:rFonts w:ascii="Arial Narrow;sans-serif" w:hAnsi="Arial Narrow;sans-serif"/>
          <w:b/>
          <w:color w:val="000000"/>
          <w:sz w:val="20"/>
        </w:rPr>
        <w:t>Ellen Bryant</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Chief Legal Officer and Secretary</w:t>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2500 Bee Cave Road, Building One, Suite 200, Rollingwood, Texas 78746</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(Name and address of agent for service)</w:t>
      </w:r>
    </w:p>
    <w:p>
      <w:pPr>
        <w:pStyle w:val="TextBody"/>
        <w:bidi w:val="0"/>
        <w:spacing w:lineRule="auto" w:line="288" w:before="120" w:after="283"/>
        <w:jc w:val="center"/>
        <w:rPr>
          <w:rFonts w:ascii="Arial Narrow;sans-serif" w:hAnsi="Arial Narrow;sans-serif"/>
          <w:b/>
          <w:color w:val="000000"/>
          <w:sz w:val="20"/>
        </w:rPr>
      </w:pPr>
      <w:r>
        <w:rPr>
          <w:rFonts w:ascii="Arial Narrow;sans-serif" w:hAnsi="Arial Narrow;sans-serif"/>
          <w:b/>
          <w:color w:val="000000"/>
          <w:sz w:val="20"/>
        </w:rPr>
        <w:t>(512) 314-3400</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(Telephone number, including area code, of agent for service)</w:t>
      </w:r>
    </w:p>
    <w:p>
      <w:pPr>
        <w:pStyle w:val="TextBody"/>
        <w:bidi w:val="0"/>
        <w:spacing w:lineRule="auto" w:line="288" w:before="240" w:after="283"/>
        <w:jc w:val="left"/>
        <w:rPr>
          <w:rFonts w:ascii="Arial Narrow;sans-serif" w:hAnsi="Arial Narrow;sans-serif"/>
          <w:b w:val="false"/>
          <w:color w:val="000000"/>
          <w:sz w:val="16"/>
        </w:rPr>
      </w:pPr>
      <w:r>
        <w:rPr>
          <w:rFonts w:ascii="Arial Narrow;sans-serif" w:hAnsi="Arial Narrow;sans-serif"/>
          <w:b w:val="false"/>
          <w:color w:val="000000"/>
          <w:sz w:val="16"/>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lineRule="auto" w:line="288" w:before="120" w:after="283"/>
        <w:jc w:val="left"/>
        <w:rPr>
          <w:color w:val="000000"/>
        </w:rPr>
      </w:pPr>
      <w:r>
        <w:rPr>
          <w:color w:val="000000"/>
        </w:rPr>
        <w:t>    </w:t>
      </w:r>
      <w:r>
        <w:rPr>
          <w:rFonts w:ascii="Arial Narrow;sans-serif" w:hAnsi="Arial Narrow;sans-serif"/>
          <w:b w:val="false"/>
          <w:color w:val="000000"/>
          <w:sz w:val="16"/>
        </w:rPr>
        <w:t>Large accelerated filer ☐    Accelerated filer ☒</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6"/>
        </w:rPr>
        <w:t>Non-Accelerated filer ☐    Smaller reporting company ☐</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6"/>
        </w:rPr>
        <w:t>Emerging growth company ☐</w:t>
      </w:r>
    </w:p>
    <w:p>
      <w:pPr>
        <w:pStyle w:val="TextBody"/>
        <w:bidi w:val="0"/>
        <w:spacing w:lineRule="auto" w:line="288" w:before="120" w:after="283"/>
        <w:jc w:val="left"/>
        <w:rPr>
          <w:rFonts w:ascii="Arial Narrow;sans-serif" w:hAnsi="Arial Narrow;sans-serif"/>
          <w:b w:val="false"/>
          <w:color w:val="000000"/>
          <w:sz w:val="16"/>
        </w:rPr>
      </w:pPr>
      <w:r>
        <w:rPr>
          <w:rFonts w:ascii="Arial Narrow;sans-serif" w:hAnsi="Arial Narrow;sans-serif"/>
          <w:b w:val="false"/>
          <w:color w:val="000000"/>
          <w:sz w:val="16"/>
        </w:rPr>
        <w:t>If an emerging growth company, indicate by check mark if the registrant has elected to use the extended transition period for complying with any new or revised financial accounting standards provided pursuant to Section 7(a)(2)(B) of the Securities Act. ☐</w:t>
      </w:r>
    </w:p>
    <w:p>
      <w:pPr>
        <w:pStyle w:val="TextBody"/>
        <w:bidi w:val="0"/>
        <w:spacing w:before="0" w:after="2"/>
        <w:jc w:val="left"/>
        <w:rPr/>
      </w:pPr>
      <w:r>
        <w:rPr/>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19" w:before="0" w:after="2"/>
        <w:jc w:val="left"/>
        <w:rPr>
          <w:rFonts w:ascii="Arial Narrow;sans-serif" w:hAnsi="Arial Narrow;sans-serif"/>
          <w:b w:val="false"/>
          <w:color w:val="000000"/>
          <w:sz w:val="20"/>
        </w:rPr>
      </w:pPr>
      <w:r>
        <w:rPr>
          <w:rFonts w:ascii="Arial Narrow;sans-serif" w:hAnsi="Arial Narrow;sans-serif"/>
          <w:b w:val="false"/>
          <w:color w:val="000000"/>
          <w:sz w:val="20"/>
        </w:rPr>
        <w:t>Pursuant to General Instruction E of Form S-8 (“Registration of Additional Securities”), the Registrant hereby makes the following statement:</w:t>
      </w:r>
    </w:p>
    <w:p>
      <w:pPr>
        <w:pStyle w:val="TextBody"/>
        <w:bidi w:val="0"/>
        <w:spacing w:before="0" w:after="2"/>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On March 4, 2022, the Registrant filed with the Securities and Exchange Commission a Registration Statement on Form S-8 (Registration No. 333-263308) (the “Prior Registration Statement”) relating to shares of the Registrant’s common stock to be issued pursuant to the EZCORP, Inc. 2022 Long-Term Incentive Plan (the “Incentive Plan”), and the Prior Registration Statement is currently effective. This Registration Statement relates to securities (a) of the same class as those to which the Prior Registration Statement relates and (b) to be issued pursuant to the Incentive Plan. The contents of the Prior Registration Statement are incorporated hereby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Item 8 — Exhibits.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exhibits are filed as a part of this Registration Statement:</w:t>
      </w:r>
    </w:p>
    <w:tbl>
      <w:tblPr>
        <w:tblW w:w="6478"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584"/>
        <w:gridCol w:w="1584"/>
        <w:gridCol w:w="224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Exhibit</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color w:val="000000"/>
                <w:sz w:val="20"/>
              </w:rPr>
            </w:pPr>
            <w:r>
              <w:rPr>
                <w:rFonts w:ascii="Arial Narrow;sans-serif" w:hAnsi="Arial Narrow;sans-serif"/>
                <w:b/>
                <w:color w:val="000000"/>
                <w:sz w:val="20"/>
              </w:rPr>
              <w:t>Description</w:t>
            </w:r>
          </w:p>
        </w:tc>
      </w:tr>
      <w:tr>
        <w:trPr/>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19" w:before="0" w:after="2"/>
              <w:jc w:val="left"/>
              <w:rPr/>
            </w:pPr>
            <w:hyperlink w:anchor="exhibit51legalopinionnov20.htm">
              <w:r>
                <w:rPr>
                  <w:rStyle w:val="InternetLink"/>
                  <w:rFonts w:ascii="Arial Narrow;sans-serif" w:hAnsi="Arial Narrow;sans-serif"/>
                  <w:b w:val="false"/>
                  <w:color w:val="0000FF"/>
                  <w:sz w:val="20"/>
                  <w:u w:val="single"/>
                </w:rPr>
                <w:t>Opinion of legal counsel</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19" w:before="0" w:after="2"/>
              <w:jc w:val="left"/>
              <w:rPr/>
            </w:pPr>
            <w:hyperlink w:anchor="exhibit231ezcorpnov2023con.htm">
              <w:r>
                <w:rPr>
                  <w:rStyle w:val="InternetLink"/>
                  <w:rFonts w:ascii="Arial Narrow;sans-serif" w:hAnsi="Arial Narrow;sans-serif"/>
                  <w:b w:val="false"/>
                  <w:color w:val="000080"/>
                  <w:sz w:val="20"/>
                  <w:u w:val="single"/>
                </w:rPr>
                <w:t xml:space="preserve">Consent of BDO USA, </w:t>
              </w:r>
            </w:hyperlink>
            <w:hyperlink w:anchor="exhibit231ezcorpnov2023con.htm">
              <w:r>
                <w:rPr>
                  <w:rStyle w:val="InternetLink"/>
                  <w:rFonts w:ascii="Arial Narrow;sans-serif" w:hAnsi="Arial Narrow;sans-serif"/>
                  <w:b w:val="false"/>
                  <w:color w:val="000080"/>
                  <w:sz w:val="20"/>
                  <w:u w:val="single"/>
                </w:rPr>
                <w:t>P.C.</w:t>
              </w:r>
            </w:hyperlink>
            <w:hyperlink w:anchor="exhibit231ezcorpnov2023con.htm">
              <w:r>
                <w:rPr>
                  <w:rStyle w:val="InternetLink"/>
                  <w:rFonts w:ascii="Arial Narrow;sans-serif" w:hAnsi="Arial Narrow;sans-serif"/>
                  <w:b w:val="false"/>
                  <w:color w:val="000080"/>
                  <w:sz w:val="20"/>
                  <w:u w:val="single"/>
                </w:rPr>
                <w:t>,</w:t>
              </w:r>
            </w:hyperlink>
            <w:hyperlink w:anchor="exhibit231ezcorpnov2023con.htm">
              <w:r>
                <w:rPr>
                  <w:rStyle w:val="InternetLink"/>
                  <w:rFonts w:ascii="Arial Narrow;sans-serif" w:hAnsi="Arial Narrow;sans-serif"/>
                  <w:b w:val="false"/>
                  <w:color w:val="000080"/>
                  <w:sz w:val="20"/>
                  <w:u w:val="single"/>
                </w:rPr>
                <w:t xml:space="preserve"> independent registered public accounting firm</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Consent of legal counsel (included in Exhibit 5.1)</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Power of attorney (set forth on signature page)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319" w:before="0" w:after="2"/>
              <w:jc w:val="left"/>
              <w:rPr/>
            </w:pPr>
            <w:hyperlink w:anchor="exhibit107s-8filingfeetabl.htm">
              <w:r>
                <w:rPr>
                  <w:rStyle w:val="InternetLink"/>
                  <w:rFonts w:ascii="Arial Narrow;sans-serif" w:hAnsi="Arial Narrow;sans-serif"/>
                  <w:b w:val="false"/>
                  <w:color w:val="0000FF"/>
                  <w:sz w:val="20"/>
                  <w:u w:val="single"/>
                </w:rPr>
                <w:t>Filing Fee Table</w:t>
              </w:r>
            </w:hyperlink>
          </w:p>
        </w:tc>
      </w:tr>
    </w:tbl>
    <w:p>
      <w:pPr>
        <w:pStyle w:val="TextBody"/>
        <w:bidi w:val="0"/>
        <w:spacing w:lineRule="auto" w:line="240" w:before="120" w:after="283"/>
        <w:jc w:val="left"/>
        <w:rPr>
          <w:rFonts w:ascii="Arial Narrow;sans-serif" w:hAnsi="Arial Narrow;sans-serif"/>
          <w:b w:val="false"/>
          <w:color w:val="000000"/>
          <w:sz w:val="20"/>
        </w:rPr>
      </w:pPr>
      <w:r>
        <w:rPr>
          <w:rFonts w:ascii="Arial Narrow;sans-serif" w:hAnsi="Arial Narrow;sans-serif"/>
          <w:b w:val="false"/>
          <w:color w:val="000000"/>
          <w:sz w:val="20"/>
        </w:rPr>
        <w:t>*    Filed herewith</w:t>
      </w:r>
    </w:p>
    <w:p>
      <w:pPr>
        <w:pStyle w:val="TextBody"/>
        <w:bidi w:val="0"/>
        <w:spacing w:before="380" w:after="283"/>
        <w:jc w:val="left"/>
        <w:rPr/>
      </w:pPr>
      <w:r>
        <w:rPr/>
      </w:r>
    </w:p>
    <w:p>
      <w:pPr>
        <w:pStyle w:val="TextBody"/>
        <w:bidi w:val="0"/>
        <w:spacing w:before="0" w:after="200"/>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
        <w:jc w:val="center"/>
        <w:rPr>
          <w:rFonts w:ascii="Calibri;sans-serif" w:hAnsi="Calibri;sans-serif"/>
          <w:b/>
          <w:color w:val="000000"/>
          <w:sz w:val="24"/>
        </w:rPr>
      </w:pPr>
      <w:r>
        <w:rPr>
          <w:rFonts w:ascii="Calibri;sans-serif" w:hAnsi="Calibri;sans-serif"/>
          <w:b/>
          <w:color w:val="000000"/>
          <w:sz w:val="24"/>
        </w:rPr>
        <w:t>SIGNATURES</w:t>
      </w:r>
    </w:p>
    <w:p>
      <w:pPr>
        <w:pStyle w:val="TextBody"/>
        <w:bidi w:val="0"/>
        <w:spacing w:lineRule="auto" w:line="288" w:before="200" w:after="283"/>
        <w:jc w:val="left"/>
        <w:rPr/>
      </w:pPr>
      <w:r>
        <w:rPr>
          <w:rFonts w:ascii="Arial Narrow;sans-serif" w:hAnsi="Arial Narrow;sans-serif"/>
          <w:b/>
          <w:color w:val="000000"/>
          <w:sz w:val="20"/>
        </w:rPr>
        <w:t>The Registrant</w:t>
      </w:r>
      <w:r>
        <w:rPr>
          <w:rFonts w:ascii="Arial Narrow;sans-serif" w:hAnsi="Arial Narrow;sans-serif"/>
          <w:b w:val="false"/>
          <w:color w:val="000000"/>
          <w:sz w:val="20"/>
        </w:rPr>
        <w: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Rollingwood, State of Texas, on November 3, 2023.</w:t>
      </w:r>
    </w:p>
    <w:p>
      <w:pPr>
        <w:pStyle w:val="TextBody"/>
        <w:bidi w:val="0"/>
        <w:spacing w:lineRule="auto" w:line="288" w:before="240" w:after="283"/>
        <w:jc w:val="left"/>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360" w:after="283"/>
        <w:jc w:val="left"/>
        <w:rPr/>
      </w:pPr>
      <w:r>
        <w:rPr>
          <w:rFonts w:ascii="Arial Narrow;sans-serif" w:hAnsi="Arial Narrow;sans-serif"/>
          <w:b w:val="false"/>
          <w:color w:val="000000"/>
          <w:sz w:val="20"/>
        </w:rPr>
        <w:t>By:    </w:t>
      </w:r>
      <w:r>
        <w:rPr>
          <w:color w:val="000000"/>
          <w:u w:val="single"/>
        </w:rPr>
        <w:t>    </w:t>
      </w:r>
      <w:r>
        <w:rPr>
          <w:rFonts w:ascii="Arial Narrow;sans-serif" w:hAnsi="Arial Narrow;sans-serif"/>
          <w:b w:val="false"/>
          <w:color w:val="000000"/>
          <w:sz w:val="20"/>
          <w:u w:val="single"/>
        </w:rPr>
        <w:t>/s/ Lachlan P. Given    </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20"/>
        </w:rPr>
        <w:t>Lachlan P. Given,</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20"/>
        </w:rPr>
        <w:t>Chief Executive Officer</w:t>
      </w:r>
    </w:p>
    <w:p>
      <w:pPr>
        <w:pStyle w:val="TextBody"/>
        <w:bidi w:val="0"/>
        <w:spacing w:lineRule="auto" w:line="288" w:before="360" w:after="200"/>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Act of 1933, this registration statement has been signed by the following persons in the capacities and on the dates indicated. Each person whose signature appears below hereby authorizes and appoints Thomas H. Welch, Jr. as his or her attorney-in-fact to sign on his or her behalf individually and in the capacity stated below all amendments and post-effective amendments to this registration statement as that attorney-in-fact may deem necessary or appropriate.</w:t>
      </w:r>
    </w:p>
    <w:tbl>
      <w:tblPr>
        <w:tblW w:w="6683" w:type="dxa"/>
        <w:jc w:val="left"/>
        <w:tblInd w:w="0" w:type="dxa"/>
        <w:tblLayout w:type="fixed"/>
        <w:tblCellMar>
          <w:top w:w="28" w:type="dxa"/>
          <w:left w:w="28" w:type="dxa"/>
          <w:bottom w:w="28" w:type="dxa"/>
          <w:right w:w="28" w:type="dxa"/>
        </w:tblCellMar>
      </w:tblPr>
      <w:tblGrid>
        <w:gridCol w:w="690"/>
        <w:gridCol w:w="606"/>
        <w:gridCol w:w="609"/>
        <w:gridCol w:w="109"/>
        <w:gridCol w:w="109"/>
        <w:gridCol w:w="109"/>
        <w:gridCol w:w="875"/>
        <w:gridCol w:w="875"/>
        <w:gridCol w:w="889"/>
        <w:gridCol w:w="109"/>
        <w:gridCol w:w="109"/>
        <w:gridCol w:w="109"/>
        <w:gridCol w:w="432"/>
        <w:gridCol w:w="432"/>
        <w:gridCol w:w="621"/>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color w:val="000000"/>
                <w:sz w:val="20"/>
              </w:rPr>
            </w:pPr>
            <w:r>
              <w:rPr>
                <w:rFonts w:ascii="Arial Narrow;sans-serif" w:hAnsi="Arial Narrow;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color w:val="000000"/>
                <w:sz w:val="20"/>
              </w:rPr>
            </w:pPr>
            <w:r>
              <w:rPr>
                <w:rFonts w:ascii="Arial Narrow;sans-serif" w:hAnsi="Arial Narrow;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color w:val="000000"/>
                <w:sz w:val="20"/>
              </w:rPr>
            </w:pPr>
            <w:r>
              <w:rPr>
                <w:rFonts w:ascii="Arial Narrow;sans-serif" w:hAnsi="Arial Narrow;sans-serif"/>
                <w:b/>
                <w:color w:val="000000"/>
                <w:sz w:val="20"/>
              </w:rPr>
              <w:t>Date</w:t>
            </w:r>
          </w:p>
        </w:tc>
      </w:tr>
      <w:tr>
        <w:trPr/>
        <w:tc>
          <w:tcPr>
            <w:tcW w:w="19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Lachlan P.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November 3, 2023</w:t>
            </w:r>
          </w:p>
        </w:tc>
      </w:tr>
      <w:tr>
        <w:trPr/>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Timothy K. Jugmans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November 3, 2023</w:t>
            </w:r>
          </w:p>
        </w:tc>
      </w:tr>
      <w:tr>
        <w:trPr/>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Robert J. Hicks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November 3, 2023</w:t>
            </w:r>
          </w:p>
        </w:tc>
      </w:tr>
      <w:tr>
        <w:trPr/>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Robert J. Hicks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Matthew W.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November 3, 2023</w:t>
            </w:r>
          </w:p>
        </w:tc>
      </w:tr>
      <w:tr>
        <w:trPr/>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Matthew W.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Zena Srivatsa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November 3, 2023</w:t>
            </w:r>
          </w:p>
        </w:tc>
      </w:tr>
      <w:tr>
        <w:trPr/>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Zena Srivatsa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Phillip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Chairman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November 3, 2023</w:t>
            </w:r>
          </w:p>
        </w:tc>
      </w:tr>
      <w:tr>
        <w:trPr/>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Phillip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Jason A. Kulas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November 3, 2023</w:t>
            </w:r>
          </w:p>
        </w:tc>
      </w:tr>
      <w:tr>
        <w:trPr/>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Jason A. Kulas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Pablo Lagos Espinosa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November 3, 2023</w:t>
            </w:r>
          </w:p>
        </w:tc>
      </w:tr>
      <w:tr>
        <w:trPr/>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Pablo Lagos Espinosa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Gary L. Tillett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November 3, 2023</w:t>
            </w:r>
          </w:p>
        </w:tc>
      </w:tr>
      <w:tr>
        <w:trPr/>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 Narrow;sans-serif" w:hAnsi="Arial Narrow;sans-serif"/>
                <w:b w:val="false"/>
                <w:color w:val="000000"/>
                <w:sz w:val="20"/>
              </w:rPr>
            </w:pPr>
            <w:r>
              <w:rPr>
                <w:rFonts w:ascii="Arial Narrow;sans-serif" w:hAnsi="Arial Narrow;sans-serif"/>
                <w:b w:val="false"/>
                <w:color w:val="000000"/>
                <w:sz w:val="20"/>
              </w:rPr>
              <w:t>Gary L. Tillett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240"/>
        <w:ind w:left="0" w:right="0" w:firstLine="720"/>
        <w:jc w:val="right"/>
        <w:rPr>
          <w:rFonts w:ascii="Arial Narrow;sans-serif" w:hAnsi="Arial Narrow;sans-serif"/>
          <w:b/>
          <w:color w:val="000000"/>
          <w:sz w:val="28"/>
        </w:rPr>
      </w:pPr>
      <w:r>
        <w:rPr>
          <w:rFonts w:ascii="Arial Narrow;sans-serif" w:hAnsi="Arial Narrow;sans-serif"/>
          <w:b/>
          <w:color w:val="000000"/>
          <w:sz w:val="28"/>
        </w:rPr>
        <w:t>Exhibit 107</w:t>
      </w:r>
    </w:p>
    <w:p>
      <w:pPr>
        <w:pStyle w:val="TextBody"/>
        <w:bidi w:val="0"/>
        <w:spacing w:lineRule="auto" w:line="240" w:before="0" w:after="240"/>
        <w:jc w:val="center"/>
        <w:rPr>
          <w:rFonts w:ascii="Arial Narrow;sans-serif" w:hAnsi="Arial Narrow;sans-serif"/>
          <w:b/>
          <w:color w:val="000000"/>
          <w:sz w:val="28"/>
        </w:rPr>
      </w:pPr>
      <w:r>
        <w:rPr>
          <w:rFonts w:ascii="Arial Narrow;sans-serif" w:hAnsi="Arial Narrow;sans-serif"/>
          <w:b/>
          <w:color w:val="000000"/>
          <w:sz w:val="28"/>
        </w:rPr>
        <w:t>Calculation of Filing Fee Tables</w:t>
      </w:r>
    </w:p>
    <w:p>
      <w:pPr>
        <w:pStyle w:val="TextBody"/>
        <w:bidi w:val="0"/>
        <w:spacing w:lineRule="auto" w:line="240" w:before="0" w:after="0"/>
        <w:jc w:val="center"/>
        <w:rPr>
          <w:rFonts w:ascii="Arial Narrow;sans-serif" w:hAnsi="Arial Narrow;sans-serif"/>
          <w:b/>
          <w:color w:val="000000"/>
          <w:sz w:val="28"/>
        </w:rPr>
      </w:pPr>
      <w:r>
        <w:rPr>
          <w:rFonts w:ascii="Arial Narrow;sans-serif" w:hAnsi="Arial Narrow;sans-serif"/>
          <w:b/>
          <w:color w:val="000000"/>
          <w:sz w:val="28"/>
        </w:rPr>
        <w:t>Form S-8</w:t>
      </w:r>
    </w:p>
    <w:p>
      <w:pPr>
        <w:pStyle w:val="TextBody"/>
        <w:bidi w:val="0"/>
        <w:spacing w:lineRule="auto" w:line="240" w:before="0" w:after="0"/>
        <w:jc w:val="center"/>
        <w:rPr>
          <w:rFonts w:ascii="Arial Narrow;sans-serif" w:hAnsi="Arial Narrow;sans-serif"/>
          <w:b/>
          <w:color w:val="000000"/>
          <w:sz w:val="28"/>
        </w:rPr>
      </w:pPr>
      <w:r>
        <w:rPr>
          <w:rFonts w:ascii="Arial Narrow;sans-serif" w:hAnsi="Arial Narrow;sans-serif"/>
          <w:b/>
          <w:color w:val="000000"/>
          <w:sz w:val="28"/>
        </w:rPr>
        <w:t xml:space="preserve">Registration Statement </w:t>
      </w:r>
    </w:p>
    <w:p>
      <w:pPr>
        <w:pStyle w:val="TextBody"/>
        <w:bidi w:val="0"/>
        <w:spacing w:lineRule="auto" w:line="240" w:before="0" w:after="240"/>
        <w:jc w:val="center"/>
        <w:rPr>
          <w:rFonts w:ascii="Arial Narrow;sans-serif" w:hAnsi="Arial Narrow;sans-serif"/>
          <w:b w:val="false"/>
          <w:color w:val="000000"/>
          <w:sz w:val="16"/>
        </w:rPr>
      </w:pPr>
      <w:r>
        <w:rPr>
          <w:rFonts w:ascii="Arial Narrow;sans-serif" w:hAnsi="Arial Narrow;sans-serif"/>
          <w:b w:val="false"/>
          <w:color w:val="000000"/>
          <w:sz w:val="16"/>
        </w:rPr>
        <w:t>(Form Type)</w:t>
      </w:r>
    </w:p>
    <w:p>
      <w:pPr>
        <w:pStyle w:val="TextBody"/>
        <w:bidi w:val="0"/>
        <w:spacing w:lineRule="auto" w:line="240" w:before="0" w:after="0"/>
        <w:jc w:val="center"/>
        <w:rPr>
          <w:rFonts w:ascii="Arial Narrow;sans-serif" w:hAnsi="Arial Narrow;sans-serif"/>
          <w:b/>
          <w:color w:val="000000"/>
          <w:sz w:val="28"/>
        </w:rPr>
      </w:pPr>
      <w:r>
        <w:rPr>
          <w:rFonts w:ascii="Arial Narrow;sans-serif" w:hAnsi="Arial Narrow;sans-serif"/>
          <w:b/>
          <w:color w:val="000000"/>
          <w:sz w:val="28"/>
        </w:rPr>
        <w:t>EZCORP, INC.</w:t>
      </w:r>
    </w:p>
    <w:p>
      <w:pPr>
        <w:pStyle w:val="TextBody"/>
        <w:bidi w:val="0"/>
        <w:spacing w:lineRule="auto" w:line="240" w:before="0" w:after="24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248"/>
        <w:gridCol w:w="219"/>
        <w:gridCol w:w="220"/>
        <w:gridCol w:w="806"/>
        <w:gridCol w:w="737"/>
        <w:gridCol w:w="705"/>
        <w:gridCol w:w="356"/>
        <w:gridCol w:w="356"/>
        <w:gridCol w:w="358"/>
        <w:gridCol w:w="318"/>
        <w:gridCol w:w="293"/>
        <w:gridCol w:w="294"/>
        <w:gridCol w:w="497"/>
        <w:gridCol w:w="497"/>
        <w:gridCol w:w="499"/>
        <w:gridCol w:w="553"/>
        <w:gridCol w:w="436"/>
        <w:gridCol w:w="438"/>
        <w:gridCol w:w="388"/>
        <w:gridCol w:w="375"/>
        <w:gridCol w:w="376"/>
        <w:gridCol w:w="359"/>
        <w:gridCol w:w="359"/>
        <w:gridCol w:w="518"/>
      </w:tblGrid>
      <w:tr>
        <w:trPr/>
        <w:tc>
          <w:tcPr>
            <w:tcW w:w="2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Table 1 – Newly Registered Securities</w:t>
            </w:r>
          </w:p>
        </w:tc>
      </w:tr>
      <w:tr>
        <w:trPr/>
        <w:tc>
          <w:tcPr>
            <w:tcW w:w="6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4"/>
              </w:rPr>
            </w:pPr>
            <w:r>
              <w:rPr>
                <w:rFonts w:ascii="Arial Narrow;sans-serif" w:hAnsi="Arial Narrow;sans-serif"/>
                <w:b/>
                <w:color w:val="000000"/>
                <w:sz w:val="14"/>
              </w:rPr>
              <w:t>Security Type</w:t>
            </w:r>
          </w:p>
        </w:tc>
        <w:tc>
          <w:tcPr>
            <w:tcW w:w="2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Security Class Title</w:t>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Fee Calculation Rule</w:t>
            </w:r>
          </w:p>
        </w:tc>
        <w:tc>
          <w:tcPr>
            <w:tcW w:w="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20"/>
              <w:jc w:val="center"/>
              <w:rPr>
                <w:rFonts w:ascii="Arial Narrow;sans-serif" w:hAnsi="Arial Narrow;sans-serif"/>
                <w:b/>
                <w:color w:val="000000"/>
                <w:sz w:val="14"/>
              </w:rPr>
            </w:pPr>
            <w:r>
              <w:rPr>
                <w:rFonts w:ascii="Arial Narrow;sans-serif" w:hAnsi="Arial Narrow;sans-serif"/>
                <w:b/>
                <w:color w:val="000000"/>
                <w:sz w:val="14"/>
              </w:rPr>
              <w:t>Amount Registered</w:t>
            </w:r>
          </w:p>
          <w:p>
            <w:pPr>
              <w:pStyle w:val="TableContents"/>
              <w:bidi w:val="0"/>
              <w:spacing w:lineRule="auto" w:line="240" w:before="0" w:after="30"/>
              <w:jc w:val="center"/>
              <w:rPr>
                <w:rFonts w:ascii="Arial Narrow;sans-serif" w:hAnsi="Arial Narrow;sans-serif"/>
                <w:b/>
                <w:color w:val="000000"/>
                <w:sz w:val="14"/>
              </w:rPr>
            </w:pPr>
            <w:r>
              <w:rPr>
                <w:rFonts w:ascii="Arial Narrow;sans-serif" w:hAnsi="Arial Narrow;sans-serif"/>
                <w:b/>
                <w:color w:val="000000"/>
                <w:sz w:val="14"/>
              </w:rPr>
              <w:t>(1)</w:t>
            </w:r>
          </w:p>
        </w:tc>
        <w:tc>
          <w:tcPr>
            <w:tcW w:w="14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Proposed Maximum Offering Price Per Unit (2)</w:t>
            </w:r>
          </w:p>
        </w:tc>
        <w:tc>
          <w:tcPr>
            <w:tcW w:w="14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Maximum Aggregate Offering Price (2)</w:t>
            </w:r>
          </w:p>
        </w:tc>
        <w:tc>
          <w:tcPr>
            <w:tcW w:w="11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Fee Rate</w:t>
            </w:r>
          </w:p>
        </w:tc>
        <w:tc>
          <w:tcPr>
            <w:tcW w:w="12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Amount of Registration Fee (2)</w:t>
            </w:r>
          </w:p>
        </w:tc>
      </w:tr>
      <w:tr>
        <w:trPr/>
        <w:tc>
          <w:tcPr>
            <w:tcW w:w="6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Equity</w:t>
            </w:r>
          </w:p>
        </w:tc>
        <w:tc>
          <w:tcPr>
            <w:tcW w:w="2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Class A Non-Voting Common Stock, par value, $0.01 per share</w:t>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Rule 457(c) and 457(h)</w:t>
            </w:r>
          </w:p>
        </w:tc>
        <w:tc>
          <w:tcPr>
            <w:tcW w:w="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1,400,000</w:t>
            </w:r>
          </w:p>
        </w:tc>
        <w:tc>
          <w:tcPr>
            <w:tcW w:w="14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rFonts w:ascii="Arial Narrow;sans-serif" w:hAnsi="Arial Narrow;sans-serif"/>
                <w:b w:val="false"/>
                <w:color w:val="000000"/>
                <w:sz w:val="16"/>
              </w:rPr>
            </w:pPr>
            <w:r>
              <w:rPr>
                <w:rFonts w:ascii="Arial Narrow;sans-serif" w:hAnsi="Arial Narrow;sans-serif"/>
                <w:b w:val="false"/>
                <w:color w:val="000000"/>
                <w:sz w:val="16"/>
              </w:rPr>
              <w:t>$8.19</w:t>
            </w:r>
          </w:p>
        </w:tc>
        <w:tc>
          <w:tcPr>
            <w:tcW w:w="14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$11,466,000</w:t>
            </w:r>
          </w:p>
        </w:tc>
        <w:tc>
          <w:tcPr>
            <w:tcW w:w="11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$147.60 per $1,000,000</w:t>
            </w:r>
          </w:p>
        </w:tc>
        <w:tc>
          <w:tcPr>
            <w:tcW w:w="12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$1,693</w:t>
            </w:r>
          </w:p>
        </w:tc>
      </w:tr>
      <w:tr>
        <w:trPr/>
        <w:tc>
          <w:tcPr>
            <w:tcW w:w="29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Offering Amounts</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$11,466,000</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$1,693</w:t>
            </w:r>
          </w:p>
        </w:tc>
      </w:tr>
      <w:tr>
        <w:trPr/>
        <w:tc>
          <w:tcPr>
            <w:tcW w:w="29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Fee Offsets</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9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Fee Due</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$1,693</w:t>
            </w:r>
          </w:p>
        </w:tc>
      </w:tr>
    </w:tbl>
    <w:p>
      <w:pPr>
        <w:pStyle w:val="TextBody"/>
        <w:bidi w:val="0"/>
        <w:spacing w:lineRule="auto" w:line="333" w:before="2" w:after="20"/>
        <w:jc w:val="left"/>
        <w:rPr>
          <w:color w:val="000000"/>
        </w:rPr>
      </w:pPr>
      <w:r>
        <w:rPr>
          <w:color w:val="000000"/>
        </w:rPr>
        <w:t>    </w:t>
      </w:r>
    </w:p>
    <w:p>
      <w:pPr>
        <w:pStyle w:val="TextBody"/>
        <w:bidi w:val="0"/>
        <w:spacing w:lineRule="auto" w:line="333" w:before="0" w:after="6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    Pursuant to Rule 416, this Registration Statement shall be deemed to cover such additional shares of Class A Non-Voting Common Stock as may become issuable pursuant to the antidilution provisions of the 2022 Long-Term Incentive Plan.</w:t>
      </w:r>
    </w:p>
    <w:p>
      <w:pPr>
        <w:pStyle w:val="TextBody"/>
        <w:bidi w:val="0"/>
        <w:spacing w:lineRule="auto" w:line="333" w:before="0" w:after="6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(2)    Estimated solely for purposes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November 01, 2023. </w:t>
      </w:r>
    </w:p>
    <w:p>
      <w:pPr>
        <w:pStyle w:val="TextBody"/>
        <w:bidi w:val="0"/>
        <w:spacing w:before="0" w:after="240"/>
        <w:ind w:left="0" w:right="0" w:firstLine="720"/>
        <w:jc w:val="center"/>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left"/>
        <w:rPr/>
      </w:pPr>
      <w:r>
        <w:rPr/>
        <w:drawing>
          <wp:inline distT="0" distB="0" distL="0" distR="0">
            <wp:extent cx="2286000"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390525"/>
                    </a:xfrm>
                    <a:prstGeom prst="rect">
                      <a:avLst/>
                    </a:prstGeom>
                  </pic:spPr>
                </pic:pic>
              </a:graphicData>
            </a:graphic>
          </wp:inline>
        </w:drawing>
      </w:r>
      <w:r>
        <w:rPr>
          <w:color w:val="000000"/>
        </w:rPr>
        <w:t>    </w:t>
      </w:r>
      <w:r>
        <w:rPr>
          <w:rFonts w:ascii="Calibri;sans-serif" w:hAnsi="Calibri;sans-serif"/>
          <w:b/>
          <w:color w:val="000000"/>
          <w:sz w:val="28"/>
        </w:rPr>
        <w:t>Exhibit 5.1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3" w:before="0" w:after="0"/>
        <w:jc w:val="center"/>
        <w:rPr>
          <w:rFonts w:ascii="Calibri;sans-serif" w:hAnsi="Calibri;sans-serif"/>
          <w:b w:val="false"/>
          <w:color w:val="000000"/>
          <w:sz w:val="22"/>
        </w:rPr>
      </w:pPr>
      <w:r>
        <w:rPr>
          <w:rFonts w:ascii="Calibri;sans-serif" w:hAnsi="Calibri;sans-serif"/>
          <w:b w:val="false"/>
          <w:color w:val="000000"/>
          <w:sz w:val="22"/>
        </w:rPr>
        <w:t>November 3, 2023</w:t>
      </w:r>
    </w:p>
    <w:p>
      <w:pPr>
        <w:pStyle w:val="TextBody"/>
        <w:bidi w:val="0"/>
        <w:spacing w:lineRule="auto" w:line="288" w:before="200" w:after="283"/>
        <w:jc w:val="left"/>
        <w:rPr>
          <w:rFonts w:ascii="Calibri;sans-serif" w:hAnsi="Calibri;sans-serif"/>
          <w:b w:val="false"/>
          <w:color w:val="000000"/>
          <w:sz w:val="22"/>
        </w:rPr>
      </w:pPr>
      <w:r>
        <w:rPr>
          <w:rFonts w:ascii="Calibri;sans-serif" w:hAnsi="Calibri;sans-serif"/>
          <w:b w:val="false"/>
          <w:color w:val="000000"/>
          <w:sz w:val="22"/>
        </w:rPr>
        <w:t>EZCORP, Inc.</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Building One, Suite 200</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2500 Bee Cave Road</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Rollingwood, Texas 78746</w:t>
      </w:r>
    </w:p>
    <w:p>
      <w:pPr>
        <w:pStyle w:val="TextBody"/>
        <w:bidi w:val="0"/>
        <w:spacing w:lineRule="auto" w:line="333" w:before="240" w:after="283"/>
        <w:ind w:left="0" w:right="0" w:firstLine="720"/>
        <w:jc w:val="left"/>
        <w:rPr/>
      </w:pPr>
      <w:r>
        <w:rPr>
          <w:rFonts w:ascii="Calibri;sans-serif" w:hAnsi="Calibri;sans-serif"/>
          <w:b w:val="false"/>
          <w:color w:val="000000"/>
          <w:sz w:val="22"/>
        </w:rPr>
        <w:t>Re:    </w:t>
      </w:r>
      <w:r>
        <w:rPr>
          <w:rFonts w:ascii="Calibri;sans-serif" w:hAnsi="Calibri;sans-serif"/>
          <w:b w:val="false"/>
          <w:color w:val="000000"/>
          <w:sz w:val="22"/>
          <w:u w:val="single"/>
        </w:rPr>
        <w:t>Registration Statement on Form S-8</w:t>
      </w:r>
    </w:p>
    <w:p>
      <w:pPr>
        <w:pStyle w:val="TextBody"/>
        <w:bidi w:val="0"/>
        <w:spacing w:lineRule="auto" w:line="333" w:before="240" w:after="283"/>
        <w:jc w:val="left"/>
        <w:rPr>
          <w:rFonts w:ascii="Calibri;sans-serif" w:hAnsi="Calibri;sans-serif"/>
          <w:b w:val="false"/>
          <w:color w:val="000000"/>
          <w:sz w:val="22"/>
        </w:rPr>
      </w:pPr>
      <w:r>
        <w:rPr>
          <w:rFonts w:ascii="Calibri;sans-serif" w:hAnsi="Calibri;sans-serif"/>
          <w:b w:val="false"/>
          <w:color w:val="000000"/>
          <w:sz w:val="22"/>
        </w:rPr>
        <w:t>Ladies and Gentlemen:</w:t>
      </w:r>
    </w:p>
    <w:p>
      <w:pPr>
        <w:pStyle w:val="TextBody"/>
        <w:bidi w:val="0"/>
        <w:spacing w:lineRule="auto" w:line="288" w:before="160" w:after="283"/>
        <w:jc w:val="left"/>
        <w:rPr>
          <w:rFonts w:ascii="Calibri;sans-serif" w:hAnsi="Calibri;sans-serif"/>
          <w:b w:val="false"/>
          <w:color w:val="000000"/>
          <w:sz w:val="22"/>
        </w:rPr>
      </w:pPr>
      <w:r>
        <w:rPr>
          <w:rFonts w:ascii="Calibri;sans-serif" w:hAnsi="Calibri;sans-serif"/>
          <w:b w:val="false"/>
          <w:color w:val="000000"/>
          <w:sz w:val="22"/>
        </w:rPr>
        <w:t>I am Chief Legal Officer and Secretary for EZCORP, Inc., a Delaware corporation (the “Company”), and have represented the Company in connection with the preparation of the Registration Statement on Form S-8 (the “Registration Statement”) to be filed with the Securities and Exchange Commission in connection with the registration under the Securities Act of 1933 of the offer and sale of 1,400,000 shares of the Company's Class A Non-Voting Common Stock, par value $.01 per share (the “Shares”), that may be issued from time to time pursuant to awards granted under the EZCORP, Inc. 2022 Long-Term Incentive Plan (the “Plan”).</w:t>
      </w:r>
    </w:p>
    <w:p>
      <w:pPr>
        <w:pStyle w:val="TextBody"/>
        <w:bidi w:val="0"/>
        <w:spacing w:lineRule="auto" w:line="288" w:before="160" w:after="283"/>
        <w:jc w:val="left"/>
        <w:rPr>
          <w:rFonts w:ascii="Calibri;sans-serif" w:hAnsi="Calibri;sans-serif"/>
          <w:b w:val="false"/>
          <w:color w:val="000000"/>
          <w:sz w:val="22"/>
        </w:rPr>
      </w:pPr>
      <w:r>
        <w:rPr>
          <w:rFonts w:ascii="Calibri;sans-serif" w:hAnsi="Calibri;sans-serif"/>
          <w:b w:val="false"/>
          <w:color w:val="000000"/>
          <w:sz w:val="22"/>
        </w:rPr>
        <w:t>In reaching the opinion set forth herein, I have examined such agreements, certificates of public officials and officers of the Company, records, documents and matters of law as I deemed relevant.</w:t>
      </w:r>
    </w:p>
    <w:p>
      <w:pPr>
        <w:pStyle w:val="TextBody"/>
        <w:bidi w:val="0"/>
        <w:spacing w:lineRule="auto" w:line="288" w:before="160" w:after="283"/>
        <w:jc w:val="left"/>
        <w:rPr>
          <w:rFonts w:ascii="Calibri;sans-serif" w:hAnsi="Calibri;sans-serif"/>
          <w:b w:val="false"/>
          <w:color w:val="000000"/>
          <w:sz w:val="22"/>
        </w:rPr>
      </w:pPr>
      <w:r>
        <w:rPr>
          <w:rFonts w:ascii="Calibri;sans-serif" w:hAnsi="Calibri;sans-serif"/>
          <w:b w:val="false"/>
          <w:color w:val="000000"/>
          <w:sz w:val="22"/>
        </w:rPr>
        <w:t>Based on the foregoing and subject further to the assumptions, exceptions and qualifications hereinafter stated, I am of the opinion that the Shares, when issued in the manner contemplated by the Registration Statement and in accordance with the terms of the Plan and the relevant award agreements, will be legally issued, fully paid and nonassessable.</w:t>
      </w:r>
    </w:p>
    <w:p>
      <w:pPr>
        <w:pStyle w:val="TextBody"/>
        <w:bidi w:val="0"/>
        <w:spacing w:lineRule="auto" w:line="288" w:before="160" w:after="283"/>
        <w:jc w:val="left"/>
        <w:rPr>
          <w:rFonts w:ascii="Calibri;sans-serif" w:hAnsi="Calibri;sans-serif"/>
          <w:b w:val="false"/>
          <w:color w:val="000000"/>
          <w:sz w:val="22"/>
        </w:rPr>
      </w:pPr>
      <w:r>
        <w:rPr>
          <w:rFonts w:ascii="Calibri;sans-serif" w:hAnsi="Calibri;sans-serif"/>
          <w:b w:val="false"/>
          <w:color w:val="000000"/>
          <w:sz w:val="22"/>
        </w:rPr>
        <w:t>In rendering the opinion set forth herein, I have assumed that the Company will receive the full amount and type of consideration (as specified in the Plan and each applicable award agreement) for each of the Shares or will have received that consideration upon the issuance of the Shares pursuant to the applicable award agreement; that such consideration will be in cash, personal property or services already performed; that such consideration will equal or exceed the par value per share of the Shares; that appropriate certificates or other evidence of ownership with respect to the Shares will be properly executed upon each such issuance; and that each grant of an award pursuant to the Plan will be duly authorized.</w:t>
      </w:r>
    </w:p>
    <w:p>
      <w:pPr>
        <w:pStyle w:val="TextBody"/>
        <w:bidi w:val="0"/>
        <w:spacing w:lineRule="auto" w:line="288" w:before="160" w:after="283"/>
        <w:jc w:val="left"/>
        <w:rPr>
          <w:rFonts w:ascii="Calibri;sans-serif" w:hAnsi="Calibri;sans-serif"/>
          <w:b w:val="false"/>
          <w:color w:val="000000"/>
          <w:sz w:val="22"/>
        </w:rPr>
      </w:pPr>
      <w:r>
        <w:rPr>
          <w:rFonts w:ascii="Calibri;sans-serif" w:hAnsi="Calibri;sans-serif"/>
          <w:b w:val="false"/>
          <w:color w:val="000000"/>
          <w:sz w:val="22"/>
        </w:rPr>
        <w:t>The opinion expressed above is limited to the laws of the State of Texas, the Delaware General Corporation Law and the federal laws of the United States of America. I am not admitted to the practice of law in the State of Delaware.</w:t>
      </w:r>
    </w:p>
    <w:p>
      <w:pPr>
        <w:pStyle w:val="TextBody"/>
        <w:bidi w:val="0"/>
        <w:spacing w:lineRule="auto" w:line="288" w:before="160" w:after="283"/>
        <w:jc w:val="left"/>
        <w:rPr>
          <w:rFonts w:ascii="Calibri;sans-serif" w:hAnsi="Calibri;sans-serif"/>
          <w:b w:val="false"/>
          <w:color w:val="000000"/>
          <w:sz w:val="22"/>
        </w:rPr>
      </w:pPr>
      <w:r>
        <w:rPr>
          <w:rFonts w:ascii="Calibri;sans-serif" w:hAnsi="Calibri;sans-serif"/>
          <w:b w:val="false"/>
          <w:color w:val="000000"/>
          <w:sz w:val="22"/>
        </w:rPr>
        <w:t>I hereby consent to the filing of this opinion as an exhibit to the Registration Statement. In giving this consent, I do not thereby admit that I come into the category of persons whose consent is required under Section 7 of the Securities Act of 1933 or the rules and regulations of the Securities and Exchange Commission promulgated thereunder.</w:t>
      </w:r>
    </w:p>
    <w:p>
      <w:pPr>
        <w:pStyle w:val="TextBody"/>
        <w:bidi w:val="0"/>
        <w:spacing w:lineRule="auto" w:line="288" w:before="160" w:after="283"/>
        <w:jc w:val="left"/>
        <w:rPr>
          <w:rFonts w:ascii="Calibri;sans-serif" w:hAnsi="Calibri;sans-serif"/>
          <w:b w:val="false"/>
          <w:color w:val="000000"/>
          <w:sz w:val="22"/>
        </w:rPr>
      </w:pPr>
      <w:r>
        <w:rPr>
          <w:rFonts w:ascii="Calibri;sans-serif" w:hAnsi="Calibri;sans-serif"/>
          <w:b w:val="false"/>
          <w:color w:val="000000"/>
          <w:sz w:val="22"/>
        </w:rPr>
        <w:t>Sincerely,</w:t>
      </w:r>
    </w:p>
    <w:p>
      <w:pPr>
        <w:pStyle w:val="TextBody"/>
        <w:bidi w:val="0"/>
        <w:spacing w:lineRule="auto" w:line="333" w:before="160" w:after="283"/>
        <w:jc w:val="left"/>
        <w:rPr>
          <w:rFonts w:ascii="Calibri;sans-serif" w:hAnsi="Calibri;sans-serif"/>
          <w:b w:val="false"/>
          <w:color w:val="000000"/>
          <w:sz w:val="22"/>
        </w:rPr>
      </w:pPr>
      <w:r>
        <w:rPr>
          <w:rFonts w:ascii="Calibri;sans-serif" w:hAnsi="Calibri;sans-serif"/>
          <w:b w:val="false"/>
          <w:color w:val="000000"/>
          <w:sz w:val="22"/>
        </w:rPr>
        <w:t>/s/ Ellen Bryant</w:t>
      </w:r>
    </w:p>
    <w:p>
      <w:pPr>
        <w:pStyle w:val="TextBody"/>
        <w:bidi w:val="0"/>
        <w:spacing w:lineRule="auto" w:line="288" w:before="160" w:after="283"/>
        <w:jc w:val="left"/>
        <w:rPr>
          <w:rFonts w:ascii="Calibri;sans-serif" w:hAnsi="Calibri;sans-serif"/>
          <w:b w:val="false"/>
          <w:color w:val="000000"/>
          <w:sz w:val="22"/>
        </w:rPr>
      </w:pPr>
      <w:r>
        <w:rPr>
          <w:rFonts w:ascii="Calibri;sans-serif" w:hAnsi="Calibri;sans-serif"/>
          <w:b w:val="false"/>
          <w:color w:val="000000"/>
          <w:sz w:val="22"/>
        </w:rPr>
        <w:t>Ellen Bryant</w:t>
      </w:r>
    </w:p>
    <w:p>
      <w:pPr>
        <w:pStyle w:val="TextBody"/>
        <w:bidi w:val="0"/>
        <w:spacing w:lineRule="auto" w:line="288"/>
        <w:jc w:val="left"/>
        <w:rPr>
          <w:rFonts w:ascii="Calibri;sans-serif" w:hAnsi="Calibri;sans-serif"/>
          <w:b w:val="false"/>
          <w:color w:val="000000"/>
          <w:sz w:val="22"/>
        </w:rPr>
      </w:pPr>
      <w:r>
        <w:rPr>
          <w:rFonts w:ascii="Calibri;sans-serif" w:hAnsi="Calibri;sans-serif"/>
          <w:b w:val="false"/>
          <w:color w:val="000000"/>
          <w:sz w:val="22"/>
        </w:rPr>
        <w:t>Chief Legal Officer and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9700"/>
                <wp:effectExtent l="0" t="0" r="0" b="0"/>
                <wp:wrapNone/>
                <wp:docPr id="6" name="Frame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40" w:before="0" w:after="0"/>
                              <w:jc w:val="center"/>
                              <w:rPr>
                                <w:rFonts w:ascii="Calibri;sans-serif" w:hAnsi="Calibri;sans-serif"/>
                                <w:b/>
                                <w:color w:val="000000"/>
                                <w:sz w:val="18"/>
                              </w:rPr>
                            </w:pPr>
                            <w:r>
                              <w:rPr>
                                <w:rFonts w:ascii="Calibri;sans-serif" w:hAnsi="Calibri;sans-serif"/>
                                <w:b/>
                                <w:color w:val="000000"/>
                                <w:sz w:val="18"/>
                              </w:rPr>
                              <w:t>EZCORP, Inc. 2500 Bee Cave Road Building One, Suite 200 Rollingwood, Texas 78746 (512) 314-3400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color w:val="000000"/>
                          <w:sz w:val="18"/>
                        </w:rPr>
                      </w:pPr>
                      <w:r>
                        <w:rPr>
                          <w:rFonts w:ascii="Calibri;sans-serif" w:hAnsi="Calibri;sans-serif"/>
                          <w:b/>
                          <w:color w:val="000000"/>
                          <w:sz w:val="18"/>
                        </w:rPr>
                        <w:t>EZCORP, Inc. 2500 Bee Cave Road Building One, Suite 200 Rollingwood, Texas 78746 (512) 314-3400</w:t>
                      </w:r>
                    </w:p>
                  </w:txbxContent>
                </v:textbox>
                <w10:wrap type="none"/>
              </v:rect>
            </w:pict>
          </mc:Fallback>
        </mc:AlternateContent>
      </w:r>
    </w:p>
    <w:p>
      <w:pPr>
        <w:pStyle w:val="TextBody"/>
        <w:bidi w:val="0"/>
        <w:spacing w:lineRule="auto" w:line="240" w:before="0" w:after="94"/>
        <w:ind w:left="0" w:right="0" w:hanging="900"/>
        <w:jc w:val="right"/>
        <w:rPr>
          <w:rFonts w:ascii="Arial Narrow;sans-serif" w:hAnsi="Arial Narrow;sans-serif"/>
          <w:b/>
          <w:color w:val="000000"/>
          <w:sz w:val="28"/>
        </w:rPr>
      </w:pPr>
      <w:r>
        <w:rPr>
          <w:rFonts w:ascii="Arial Narrow;sans-serif" w:hAnsi="Arial Narrow;sans-serif"/>
          <w:b/>
          <w:color w:val="000000"/>
          <w:sz w:val="28"/>
        </w:rPr>
        <w:t>Exhibit 23.1</w:t>
      </w:r>
    </w:p>
    <w:p>
      <w:pPr>
        <w:pStyle w:val="TextBody"/>
        <w:bidi w:val="0"/>
        <w:spacing w:before="240" w:after="283"/>
        <w:jc w:val="both"/>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21"/>
          <w:u w:val="single"/>
        </w:rPr>
      </w:pPr>
      <w:r>
        <w:rPr>
          <w:rFonts w:ascii="Arial Narrow;sans-serif" w:hAnsi="Arial Narrow;sans-serif"/>
          <w:b w:val="false"/>
          <w:color w:val="000000"/>
          <w:sz w:val="21"/>
          <w:u w:val="single"/>
        </w:rPr>
        <w:t>Consent of Independent Registered Public Accounting Firm</w:t>
      </w:r>
    </w:p>
    <w:p>
      <w:pPr>
        <w:pStyle w:val="TextBody"/>
        <w:bidi w:val="0"/>
        <w:spacing w:before="240" w:after="283"/>
        <w:jc w:val="both"/>
        <w:rPr/>
      </w:pPr>
      <w:r>
        <w:rPr/>
      </w:r>
    </w:p>
    <w:p>
      <w:pPr>
        <w:pStyle w:val="TextBody"/>
        <w:bidi w:val="0"/>
        <w:spacing w:lineRule="auto" w:line="288" w:before="240" w:after="283"/>
        <w:jc w:val="both"/>
        <w:rPr>
          <w:rFonts w:ascii="Arial Narrow;sans-serif" w:hAnsi="Arial Narrow;sans-serif"/>
          <w:b w:val="false"/>
          <w:color w:val="000000"/>
          <w:sz w:val="21"/>
        </w:rPr>
      </w:pPr>
      <w:r>
        <w:rPr>
          <w:rFonts w:ascii="Arial Narrow;sans-serif" w:hAnsi="Arial Narrow;sans-serif"/>
          <w:b w:val="false"/>
          <w:color w:val="000000"/>
          <w:sz w:val="21"/>
        </w:rPr>
        <w:t>EZCORP, Inc.</w:t>
      </w:r>
    </w:p>
    <w:p>
      <w:pPr>
        <w:pStyle w:val="TextBody"/>
        <w:bidi w:val="0"/>
        <w:spacing w:lineRule="auto" w:line="288" w:before="0" w:after="0"/>
        <w:jc w:val="both"/>
        <w:rPr>
          <w:rFonts w:ascii="Arial Narrow;sans-serif" w:hAnsi="Arial Narrow;sans-serif"/>
          <w:b w:val="false"/>
          <w:color w:val="000000"/>
          <w:sz w:val="21"/>
        </w:rPr>
      </w:pPr>
      <w:r>
        <w:rPr>
          <w:rFonts w:ascii="Arial Narrow;sans-serif" w:hAnsi="Arial Narrow;sans-serif"/>
          <w:b w:val="false"/>
          <w:color w:val="000000"/>
          <w:sz w:val="21"/>
        </w:rPr>
        <w:t>Austin, Texas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1"/>
        </w:rPr>
      </w:pPr>
      <w:r>
        <w:rPr>
          <w:rFonts w:ascii="Arial Narrow;sans-serif" w:hAnsi="Arial Narrow;sans-serif"/>
          <w:b w:val="false"/>
          <w:color w:val="000000"/>
          <w:sz w:val="21"/>
        </w:rPr>
        <w:t>We hereby consent to the incorporation by reference in this Registration Statement of our reports dated November 16, 2022, relating to the consolidated financial statements and the effectiveness of EZCORP, Inc.’s internal control over financial reporting, appearing in the Company’s Annual Report on Form 10-K for the year ended September 30, 2022.</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1"/>
        </w:rPr>
      </w:pPr>
      <w:r>
        <w:rPr>
          <w:rFonts w:ascii="Arial Narrow;sans-serif" w:hAnsi="Arial Narrow;sans-serif"/>
          <w:b w:val="false"/>
          <w:color w:val="000000"/>
          <w:sz w:val="21"/>
        </w:rPr>
        <w:t>/s/ BDO USA, P.C.</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1"/>
        </w:rPr>
      </w:pPr>
      <w:r>
        <w:rPr>
          <w:rFonts w:ascii="Arial Narrow;sans-serif" w:hAnsi="Arial Narrow;sans-serif"/>
          <w:b w:val="false"/>
          <w:color w:val="000000"/>
          <w:sz w:val="21"/>
        </w:rPr>
        <w:t>BDO USA, P.C.</w:t>
      </w:r>
    </w:p>
    <w:p>
      <w:pPr>
        <w:pStyle w:val="TextBody"/>
        <w:bidi w:val="0"/>
        <w:spacing w:lineRule="auto" w:line="288" w:before="0" w:after="0"/>
        <w:jc w:val="both"/>
        <w:rPr>
          <w:rFonts w:ascii="Arial Narrow;sans-serif" w:hAnsi="Arial Narrow;sans-serif"/>
          <w:b w:val="false"/>
          <w:color w:val="000000"/>
          <w:sz w:val="21"/>
        </w:rPr>
      </w:pPr>
      <w:r>
        <w:rPr>
          <w:rFonts w:ascii="Arial Narrow;sans-serif" w:hAnsi="Arial Narrow;sans-serif"/>
          <w:b w:val="false"/>
          <w:color w:val="000000"/>
          <w:sz w:val="21"/>
        </w:rPr>
        <w:t>Dallas, Texas</w:t>
      </w:r>
    </w:p>
    <w:p>
      <w:pPr>
        <w:pStyle w:val="TextBody"/>
        <w:bidi w:val="0"/>
        <w:spacing w:lineRule="auto" w:line="288" w:before="240" w:after="283"/>
        <w:jc w:val="both"/>
        <w:rPr>
          <w:rFonts w:ascii="Arial Narrow;sans-serif" w:hAnsi="Arial Narrow;sans-serif"/>
          <w:b w:val="false"/>
          <w:color w:val="000000"/>
          <w:sz w:val="21"/>
        </w:rPr>
      </w:pPr>
      <w:r>
        <w:rPr>
          <w:rFonts w:ascii="Arial Narrow;sans-serif" w:hAnsi="Arial Narrow;sans-serif"/>
          <w:b w:val="false"/>
          <w:color w:val="000000"/>
          <w:sz w:val="21"/>
        </w:rPr>
        <w:t>November 3, 2023</w:t>
      </w:r>
    </w:p>
    <w:p>
      <w:pPr>
        <w:pStyle w:val="TextBody"/>
        <w:bidi w:val="0"/>
        <w:spacing w:before="240" w:after="283"/>
        <w:jc w:val="both"/>
        <w:rPr/>
      </w:pPr>
      <w:r>
        <w:rPr/>
      </w:r>
    </w:p>
    <w:p>
      <w:pPr>
        <w:pStyle w:val="TextBody"/>
        <w:bidi w:val="0"/>
        <w:spacing w:before="240" w:after="1"/>
        <w:ind w:left="0" w:right="0" w:hanging="4"/>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97585"/>
                <wp:effectExtent l="0" t="0" r="0" b="0"/>
                <wp:wrapNone/>
                <wp:docPr id="7" name="Frame6"/>
                <a:graphic xmlns:a="http://schemas.openxmlformats.org/drawingml/2006/main">
                  <a:graphicData uri="http://schemas.microsoft.com/office/word/2010/wordprocessingShape">
                    <wps:wsp>
                      <wps:cNvSpPr txBox="1"/>
                      <wps:spPr>
                        <a:xfrm>
                          <a:off x="0" y="0"/>
                          <a:ext cx="6480175" cy="99758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left"/>
                              <w:rPr>
                                <w:rFonts w:ascii="Arial;sans-serif" w:hAnsi="Arial;sans-serif"/>
                                <w:b w:val="false"/>
                                <w:color w:val="685040"/>
                                <w:sz w:val="12"/>
                              </w:rPr>
                            </w:pPr>
                            <w:r>
                              <w:rPr>
                                <w:rFonts w:ascii="Arial;sans-serif" w:hAnsi="Arial;sans-serif"/>
                                <w:b w:val="false"/>
                                <w:color w:val="685040"/>
                                <w:sz w:val="12"/>
                              </w:rPr>
                              <w:t>BDO USA, P.C., a Virginia professional corporation, is the U.S. member of BDO International Limited, a UK company limited by guarantee, and forms part of the international BDO network of independent member firms.</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685040"/>
                                <w:sz w:val="12"/>
                              </w:rPr>
                            </w:pPr>
                            <w:r>
                              <w:rPr>
                                <w:rFonts w:ascii="Arial;sans-serif" w:hAnsi="Arial;sans-serif"/>
                                <w:b w:val="false"/>
                                <w:color w:val="685040"/>
                                <w:sz w:val="12"/>
                              </w:rPr>
                              <w:t>BDO is the brand name for the BDO network and for each of the BDO Member Firms.</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left"/>
                        <w:rPr>
                          <w:rFonts w:ascii="Arial;sans-serif" w:hAnsi="Arial;sans-serif"/>
                          <w:b w:val="false"/>
                          <w:color w:val="685040"/>
                          <w:sz w:val="12"/>
                        </w:rPr>
                      </w:pPr>
                      <w:r>
                        <w:rPr>
                          <w:rFonts w:ascii="Arial;sans-serif" w:hAnsi="Arial;sans-serif"/>
                          <w:b w:val="false"/>
                          <w:color w:val="685040"/>
                          <w:sz w:val="12"/>
                        </w:rPr>
                        <w:t>BDO USA, P.C., a Virginia professional corporation, is the U.S. member of BDO International Limited, a UK company limited by guarantee, and forms part of the international BDO network of independent member firms.</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685040"/>
                          <w:sz w:val="12"/>
                        </w:rPr>
                      </w:pPr>
                      <w:r>
                        <w:rPr>
                          <w:rFonts w:ascii="Arial;sans-serif" w:hAnsi="Arial;sans-serif"/>
                          <w:b w:val="false"/>
                          <w:color w:val="685040"/>
                          <w:sz w:val="12"/>
                        </w:rPr>
                        <w:t>BDO is the brand name for the BDO network and for each of the BDO Member Firms.</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1466</Words>
  <Characters>7918</Characters>
  <CharactersWithSpaces>9323</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