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8)*</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EZCORP INC-CL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Inc. (Tax ID: 22-2370029)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jc w:val="center"/>
        <w:ind w:right="7460"/>
        <w:spacing w:after="0"/>
        <w:rPr>
          <w:sz w:val="20"/>
          <w:szCs w:val="20"/>
          <w:color w:val="auto"/>
        </w:rPr>
      </w:pPr>
      <w:r>
        <w:rPr>
          <w:rFonts w:ascii="Arial" w:cs="Arial" w:eastAsia="Arial" w:hAnsi="Arial"/>
          <w:sz w:val="22"/>
          <w:szCs w:val="22"/>
          <w:color w:val="auto"/>
        </w:rPr>
        <w:t>Delaware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720100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720100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720100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1901 Capital Parkway, Austin, TX 78746, United States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760" w:right="5340" w:hanging="874"/>
        <w:spacing w:after="0" w:line="432" w:lineRule="auto"/>
        <w:tabs>
          <w:tab w:leader="none" w:pos="1328" w:val="left"/>
        </w:tabs>
        <w:numPr>
          <w:ilvl w:val="0"/>
          <w:numId w:val="9"/>
        </w:numPr>
        <w:rPr>
          <w:rFonts w:ascii="Arial" w:cs="Arial" w:eastAsia="Arial" w:hAnsi="Arial"/>
          <w:sz w:val="15"/>
          <w:szCs w:val="15"/>
          <w:color w:val="auto"/>
        </w:rPr>
      </w:pPr>
      <w:r>
        <w:rPr>
          <w:rFonts w:ascii="Arial" w:cs="Arial" w:eastAsia="Arial" w:hAnsi="Arial"/>
          <w:sz w:val="15"/>
          <w:szCs w:val="15"/>
          <w:color w:val="auto"/>
        </w:rPr>
        <w:t>Address of Principal Business Office or, if none, Residence 1299 Ocean Avenue, 11th Floor, Santa Monica, CA 90401</w:t>
      </w: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302301106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720100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6.06%</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4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720100 **see Note 1**</w:t>
      </w:r>
    </w:p>
    <w:p>
      <w:pPr>
        <w:spacing w:after="0" w:line="24" w:lineRule="exact"/>
        <w:rPr>
          <w:rFonts w:ascii="Arial" w:cs="Arial" w:eastAsia="Arial" w:hAnsi="Arial"/>
          <w:sz w:val="18"/>
          <w:szCs w:val="18"/>
          <w:color w:val="auto"/>
        </w:rPr>
      </w:pPr>
    </w:p>
    <w:p>
      <w:pPr>
        <w:ind w:left="2500" w:right="632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720100 **see Note 1**</w:t>
      </w:r>
    </w:p>
    <w:p>
      <w:pPr>
        <w:spacing w:after="0" w:line="24" w:lineRule="exact"/>
        <w:rPr>
          <w:rFonts w:ascii="Arial" w:cs="Arial" w:eastAsia="Arial" w:hAnsi="Arial"/>
          <w:sz w:val="18"/>
          <w:szCs w:val="18"/>
          <w:color w:val="auto"/>
        </w:rPr>
      </w:pPr>
    </w:p>
    <w:p>
      <w:pPr>
        <w:ind w:left="2500" w:right="54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9"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Inc.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340"/>
        <w:spacing w:after="0" w:line="253" w:lineRule="auto"/>
        <w:rPr>
          <w:sz w:val="20"/>
          <w:szCs w:val="20"/>
          <w:color w:val="auto"/>
        </w:rPr>
      </w:pPr>
      <w:r>
        <w:rPr>
          <w:rFonts w:ascii="Arial" w:cs="Arial" w:eastAsia="Arial" w:hAnsi="Arial"/>
          <w:sz w:val="18"/>
          <w:szCs w:val="18"/>
          <w:color w:val="auto"/>
        </w:rPr>
        <w:t>All securities reported in this schedule are owned by advisory clients of Dimensional Fund Advisors Inc., no one of which, to the knowledge of Dimensional Fund Advisors, Inc., owns more than 5% of the class. Dimensional Fund Advisors Inc. disclaims beneficial ownership of all such securities.</w:t>
      </w:r>
    </w:p>
    <w:p>
      <w:pPr>
        <w:ind w:left="920" w:right="340" w:hanging="917"/>
        <w:spacing w:after="0" w:line="261"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4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40"/>
          </w:cols>
          <w:pgMar w:left="240" w:top="239" w:right="31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Catherine L. Newell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2020-02-09T01:30:27Z</dcterms:created>
  <dcterms:modified xsi:type="dcterms:W3CDTF">2020-02-09T01:30:27Z</dcterms:modified>
</cp:coreProperties>
</file>