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303" w:lineRule="exact"/>
        <w:rPr>
          <w:sz w:val="24"/>
          <w:szCs w:val="24"/>
          <w:color w:val="auto"/>
        </w:rPr>
      </w:pPr>
    </w:p>
    <w:p>
      <w:pPr>
        <w:ind w:left="3220"/>
        <w:spacing w:after="0"/>
        <w:rPr>
          <w:sz w:val="20"/>
          <w:szCs w:val="20"/>
          <w:color w:val="auto"/>
        </w:rPr>
      </w:pPr>
      <w:r>
        <w:rPr>
          <w:rFonts w:ascii="Arial" w:cs="Arial" w:eastAsia="Arial" w:hAnsi="Arial"/>
          <w:sz w:val="18"/>
          <w:szCs w:val="18"/>
          <w:color w:val="auto"/>
        </w:rPr>
        <w:t>_______________________________________________________</w:t>
      </w:r>
    </w:p>
    <w:p>
      <w:pPr>
        <w:spacing w:after="0" w:line="77"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91" w:lineRule="exact"/>
        <w:rPr>
          <w:sz w:val="24"/>
          <w:szCs w:val="24"/>
          <w:color w:val="auto"/>
        </w:rPr>
      </w:pPr>
    </w:p>
    <w:p>
      <w:pPr>
        <w:ind w:left="3220"/>
        <w:spacing w:after="0"/>
        <w:rPr>
          <w:sz w:val="20"/>
          <w:szCs w:val="20"/>
          <w:color w:val="auto"/>
        </w:rPr>
      </w:pPr>
      <w:r>
        <w:rPr>
          <w:rFonts w:ascii="Arial" w:cs="Arial" w:eastAsia="Arial" w:hAnsi="Arial"/>
          <w:sz w:val="18"/>
          <w:szCs w:val="18"/>
          <w:color w:val="auto"/>
        </w:rPr>
        <w:t>_______________________________________________________</w:t>
      </w:r>
    </w:p>
    <w:p>
      <w:pPr>
        <w:spacing w:after="0" w:line="365"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CURRENT REPORT</w:t>
      </w:r>
    </w:p>
    <w:p>
      <w:pPr>
        <w:spacing w:after="0" w:line="18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EXCHANGE ACT OF 1934</w:t>
      </w:r>
    </w:p>
    <w:p>
      <w:pPr>
        <w:spacing w:after="0" w:line="14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Date of Report (Date of earliest event reported): May 8, 2019 (May 8, 2019)</w:t>
      </w:r>
    </w:p>
    <w:p>
      <w:pPr>
        <w:spacing w:after="0" w:line="71" w:lineRule="exact"/>
        <w:rPr>
          <w:sz w:val="24"/>
          <w:szCs w:val="24"/>
          <w:color w:val="auto"/>
        </w:rPr>
      </w:pPr>
    </w:p>
    <w:p>
      <w:pPr>
        <w:ind w:left="3600"/>
        <w:spacing w:after="0"/>
        <w:rPr>
          <w:sz w:val="20"/>
          <w:szCs w:val="20"/>
          <w:color w:val="auto"/>
        </w:rPr>
      </w:pPr>
      <w:r>
        <w:rPr>
          <w:rFonts w:ascii="Arial" w:cs="Arial" w:eastAsia="Arial" w:hAnsi="Arial"/>
          <w:sz w:val="18"/>
          <w:szCs w:val="18"/>
          <w:color w:val="auto"/>
        </w:rPr>
        <w:t>_______________________________________________</w:t>
      </w:r>
    </w:p>
    <w:p>
      <w:pPr>
        <w:spacing w:after="0" w:line="75"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EZCORP, Inc.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61" w:lineRule="exact"/>
        <w:rPr>
          <w:sz w:val="24"/>
          <w:szCs w:val="24"/>
          <w:color w:val="auto"/>
        </w:rPr>
      </w:pPr>
    </w:p>
    <w:p>
      <w:pPr>
        <w:ind w:left="3240"/>
        <w:spacing w:after="0"/>
        <w:rPr>
          <w:sz w:val="20"/>
          <w:szCs w:val="20"/>
          <w:color w:val="auto"/>
        </w:rPr>
      </w:pPr>
      <w:r>
        <w:rPr>
          <w:rFonts w:ascii="Arial" w:cs="Arial" w:eastAsia="Arial" w:hAnsi="Arial"/>
          <w:sz w:val="18"/>
          <w:szCs w:val="18"/>
          <w:color w:val="auto"/>
        </w:rPr>
        <w:t>_______________________________________________________</w:t>
      </w:r>
    </w:p>
    <w:p>
      <w:pPr>
        <w:spacing w:after="0" w:line="200" w:lineRule="exact"/>
        <w:rPr>
          <w:sz w:val="24"/>
          <w:szCs w:val="24"/>
          <w:color w:val="auto"/>
        </w:rPr>
      </w:pPr>
    </w:p>
    <w:p>
      <w:pPr>
        <w:spacing w:after="0" w:line="251" w:lineRule="exact"/>
        <w:rPr>
          <w:sz w:val="24"/>
          <w:szCs w:val="24"/>
          <w:color w:val="auto"/>
        </w:rPr>
      </w:pPr>
    </w:p>
    <w:tbl>
      <w:tblPr>
        <w:tblLayout w:type="fixed"/>
        <w:tblInd w:w="1020" w:type="dxa"/>
        <w:tblCellMar>
          <w:top w:w="0" w:type="dxa"/>
          <w:left w:w="0" w:type="dxa"/>
          <w:bottom w:w="0" w:type="dxa"/>
          <w:right w:w="0" w:type="dxa"/>
        </w:tblCellMar>
      </w:tblPr>
      <w:tr>
        <w:trPr>
          <w:trHeight w:val="234"/>
        </w:trPr>
        <w:tc>
          <w:tcPr>
            <w:tcW w:w="1860" w:type="dxa"/>
            <w:vAlign w:val="bottom"/>
          </w:tcPr>
          <w:p>
            <w:pPr>
              <w:jc w:val="center"/>
              <w:ind w:right="142"/>
              <w:spacing w:after="0"/>
              <w:rPr>
                <w:sz w:val="20"/>
                <w:szCs w:val="20"/>
                <w:color w:val="auto"/>
              </w:rPr>
            </w:pPr>
            <w:r>
              <w:rPr>
                <w:rFonts w:ascii="Arial" w:cs="Arial" w:eastAsia="Arial" w:hAnsi="Arial"/>
                <w:sz w:val="18"/>
                <w:szCs w:val="18"/>
                <w:b w:val="1"/>
                <w:bCs w:val="1"/>
                <w:color w:val="auto"/>
                <w:w w:val="91"/>
              </w:rPr>
              <w:t>Delaware</w:t>
            </w:r>
          </w:p>
        </w:tc>
        <w:tc>
          <w:tcPr>
            <w:tcW w:w="5780" w:type="dxa"/>
            <w:vAlign w:val="bottom"/>
          </w:tcPr>
          <w:p>
            <w:pPr>
              <w:jc w:val="center"/>
              <w:ind w:right="98"/>
              <w:spacing w:after="0"/>
              <w:rPr>
                <w:sz w:val="20"/>
                <w:szCs w:val="20"/>
                <w:color w:val="auto"/>
              </w:rPr>
            </w:pPr>
            <w:r>
              <w:rPr>
                <w:rFonts w:ascii="Arial" w:cs="Arial" w:eastAsia="Arial" w:hAnsi="Arial"/>
                <w:sz w:val="18"/>
                <w:szCs w:val="18"/>
                <w:b w:val="1"/>
                <w:bCs w:val="1"/>
                <w:color w:val="auto"/>
                <w:w w:val="90"/>
              </w:rPr>
              <w:t>0-19424</w:t>
            </w:r>
          </w:p>
        </w:tc>
        <w:tc>
          <w:tcPr>
            <w:tcW w:w="1440" w:type="dxa"/>
            <w:vAlign w:val="bottom"/>
          </w:tcPr>
          <w:p>
            <w:pPr>
              <w:jc w:val="center"/>
              <w:ind w:left="242"/>
              <w:spacing w:after="0"/>
              <w:rPr>
                <w:sz w:val="20"/>
                <w:szCs w:val="20"/>
                <w:color w:val="auto"/>
              </w:rPr>
            </w:pPr>
            <w:r>
              <w:rPr>
                <w:rFonts w:ascii="Arial" w:cs="Arial" w:eastAsia="Arial" w:hAnsi="Arial"/>
                <w:sz w:val="18"/>
                <w:szCs w:val="18"/>
                <w:b w:val="1"/>
                <w:bCs w:val="1"/>
                <w:color w:val="auto"/>
                <w:w w:val="91"/>
              </w:rPr>
              <w:t>74-2540145</w:t>
            </w:r>
          </w:p>
        </w:tc>
      </w:tr>
      <w:tr>
        <w:trPr>
          <w:trHeight w:val="180"/>
        </w:trPr>
        <w:tc>
          <w:tcPr>
            <w:tcW w:w="1860" w:type="dxa"/>
            <w:vAlign w:val="bottom"/>
          </w:tcPr>
          <w:p>
            <w:pPr>
              <w:jc w:val="center"/>
              <w:ind w:right="142"/>
              <w:spacing w:after="0"/>
              <w:rPr>
                <w:sz w:val="20"/>
                <w:szCs w:val="20"/>
                <w:color w:val="auto"/>
              </w:rPr>
            </w:pPr>
            <w:r>
              <w:rPr>
                <w:rFonts w:ascii="Arial" w:cs="Arial" w:eastAsia="Arial" w:hAnsi="Arial"/>
                <w:sz w:val="14"/>
                <w:szCs w:val="14"/>
                <w:b w:val="1"/>
                <w:bCs w:val="1"/>
                <w:color w:val="auto"/>
                <w:w w:val="93"/>
              </w:rPr>
              <w:t>(State or other jurisdiction</w:t>
            </w:r>
          </w:p>
        </w:tc>
        <w:tc>
          <w:tcPr>
            <w:tcW w:w="5780" w:type="dxa"/>
            <w:vAlign w:val="bottom"/>
          </w:tcPr>
          <w:p>
            <w:pPr>
              <w:jc w:val="center"/>
              <w:ind w:right="118"/>
              <w:spacing w:after="0"/>
              <w:rPr>
                <w:sz w:val="20"/>
                <w:szCs w:val="20"/>
                <w:color w:val="auto"/>
              </w:rPr>
            </w:pPr>
            <w:r>
              <w:rPr>
                <w:rFonts w:ascii="Arial" w:cs="Arial" w:eastAsia="Arial" w:hAnsi="Arial"/>
                <w:sz w:val="14"/>
                <w:szCs w:val="14"/>
                <w:b w:val="1"/>
                <w:bCs w:val="1"/>
                <w:color w:val="auto"/>
                <w:w w:val="92"/>
              </w:rPr>
              <w:t>(Commission</w:t>
            </w:r>
          </w:p>
        </w:tc>
        <w:tc>
          <w:tcPr>
            <w:tcW w:w="1440" w:type="dxa"/>
            <w:vAlign w:val="bottom"/>
          </w:tcPr>
          <w:p>
            <w:pPr>
              <w:jc w:val="center"/>
              <w:ind w:left="242"/>
              <w:spacing w:after="0"/>
              <w:rPr>
                <w:sz w:val="20"/>
                <w:szCs w:val="20"/>
                <w:color w:val="auto"/>
              </w:rPr>
            </w:pPr>
            <w:r>
              <w:rPr>
                <w:rFonts w:ascii="Arial" w:cs="Arial" w:eastAsia="Arial" w:hAnsi="Arial"/>
                <w:sz w:val="14"/>
                <w:szCs w:val="14"/>
                <w:b w:val="1"/>
                <w:bCs w:val="1"/>
                <w:color w:val="auto"/>
                <w:w w:val="96"/>
              </w:rPr>
              <w:t>(IRS Employer</w:t>
            </w:r>
          </w:p>
        </w:tc>
      </w:tr>
      <w:tr>
        <w:trPr>
          <w:trHeight w:val="180"/>
        </w:trPr>
        <w:tc>
          <w:tcPr>
            <w:tcW w:w="1860" w:type="dxa"/>
            <w:vAlign w:val="bottom"/>
          </w:tcPr>
          <w:p>
            <w:pPr>
              <w:jc w:val="center"/>
              <w:ind w:right="142"/>
              <w:spacing w:after="0"/>
              <w:rPr>
                <w:sz w:val="20"/>
                <w:szCs w:val="20"/>
                <w:color w:val="auto"/>
              </w:rPr>
            </w:pPr>
            <w:r>
              <w:rPr>
                <w:rFonts w:ascii="Arial" w:cs="Arial" w:eastAsia="Arial" w:hAnsi="Arial"/>
                <w:sz w:val="14"/>
                <w:szCs w:val="14"/>
                <w:b w:val="1"/>
                <w:bCs w:val="1"/>
                <w:color w:val="auto"/>
                <w:w w:val="92"/>
              </w:rPr>
              <w:t>of incorporation)</w:t>
            </w:r>
          </w:p>
        </w:tc>
        <w:tc>
          <w:tcPr>
            <w:tcW w:w="5780" w:type="dxa"/>
            <w:vAlign w:val="bottom"/>
          </w:tcPr>
          <w:p>
            <w:pPr>
              <w:jc w:val="center"/>
              <w:ind w:right="118"/>
              <w:spacing w:after="0"/>
              <w:rPr>
                <w:sz w:val="20"/>
                <w:szCs w:val="20"/>
                <w:color w:val="auto"/>
              </w:rPr>
            </w:pPr>
            <w:r>
              <w:rPr>
                <w:rFonts w:ascii="Arial" w:cs="Arial" w:eastAsia="Arial" w:hAnsi="Arial"/>
                <w:sz w:val="14"/>
                <w:szCs w:val="14"/>
                <w:b w:val="1"/>
                <w:bCs w:val="1"/>
                <w:color w:val="auto"/>
                <w:w w:val="95"/>
              </w:rPr>
              <w:t>File Number)</w:t>
            </w:r>
          </w:p>
        </w:tc>
        <w:tc>
          <w:tcPr>
            <w:tcW w:w="1440" w:type="dxa"/>
            <w:vAlign w:val="bottom"/>
          </w:tcPr>
          <w:p>
            <w:pPr>
              <w:jc w:val="center"/>
              <w:ind w:left="242"/>
              <w:spacing w:after="0"/>
              <w:rPr>
                <w:sz w:val="20"/>
                <w:szCs w:val="20"/>
                <w:color w:val="auto"/>
              </w:rPr>
            </w:pPr>
            <w:r>
              <w:rPr>
                <w:rFonts w:ascii="Arial" w:cs="Arial" w:eastAsia="Arial" w:hAnsi="Arial"/>
                <w:sz w:val="14"/>
                <w:szCs w:val="14"/>
                <w:b w:val="1"/>
                <w:bCs w:val="1"/>
                <w:color w:val="auto"/>
                <w:w w:val="94"/>
              </w:rPr>
              <w:t>Identification No.)</w:t>
            </w:r>
          </w:p>
        </w:tc>
      </w:tr>
      <w:tr>
        <w:trPr>
          <w:trHeight w:val="212"/>
        </w:trPr>
        <w:tc>
          <w:tcPr>
            <w:tcW w:w="1860" w:type="dxa"/>
            <w:vAlign w:val="bottom"/>
          </w:tcPr>
          <w:p>
            <w:pPr>
              <w:spacing w:after="0"/>
              <w:rPr>
                <w:sz w:val="18"/>
                <w:szCs w:val="18"/>
                <w:color w:val="auto"/>
              </w:rPr>
            </w:pPr>
          </w:p>
        </w:tc>
        <w:tc>
          <w:tcPr>
            <w:tcW w:w="5780" w:type="dxa"/>
            <w:vAlign w:val="bottom"/>
          </w:tcPr>
          <w:p>
            <w:pPr>
              <w:jc w:val="center"/>
              <w:ind w:right="38"/>
              <w:spacing w:after="0"/>
              <w:rPr>
                <w:sz w:val="20"/>
                <w:szCs w:val="20"/>
                <w:color w:val="auto"/>
              </w:rPr>
            </w:pPr>
            <w:r>
              <w:rPr>
                <w:rFonts w:ascii="Arial" w:cs="Arial" w:eastAsia="Arial" w:hAnsi="Arial"/>
                <w:sz w:val="18"/>
                <w:szCs w:val="18"/>
                <w:b w:val="1"/>
                <w:bCs w:val="1"/>
                <w:color w:val="auto"/>
                <w:w w:val="89"/>
              </w:rPr>
              <w:t>2500 Bee Cave Road, Bldg One, Suite 200, Rollingwood, Texas 78746</w:t>
            </w:r>
          </w:p>
        </w:tc>
        <w:tc>
          <w:tcPr>
            <w:tcW w:w="1440" w:type="dxa"/>
            <w:vAlign w:val="bottom"/>
          </w:tcPr>
          <w:p>
            <w:pPr>
              <w:spacing w:after="0"/>
              <w:rPr>
                <w:sz w:val="18"/>
                <w:szCs w:val="18"/>
                <w:color w:val="auto"/>
              </w:rPr>
            </w:pPr>
          </w:p>
        </w:tc>
      </w:tr>
      <w:tr>
        <w:trPr>
          <w:trHeight w:val="186"/>
        </w:trPr>
        <w:tc>
          <w:tcPr>
            <w:tcW w:w="1860" w:type="dxa"/>
            <w:vAlign w:val="bottom"/>
          </w:tcPr>
          <w:p>
            <w:pPr>
              <w:spacing w:after="0"/>
              <w:rPr>
                <w:sz w:val="16"/>
                <w:szCs w:val="16"/>
                <w:color w:val="auto"/>
              </w:rPr>
            </w:pPr>
          </w:p>
        </w:tc>
        <w:tc>
          <w:tcPr>
            <w:tcW w:w="5780" w:type="dxa"/>
            <w:vAlign w:val="bottom"/>
          </w:tcPr>
          <w:p>
            <w:pPr>
              <w:jc w:val="center"/>
              <w:ind w:right="38"/>
              <w:spacing w:after="0"/>
              <w:rPr>
                <w:sz w:val="20"/>
                <w:szCs w:val="20"/>
                <w:color w:val="auto"/>
              </w:rPr>
            </w:pPr>
            <w:r>
              <w:rPr>
                <w:rFonts w:ascii="Arial" w:cs="Arial" w:eastAsia="Arial" w:hAnsi="Arial"/>
                <w:sz w:val="14"/>
                <w:szCs w:val="14"/>
                <w:b w:val="1"/>
                <w:bCs w:val="1"/>
                <w:color w:val="auto"/>
                <w:w w:val="91"/>
              </w:rPr>
              <w:t>(Address of principal executive offices) (zip code)</w:t>
            </w:r>
          </w:p>
        </w:tc>
        <w:tc>
          <w:tcPr>
            <w:tcW w:w="1440" w:type="dxa"/>
            <w:vAlign w:val="bottom"/>
          </w:tcPr>
          <w:p>
            <w:pPr>
              <w:spacing w:after="0"/>
              <w:rPr>
                <w:sz w:val="16"/>
                <w:szCs w:val="16"/>
                <w:color w:val="auto"/>
              </w:rPr>
            </w:pPr>
          </w:p>
        </w:tc>
      </w:tr>
      <w:tr>
        <w:trPr>
          <w:trHeight w:val="377"/>
        </w:trPr>
        <w:tc>
          <w:tcPr>
            <w:tcW w:w="1860" w:type="dxa"/>
            <w:vAlign w:val="bottom"/>
          </w:tcPr>
          <w:p>
            <w:pPr>
              <w:spacing w:after="0"/>
              <w:rPr>
                <w:sz w:val="24"/>
                <w:szCs w:val="24"/>
                <w:color w:val="auto"/>
              </w:rPr>
            </w:pPr>
          </w:p>
        </w:tc>
        <w:tc>
          <w:tcPr>
            <w:tcW w:w="5780" w:type="dxa"/>
            <w:vAlign w:val="bottom"/>
          </w:tcPr>
          <w:p>
            <w:pPr>
              <w:jc w:val="center"/>
              <w:ind w:right="38"/>
              <w:spacing w:after="0"/>
              <w:rPr>
                <w:sz w:val="20"/>
                <w:szCs w:val="20"/>
                <w:color w:val="auto"/>
              </w:rPr>
            </w:pPr>
            <w:r>
              <w:rPr>
                <w:rFonts w:ascii="Arial" w:cs="Arial" w:eastAsia="Arial" w:hAnsi="Arial"/>
                <w:sz w:val="18"/>
                <w:szCs w:val="18"/>
                <w:b w:val="1"/>
                <w:bCs w:val="1"/>
                <w:color w:val="auto"/>
                <w:w w:val="89"/>
              </w:rPr>
              <w:t>Registrant’s telephone number, including area code: (512) 314-3400</w:t>
            </w:r>
          </w:p>
        </w:tc>
        <w:tc>
          <w:tcPr>
            <w:tcW w:w="1440" w:type="dxa"/>
            <w:vAlign w:val="bottom"/>
          </w:tcPr>
          <w:p>
            <w:pPr>
              <w:spacing w:after="0"/>
              <w:rPr>
                <w:sz w:val="24"/>
                <w:szCs w:val="24"/>
                <w:color w:val="auto"/>
              </w:rPr>
            </w:pPr>
          </w:p>
        </w:tc>
      </w:tr>
      <w:tr>
        <w:trPr>
          <w:trHeight w:val="284"/>
        </w:trPr>
        <w:tc>
          <w:tcPr>
            <w:tcW w:w="1860" w:type="dxa"/>
            <w:vAlign w:val="bottom"/>
          </w:tcPr>
          <w:p>
            <w:pPr>
              <w:spacing w:after="0"/>
              <w:rPr>
                <w:sz w:val="24"/>
                <w:szCs w:val="24"/>
                <w:color w:val="auto"/>
              </w:rPr>
            </w:pPr>
          </w:p>
        </w:tc>
        <w:tc>
          <w:tcPr>
            <w:tcW w:w="5780" w:type="dxa"/>
            <w:vAlign w:val="bottom"/>
          </w:tcPr>
          <w:p>
            <w:pPr>
              <w:jc w:val="center"/>
              <w:ind w:right="78"/>
              <w:spacing w:after="0"/>
              <w:rPr>
                <w:sz w:val="20"/>
                <w:szCs w:val="20"/>
                <w:color w:val="auto"/>
              </w:rPr>
            </w:pPr>
            <w:r>
              <w:rPr>
                <w:rFonts w:ascii="Arial" w:cs="Arial" w:eastAsia="Arial" w:hAnsi="Arial"/>
                <w:sz w:val="18"/>
                <w:szCs w:val="18"/>
                <w:color w:val="auto"/>
                <w:w w:val="89"/>
              </w:rPr>
              <w:t>_______________________________________________________</w:t>
            </w:r>
          </w:p>
        </w:tc>
        <w:tc>
          <w:tcPr>
            <w:tcW w:w="1440" w:type="dxa"/>
            <w:vAlign w:val="bottom"/>
          </w:tcPr>
          <w:p>
            <w:pPr>
              <w:spacing w:after="0"/>
              <w:rPr>
                <w:sz w:val="24"/>
                <w:szCs w:val="24"/>
                <w:color w:val="auto"/>
              </w:rPr>
            </w:pPr>
          </w:p>
        </w:tc>
      </w:tr>
    </w:tbl>
    <w:p>
      <w:pPr>
        <w:spacing w:after="0" w:line="350" w:lineRule="exact"/>
        <w:rPr>
          <w:sz w:val="24"/>
          <w:szCs w:val="24"/>
          <w:color w:val="auto"/>
        </w:rPr>
      </w:pPr>
    </w:p>
    <w:p>
      <w:pPr>
        <w:ind w:right="10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94" w:lineRule="exact"/>
        <w:rPr>
          <w:sz w:val="24"/>
          <w:szCs w:val="24"/>
          <w:color w:val="auto"/>
        </w:rPr>
      </w:pPr>
    </w:p>
    <w:p>
      <w:pPr>
        <w:ind w:left="620" w:hanging="585"/>
        <w:spacing w:after="0"/>
        <w:tabs>
          <w:tab w:leader="none" w:pos="620" w:val="left"/>
        </w:tabs>
        <w:numPr>
          <w:ilvl w:val="0"/>
          <w:numId w:val="1"/>
        </w:numPr>
        <w:rPr>
          <w:rFonts w:ascii="Arial" w:cs="Arial" w:eastAsia="Arial" w:hAnsi="Arial"/>
          <w:sz w:val="29"/>
          <w:szCs w:val="29"/>
          <w:color w:val="auto"/>
          <w:vertAlign w:val="subscript"/>
        </w:rPr>
      </w:pPr>
      <w:r>
        <w:rPr>
          <w:rFonts w:ascii="Arial" w:cs="Arial" w:eastAsia="Arial" w:hAnsi="Arial"/>
          <w:sz w:val="18"/>
          <w:szCs w:val="18"/>
          <w:color w:val="auto"/>
        </w:rPr>
        <w:t>Written communications pursuant to Rule 425 under the Securities Act (17 CFR 230.425)</w:t>
      </w:r>
    </w:p>
    <w:p>
      <w:pPr>
        <w:spacing w:after="0" w:line="161" w:lineRule="exact"/>
        <w:rPr>
          <w:rFonts w:ascii="Arial" w:cs="Arial" w:eastAsia="Arial" w:hAnsi="Arial"/>
          <w:sz w:val="29"/>
          <w:szCs w:val="29"/>
          <w:color w:val="auto"/>
          <w:vertAlign w:val="subscript"/>
        </w:rPr>
      </w:pPr>
    </w:p>
    <w:p>
      <w:pPr>
        <w:ind w:left="620" w:hanging="585"/>
        <w:spacing w:after="0"/>
        <w:tabs>
          <w:tab w:leader="none" w:pos="620" w:val="left"/>
        </w:tabs>
        <w:numPr>
          <w:ilvl w:val="0"/>
          <w:numId w:val="1"/>
        </w:numPr>
        <w:rPr>
          <w:rFonts w:ascii="Arial" w:cs="Arial" w:eastAsia="Arial" w:hAnsi="Arial"/>
          <w:sz w:val="16"/>
          <w:szCs w:val="16"/>
          <w:color w:val="auto"/>
        </w:rPr>
      </w:pPr>
      <w:r>
        <w:rPr>
          <w:rFonts w:ascii="Arial" w:cs="Arial" w:eastAsia="Arial" w:hAnsi="Arial"/>
          <w:sz w:val="18"/>
          <w:szCs w:val="18"/>
          <w:color w:val="auto"/>
        </w:rPr>
        <w:t>Soliciting material pursuant to Rule 14a-12 under the Exchange Act (17 CFR 240.14a-12)</w:t>
      </w:r>
    </w:p>
    <w:p>
      <w:pPr>
        <w:spacing w:after="0" w:line="184" w:lineRule="exact"/>
        <w:rPr>
          <w:rFonts w:ascii="Arial" w:cs="Arial" w:eastAsia="Arial" w:hAnsi="Arial"/>
          <w:sz w:val="16"/>
          <w:szCs w:val="16"/>
          <w:color w:val="auto"/>
        </w:rPr>
      </w:pPr>
    </w:p>
    <w:p>
      <w:pPr>
        <w:ind w:left="620" w:hanging="585"/>
        <w:spacing w:after="0"/>
        <w:tabs>
          <w:tab w:leader="none" w:pos="620" w:val="left"/>
        </w:tabs>
        <w:numPr>
          <w:ilvl w:val="0"/>
          <w:numId w:val="1"/>
        </w:numPr>
        <w:rPr>
          <w:rFonts w:ascii="Arial" w:cs="Arial" w:eastAsia="Arial" w:hAnsi="Arial"/>
          <w:sz w:val="16"/>
          <w:szCs w:val="16"/>
          <w:color w:val="auto"/>
        </w:rPr>
      </w:pPr>
      <w:r>
        <w:rPr>
          <w:rFonts w:ascii="Arial" w:cs="Arial" w:eastAsia="Arial" w:hAnsi="Arial"/>
          <w:sz w:val="18"/>
          <w:szCs w:val="18"/>
          <w:color w:val="auto"/>
        </w:rPr>
        <w:t>Pre-commencement communications pursuant to Rule 14d-2(b) under the Exchange Act (17 CFR 240.14d-2(b))</w:t>
      </w:r>
    </w:p>
    <w:p>
      <w:pPr>
        <w:spacing w:after="0" w:line="184" w:lineRule="exact"/>
        <w:rPr>
          <w:rFonts w:ascii="Arial" w:cs="Arial" w:eastAsia="Arial" w:hAnsi="Arial"/>
          <w:sz w:val="16"/>
          <w:szCs w:val="16"/>
          <w:color w:val="auto"/>
        </w:rPr>
      </w:pPr>
    </w:p>
    <w:p>
      <w:pPr>
        <w:ind w:left="620" w:hanging="585"/>
        <w:spacing w:after="0"/>
        <w:tabs>
          <w:tab w:leader="none" w:pos="620" w:val="left"/>
        </w:tabs>
        <w:numPr>
          <w:ilvl w:val="0"/>
          <w:numId w:val="1"/>
        </w:numPr>
        <w:rPr>
          <w:rFonts w:ascii="Arial" w:cs="Arial" w:eastAsia="Arial" w:hAnsi="Arial"/>
          <w:sz w:val="16"/>
          <w:szCs w:val="16"/>
          <w:color w:val="auto"/>
        </w:rPr>
      </w:pPr>
      <w:r>
        <w:rPr>
          <w:rFonts w:ascii="Arial" w:cs="Arial" w:eastAsia="Arial" w:hAnsi="Arial"/>
          <w:sz w:val="18"/>
          <w:szCs w:val="18"/>
          <w:color w:val="auto"/>
        </w:rPr>
        <w:t>Pre-commencement communications pursuant to Rule 13e-4(c) under the Exchange Act (17 CFR 240.13e-4(c))</w:t>
      </w:r>
    </w:p>
    <w:p>
      <w:pPr>
        <w:spacing w:after="0" w:line="252"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16" w:lineRule="exact"/>
        <w:rPr>
          <w:sz w:val="24"/>
          <w:szCs w:val="24"/>
          <w:color w:val="auto"/>
        </w:rPr>
      </w:pPr>
    </w:p>
    <w:p>
      <w:pPr>
        <w:ind w:left="8860"/>
        <w:spacing w:after="0"/>
        <w:rPr>
          <w:sz w:val="20"/>
          <w:szCs w:val="20"/>
          <w:color w:val="auto"/>
        </w:rPr>
      </w:pPr>
      <w:r>
        <w:rPr>
          <w:rFonts w:ascii="Arial" w:cs="Arial" w:eastAsia="Arial" w:hAnsi="Arial"/>
          <w:sz w:val="18"/>
          <w:szCs w:val="18"/>
          <w:color w:val="auto"/>
        </w:rPr>
        <w:t xml:space="preserve">Emerging growth company </w:t>
      </w:r>
      <w:r>
        <w:rPr>
          <w:rFonts w:ascii="Arial" w:cs="Arial" w:eastAsia="Arial" w:hAnsi="Arial"/>
          <w:sz w:val="16"/>
          <w:szCs w:val="16"/>
          <w:color w:val="auto"/>
        </w:rPr>
        <w:t>o</w:t>
      </w:r>
    </w:p>
    <w:p>
      <w:pPr>
        <w:spacing w:after="0" w:line="36" w:lineRule="exact"/>
        <w:rPr>
          <w:sz w:val="24"/>
          <w:szCs w:val="24"/>
          <w:color w:val="auto"/>
        </w:rPr>
      </w:pPr>
    </w:p>
    <w:p>
      <w:pPr>
        <w:spacing w:after="0" w:line="229"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ectPr>
          <w:pgSz w:w="11900" w:h="16838" w:orient="portrait"/>
          <w:cols w:equalWidth="0" w:num="1">
            <w:col w:w="11400"/>
          </w:cols>
          <w:pgMar w:left="240" w:top="733" w:right="2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 Results of Operations and Financial Condition</w:t>
      </w:r>
    </w:p>
    <w:p>
      <w:pPr>
        <w:spacing w:after="0" w:line="17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On May 8, 2019, EZCORP, Inc. issued a press release announcing its results of operations and financial condition for the quarter ended March 31, 2019. A copy of that press release is attached as Exhibit 99.1.</w:t>
      </w:r>
    </w:p>
    <w:p>
      <w:pPr>
        <w:spacing w:after="0" w:line="11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In addition to the financial information prepared in conformity with generally accepted accounting principles in the United States of America ("GAAP"), we provide certain other non-GAAP financial information on a constant currency basis ("constant currency") and adjusted basis. We use constant currency results to evaluate our Latin America Pawn operations, which are denominated primarily in Mexican pesos and other Latin American currencies. We believe that presentation of constant currency results is meaningful and useful in understanding the activities and business metrics of our Latin America Pawn operations and reflect an additional way of viewing aspects of our business that, when viewed with GAAP results, provide a more complete understanding of factors and trends affecting our business. We believe that presentation of adjusted results, including adjustments for non-cash interest income and expenses, discrete equity method investment charges, start up and acquisition related costs, reserves related to a refiner, tax effects, and other, are meaningful and useful in understanding the activities and business metrics of our operations exclusive of certain non-core operating variances and other infrequent charges.</w:t>
      </w:r>
    </w:p>
    <w:p>
      <w:pPr>
        <w:spacing w:after="0" w:line="112"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 provide non-GAAP financial information for informational purposes and to enhance understanding of our GAAP consolidated financial statements. Readers should consider the information in addition to, but not instead of or superior to, our financial statements prepared in accordance with GAAP. This non-GAAP financial information may be determined or calculated differently by other companies, limiting the usefulness of those measures for comparative purposes.</w:t>
      </w:r>
    </w:p>
    <w:p>
      <w:pPr>
        <w:spacing w:after="0" w:line="133"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The information set forth under this Item 2.02, including Exhibit 99.1, shall not be deemed “filed” for purposes of Section 18 of the Securities Exchange Act of 1934 or otherwise subject to the liabilities of that section, and shall not be deemed to be incorporated by reference in any filing made by EZCORP under the Securities Act of 1933 or the Securities Exchange Act of 1934.</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7.01 — Regulation FD Disclosure</w:t>
      </w:r>
    </w:p>
    <w:p>
      <w:pPr>
        <w:spacing w:after="0" w:line="17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 xml:space="preserve">A copy of the presentation materials that management will review during the company’s second quarter 2019 earnings conference call (to be held on May 9, 2019) will be posted in the Investor Relations section of the company’s website at </w:t>
      </w:r>
      <w:r>
        <w:rPr>
          <w:rFonts w:ascii="Arial" w:cs="Arial" w:eastAsia="Arial" w:hAnsi="Arial"/>
          <w:sz w:val="18"/>
          <w:szCs w:val="18"/>
          <w:u w:val="single" w:color="auto"/>
          <w:color w:val="0000FF"/>
        </w:rPr>
        <w:t>www.ezcorp.com</w:t>
      </w:r>
      <w:r>
        <w:rPr>
          <w:rFonts w:ascii="Arial" w:cs="Arial" w:eastAsia="Arial" w:hAnsi="Arial"/>
          <w:sz w:val="18"/>
          <w:szCs w:val="18"/>
          <w:color w:val="auto"/>
        </w:rPr>
        <w: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 Financial Statements and Exhibits</w:t>
      </w:r>
    </w:p>
    <w:p>
      <w:pPr>
        <w:spacing w:after="0" w:line="337" w:lineRule="exact"/>
        <w:rPr>
          <w:sz w:val="20"/>
          <w:szCs w:val="20"/>
          <w:color w:val="auto"/>
        </w:rPr>
      </w:pPr>
    </w:p>
    <w:p>
      <w:pPr>
        <w:ind w:left="880" w:hanging="521"/>
        <w:spacing w:after="0"/>
        <w:tabs>
          <w:tab w:leader="none" w:pos="88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198" w:lineRule="exact"/>
        <w:rPr>
          <w:sz w:val="20"/>
          <w:szCs w:val="20"/>
          <w:color w:val="auto"/>
        </w:rPr>
      </w:pPr>
    </w:p>
    <w:p>
      <w:pPr>
        <w:ind w:left="560"/>
        <w:spacing w:after="0"/>
        <w:tabs>
          <w:tab w:leader="none" w:pos="1100" w:val="left"/>
        </w:tabs>
        <w:rPr>
          <w:sz w:val="20"/>
          <w:szCs w:val="20"/>
          <w:color w:val="auto"/>
        </w:rPr>
      </w:pPr>
      <w:r>
        <w:rPr>
          <w:rFonts w:ascii="Arial" w:cs="Arial" w:eastAsia="Arial" w:hAnsi="Arial"/>
          <w:sz w:val="18"/>
          <w:szCs w:val="18"/>
          <w:u w:val="single" w:color="auto"/>
          <w:color w:val="0000FF"/>
        </w:rPr>
        <w:t>99.1</w:t>
      </w:r>
      <w:r>
        <w:rPr>
          <w:sz w:val="20"/>
          <w:szCs w:val="20"/>
          <w:color w:val="auto"/>
        </w:rPr>
        <w:tab/>
      </w:r>
      <w:r>
        <w:rPr>
          <w:rFonts w:ascii="Arial" w:cs="Arial" w:eastAsia="Arial" w:hAnsi="Arial"/>
          <w:sz w:val="16"/>
          <w:szCs w:val="16"/>
          <w:u w:val="single" w:color="auto"/>
          <w:color w:val="0000FF"/>
        </w:rPr>
        <w:t>Press Release, dated May 8, 2019, announcing EZCORP, Inc.’s results of operations and financial condition for the quarter ended March</w:t>
      </w:r>
    </w:p>
    <w:p>
      <w:pPr>
        <w:spacing w:after="0" w:line="23" w:lineRule="exact"/>
        <w:rPr>
          <w:sz w:val="20"/>
          <w:szCs w:val="20"/>
          <w:color w:val="auto"/>
        </w:rPr>
      </w:pPr>
    </w:p>
    <w:p>
      <w:pPr>
        <w:ind w:left="1120"/>
        <w:spacing w:after="0"/>
        <w:rPr>
          <w:sz w:val="20"/>
          <w:szCs w:val="20"/>
          <w:color w:val="auto"/>
        </w:rPr>
      </w:pPr>
      <w:r>
        <w:rPr>
          <w:rFonts w:ascii="Arial" w:cs="Arial" w:eastAsia="Arial" w:hAnsi="Arial"/>
          <w:sz w:val="18"/>
          <w:szCs w:val="18"/>
          <w:u w:val="single" w:color="auto"/>
          <w:color w:val="0000FF"/>
        </w:rPr>
        <w:t>31, 2019.</w:t>
      </w:r>
    </w:p>
    <w:p>
      <w:pPr>
        <w:sectPr>
          <w:pgSz w:w="11900" w:h="16838" w:orient="portrait"/>
          <w:cols w:equalWidth="0" w:num="1">
            <w:col w:w="11400"/>
          </w:cols>
          <w:pgMar w:left="240" w:top="742" w:right="259" w:bottom="1440" w:gutter="0" w:footer="0" w:header="0"/>
        </w:sectPr>
      </w:pPr>
    </w:p>
    <w:bookmarkStart w:id="2" w:name="page3"/>
    <w:bookmarkEnd w:id="2"/>
    <w:p>
      <w:pPr>
        <w:jc w:val="center"/>
        <w:ind w:right="-27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16"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EZCORP, INC.</w:t>
      </w:r>
    </w:p>
    <w:p>
      <w:pPr>
        <w:spacing w:after="0" w:line="185" w:lineRule="exact"/>
        <w:rPr>
          <w:sz w:val="20"/>
          <w:szCs w:val="20"/>
          <w:color w:val="auto"/>
        </w:rPr>
      </w:pPr>
    </w:p>
    <w:p>
      <w:pPr>
        <w:ind w:left="40"/>
        <w:spacing w:after="0"/>
        <w:tabs>
          <w:tab w:leader="none" w:pos="600" w:val="left"/>
          <w:tab w:leader="none" w:pos="6180" w:val="left"/>
          <w:tab w:leader="none" w:pos="6960" w:val="left"/>
        </w:tabs>
        <w:rPr>
          <w:sz w:val="20"/>
          <w:szCs w:val="20"/>
          <w:color w:val="auto"/>
        </w:rPr>
      </w:pPr>
      <w:r>
        <w:rPr>
          <w:rFonts w:ascii="Arial" w:cs="Arial" w:eastAsia="Arial" w:hAnsi="Arial"/>
          <w:sz w:val="18"/>
          <w:szCs w:val="18"/>
          <w:color w:val="auto"/>
        </w:rPr>
        <w:t>Date:</w:t>
        <w:tab/>
        <w:t>May 8,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David McGuire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4413250</wp:posOffset>
            </wp:positionH>
            <wp:positionV relativeFrom="paragraph">
              <wp:posOffset>31750</wp:posOffset>
            </wp:positionV>
            <wp:extent cx="2804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04160" cy="8890"/>
                    </a:xfrm>
                    <a:prstGeom prst="rect">
                      <a:avLst/>
                    </a:prstGeom>
                    <a:noFill/>
                  </pic:spPr>
                </pic:pic>
              </a:graphicData>
            </a:graphic>
          </wp:anchor>
        </w:drawing>
      </w:r>
    </w:p>
    <w:p>
      <w:pPr>
        <w:spacing w:after="0" w:line="57"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David McGuire</w:t>
      </w:r>
    </w:p>
    <w:p>
      <w:pPr>
        <w:spacing w:after="0" w:line="6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Deputy Chief Financial Officer and Chief Accounting</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Officer</w:t>
      </w:r>
    </w:p>
    <w:p>
      <w:pPr>
        <w:sectPr>
          <w:pgSz w:w="11900" w:h="16838" w:orient="portrait"/>
          <w:cols w:equalWidth="0" w:num="1">
            <w:col w:w="11220"/>
          </w:cols>
          <w:pgMar w:left="240" w:top="742" w:right="439" w:bottom="1440" w:gutter="0" w:footer="0" w:header="0"/>
        </w:sectPr>
      </w:pPr>
    </w:p>
    <w:bookmarkStart w:id="3" w:name="page4"/>
    <w:bookmarkEnd w:id="3"/>
    <w:p>
      <w:pPr>
        <w:spacing w:after="0" w:line="2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2781935</wp:posOffset>
            </wp:positionH>
            <wp:positionV relativeFrom="page">
              <wp:posOffset>380365</wp:posOffset>
            </wp:positionV>
            <wp:extent cx="2006600" cy="3517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2006600" cy="3517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25"/>
          <w:szCs w:val="25"/>
          <w:b w:val="1"/>
          <w:bCs w:val="1"/>
          <w:color w:val="auto"/>
        </w:rPr>
        <w:t>EZCORP Reports Second Quarter Fiscal Year 2019 Results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Austin, Texas (May 8, 2019) — </w:t>
      </w:r>
      <w:r>
        <w:rPr>
          <w:rFonts w:ascii="Arial" w:cs="Arial" w:eastAsia="Arial" w:hAnsi="Arial"/>
          <w:sz w:val="18"/>
          <w:szCs w:val="18"/>
          <w:color w:val="auto"/>
        </w:rPr>
        <w:t>EZCORP, Inc. (NASDAQ: EZPW) today announced results for its second quarter ended March 31, 2019.</w:t>
      </w:r>
    </w:p>
    <w:p>
      <w:pPr>
        <w:spacing w:after="0" w:line="180"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All amounts in this release are from EZCORP continuing operations and in conformity with U.S. generally accepted accounting principles ("GAAP") unless otherwise noted.</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Comparisons shown in this release are to the same period in the prior year unless otherwise noted.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HIGHLIGHTS FOR SECOND QUARTER OF FISCAL 2019</w:t>
      </w:r>
    </w:p>
    <w:p>
      <w:pPr>
        <w:spacing w:after="0" w:line="175" w:lineRule="exact"/>
        <w:rPr>
          <w:sz w:val="20"/>
          <w:szCs w:val="20"/>
          <w:color w:val="auto"/>
        </w:rPr>
      </w:pPr>
    </w:p>
    <w:p>
      <w:pPr>
        <w:ind w:left="660" w:right="280" w:hanging="328"/>
        <w:spacing w:after="0" w:line="26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Strong revenue growth, up 6% to $214.7 million, reflects the company's long-standing focus on best meeting customers' need for cash. Growth in pawn loans outstanding (PLO), pawn service charges (PSC) and merchandise sales in U.S. and Latin America pawn segments contributed to improvement in key pawn operating metrics during the quarter.</w:t>
      </w:r>
    </w:p>
    <w:p>
      <w:pPr>
        <w:spacing w:after="0" w:line="127"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color w:val="auto"/>
        </w:rPr>
        <w:t>–   PLO, the most influential driver of revenue and profitability, expanded 9% to $173.1 million, and PSC rose 10% to $81.8 million.</w:t>
      </w:r>
    </w:p>
    <w:p>
      <w:pPr>
        <w:spacing w:after="0" w:line="171"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7"/>
          <w:szCs w:val="17"/>
          <w:color w:val="auto"/>
        </w:rPr>
        <w:t>–   U.S. Pawn segment same store PLO and PSC each rose 5%, driving total ending PLO of $130.6 million and PSC of $61.8 million.</w:t>
      </w:r>
    </w:p>
    <w:p>
      <w:pPr>
        <w:spacing w:after="0" w:line="182" w:lineRule="exact"/>
        <w:rPr>
          <w:rFonts w:ascii="Arial" w:cs="Arial" w:eastAsia="Arial" w:hAnsi="Arial"/>
          <w:sz w:val="18"/>
          <w:szCs w:val="18"/>
          <w:color w:val="auto"/>
        </w:rPr>
      </w:pPr>
    </w:p>
    <w:p>
      <w:pPr>
        <w:ind w:left="1300" w:right="420" w:hanging="324"/>
        <w:spacing w:after="0" w:line="226" w:lineRule="auto"/>
        <w:rPr>
          <w:rFonts w:ascii="Arial" w:cs="Arial" w:eastAsia="Arial" w:hAnsi="Arial"/>
          <w:sz w:val="18"/>
          <w:szCs w:val="18"/>
          <w:color w:val="auto"/>
        </w:rPr>
      </w:pPr>
      <w:r>
        <w:rPr>
          <w:rFonts w:ascii="Arial" w:cs="Arial" w:eastAsia="Arial" w:hAnsi="Arial"/>
          <w:sz w:val="18"/>
          <w:szCs w:val="18"/>
          <w:color w:val="auto"/>
        </w:rPr>
        <w:t>– Latin America Pawn total PLO grew 20% to $42.6 million (up 27% to $44.7 million on a constant currency basis</w:t>
      </w:r>
      <w:r>
        <w:rPr>
          <w:rFonts w:ascii="Arial" w:cs="Arial" w:eastAsia="Arial" w:hAnsi="Arial"/>
          <w:sz w:val="25"/>
          <w:szCs w:val="25"/>
          <w:color w:val="auto"/>
          <w:vertAlign w:val="superscript"/>
        </w:rPr>
        <w:t>1</w:t>
      </w:r>
      <w:r>
        <w:rPr>
          <w:rFonts w:ascii="Arial" w:cs="Arial" w:eastAsia="Arial" w:hAnsi="Arial"/>
          <w:sz w:val="18"/>
          <w:szCs w:val="18"/>
          <w:color w:val="auto"/>
        </w:rPr>
        <w:t>). Same store PLO increased 4% (9% higher on a constant currency basis). PSC rose 33% to $20.0 million (increasing 37% to $20.6 million on a constant currency basis).</w:t>
      </w:r>
    </w:p>
    <w:p>
      <w:pPr>
        <w:spacing w:after="0" w:line="149" w:lineRule="exact"/>
        <w:rPr>
          <w:rFonts w:ascii="Arial" w:cs="Arial" w:eastAsia="Arial" w:hAnsi="Arial"/>
          <w:sz w:val="18"/>
          <w:szCs w:val="18"/>
          <w:color w:val="auto"/>
        </w:rPr>
      </w:pPr>
    </w:p>
    <w:p>
      <w:pPr>
        <w:ind w:left="660" w:right="320" w:hanging="328"/>
        <w:spacing w:after="0" w:line="238" w:lineRule="auto"/>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Income before tax of $5.0 million and diluted earnings per share of $0.06 were each down 71%, impacted by non-cash charges of $6.5 million as well as growth investments and other discrete costs. Excluding those items and adjusting for constant currency, adjusted</w:t>
      </w:r>
      <w:r>
        <w:rPr>
          <w:rFonts w:ascii="Arial" w:cs="Arial" w:eastAsia="Arial" w:hAnsi="Arial"/>
          <w:sz w:val="24"/>
          <w:szCs w:val="24"/>
          <w:color w:val="auto"/>
          <w:vertAlign w:val="superscript"/>
        </w:rPr>
        <w:t>2</w:t>
      </w:r>
      <w:r>
        <w:rPr>
          <w:rFonts w:ascii="Arial" w:cs="Arial" w:eastAsia="Arial" w:hAnsi="Arial"/>
          <w:sz w:val="17"/>
          <w:szCs w:val="17"/>
          <w:color w:val="auto"/>
        </w:rPr>
        <w:t xml:space="preserve"> income before tax was $16.6 million, down 10%, and adjusted diluted earnings per share was flat to the prior-year quarter at $0.22.</w:t>
      </w:r>
    </w:p>
    <w:p>
      <w:pPr>
        <w:spacing w:after="0" w:line="148" w:lineRule="exact"/>
        <w:rPr>
          <w:rFonts w:ascii="Arial" w:cs="Arial" w:eastAsia="Arial" w:hAnsi="Arial"/>
          <w:sz w:val="17"/>
          <w:szCs w:val="17"/>
          <w:color w:val="auto"/>
        </w:rPr>
      </w:pPr>
    </w:p>
    <w:p>
      <w:pPr>
        <w:ind w:left="660" w:hanging="328"/>
        <w:spacing w:after="0" w:line="26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 continued investing to sustain strong competitive advantages, including ongoing progress on developing a new customer-centric digital platform, predictive product and customer analytics, and upgrading its point-of-sale and other systems. Capital and other expenditures related directly to growth initiatives totaled $7.0 million in the quarter.</w:t>
      </w:r>
    </w:p>
    <w:p>
      <w:pPr>
        <w:spacing w:after="0" w:line="127" w:lineRule="exact"/>
        <w:rPr>
          <w:rFonts w:ascii="Arial" w:cs="Arial" w:eastAsia="Arial" w:hAnsi="Arial"/>
          <w:sz w:val="18"/>
          <w:szCs w:val="18"/>
          <w:color w:val="auto"/>
        </w:rPr>
      </w:pPr>
    </w:p>
    <w:p>
      <w:pPr>
        <w:ind w:left="660" w:right="180" w:hanging="328"/>
        <w:spacing w:after="0" w:line="26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Cash and cash equivalents ended the current quarter at $347.8 million, providing liquidity to retire the $195.0 million cash convertible notes due in June 2019 and continue investment in the company's growth. Fiscal year-to-date operating cash flow increased 11% to $50.6 million and the company collected another $14.6 million of principal under the Alpha Credit / Grupo Finmart notes receivable.</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CEO COMMENTARY AND OUTLOOK</w:t>
      </w:r>
    </w:p>
    <w:p>
      <w:pPr>
        <w:spacing w:after="0" w:line="17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Chief Executive Officer Stuart Grimshaw commented, "Fundamental trends remain healthy, with strong PLO growth driving accelerated revenue for the quarter compared to prior year levels. Rising demand for pawn loans and stable yields bode well for the near-term trajectory of PSC, while our proactive investing initiatives centered on digital engagement and data analytics position us well to increasingly differentiate our services and enhance profitable client acquisition and retention over time.</w:t>
      </w:r>
    </w:p>
    <w:p>
      <w:pPr>
        <w:spacing w:after="0" w:line="133"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“As our liquidity and free cash flow continue to build, we maintain financial flexibility to de-lever the balance sheet and enhance our organic growth through incremental acquisitions, assuming our strict strategic and financial criteria are met. We remain committed to delivering accretive, sustainable growth - regardless of the broader economic environment - across multiple avenues to drive long-term shareholder value.”</w:t>
      </w:r>
    </w:p>
    <w:p>
      <w:pPr>
        <w:sectPr>
          <w:pgSz w:w="11900" w:h="16838" w:orient="portrait"/>
          <w:cols w:equalWidth="0" w:num="1">
            <w:col w:w="11420"/>
          </w:cols>
          <w:pgMar w:left="240" w:top="1440"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6180" w:type="dxa"/>
            <w:vAlign w:val="bottom"/>
          </w:tcPr>
          <w:p>
            <w:pPr>
              <w:spacing w:after="0"/>
              <w:rPr>
                <w:sz w:val="20"/>
                <w:szCs w:val="20"/>
                <w:color w:val="auto"/>
              </w:rPr>
            </w:pPr>
            <w:r>
              <w:rPr>
                <w:rFonts w:ascii="Arial" w:cs="Arial" w:eastAsia="Arial" w:hAnsi="Arial"/>
                <w:sz w:val="18"/>
                <w:szCs w:val="18"/>
                <w:b w:val="1"/>
                <w:bCs w:val="1"/>
                <w:color w:val="auto"/>
              </w:rPr>
              <w:t>CONSOLIDATED RESULTS</w:t>
            </w: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418"/>
        </w:trPr>
        <w:tc>
          <w:tcPr>
            <w:tcW w:w="6180" w:type="dxa"/>
            <w:vAlign w:val="bottom"/>
          </w:tcPr>
          <w:p>
            <w:pPr>
              <w:spacing w:after="0"/>
              <w:rPr>
                <w:sz w:val="20"/>
                <w:szCs w:val="20"/>
                <w:color w:val="auto"/>
              </w:rPr>
            </w:pPr>
            <w:r>
              <w:rPr>
                <w:rFonts w:ascii="Arial" w:cs="Arial" w:eastAsia="Arial" w:hAnsi="Arial"/>
                <w:sz w:val="18"/>
                <w:szCs w:val="18"/>
                <w:b w:val="1"/>
                <w:bCs w:val="1"/>
                <w:color w:val="auto"/>
              </w:rPr>
              <w:t>Three Months Ended March 31</w:t>
            </w: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30"/>
        </w:trPr>
        <w:tc>
          <w:tcPr>
            <w:tcW w:w="6180" w:type="dxa"/>
            <w:vAlign w:val="bottom"/>
          </w:tcPr>
          <w:p>
            <w:pPr>
              <w:spacing w:after="0"/>
              <w:rPr>
                <w:sz w:val="20"/>
                <w:szCs w:val="20"/>
                <w:color w:val="auto"/>
              </w:rPr>
            </w:pPr>
            <w:r>
              <w:rPr>
                <w:rFonts w:ascii="Arial" w:cs="Arial" w:eastAsia="Arial" w:hAnsi="Arial"/>
                <w:sz w:val="18"/>
                <w:szCs w:val="18"/>
                <w:i w:val="1"/>
                <w:iCs w:val="1"/>
                <w:color w:val="auto"/>
              </w:rPr>
              <w:t>in thousands, except per share amounts</w:t>
            </w: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405"/>
        </w:trPr>
        <w:tc>
          <w:tcPr>
            <w:tcW w:w="6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0" w:type="dxa"/>
            <w:vAlign w:val="bottom"/>
            <w:gridSpan w:val="5"/>
          </w:tcPr>
          <w:p>
            <w:pPr>
              <w:ind w:left="480"/>
              <w:spacing w:after="0"/>
              <w:rPr>
                <w:sz w:val="20"/>
                <w:szCs w:val="20"/>
                <w:color w:val="auto"/>
              </w:rPr>
            </w:pPr>
            <w:r>
              <w:rPr>
                <w:rFonts w:ascii="Arial" w:cs="Arial" w:eastAsia="Arial" w:hAnsi="Arial"/>
                <w:sz w:val="18"/>
                <w:szCs w:val="18"/>
                <w:b w:val="1"/>
                <w:bCs w:val="1"/>
                <w:color w:val="auto"/>
              </w:rPr>
              <w:t>As Reported</w:t>
            </w:r>
          </w:p>
        </w:tc>
        <w:tc>
          <w:tcPr>
            <w:tcW w:w="260" w:type="dxa"/>
            <w:vAlign w:val="bottom"/>
          </w:tcPr>
          <w:p>
            <w:pPr>
              <w:spacing w:after="0"/>
              <w:rPr>
                <w:sz w:val="24"/>
                <w:szCs w:val="24"/>
                <w:color w:val="auto"/>
              </w:rPr>
            </w:pPr>
          </w:p>
        </w:tc>
        <w:tc>
          <w:tcPr>
            <w:tcW w:w="1340" w:type="dxa"/>
            <w:vAlign w:val="bottom"/>
            <w:gridSpan w:val="3"/>
          </w:tcPr>
          <w:p>
            <w:pPr>
              <w:jc w:val="right"/>
              <w:spacing w:after="0"/>
              <w:rPr>
                <w:sz w:val="20"/>
                <w:szCs w:val="20"/>
                <w:color w:val="auto"/>
              </w:rPr>
            </w:pPr>
            <w:r>
              <w:rPr>
                <w:rFonts w:ascii="Arial" w:cs="Arial" w:eastAsia="Arial" w:hAnsi="Arial"/>
                <w:sz w:val="18"/>
                <w:szCs w:val="18"/>
                <w:b w:val="1"/>
                <w:bCs w:val="1"/>
                <w:color w:val="auto"/>
              </w:rPr>
              <w:t>Adjusted</w:t>
            </w:r>
            <w:r>
              <w:rPr>
                <w:rFonts w:ascii="Arial" w:cs="Arial" w:eastAsia="Arial" w:hAnsi="Arial"/>
                <w:sz w:val="25"/>
                <w:szCs w:val="25"/>
                <w:b w:val="1"/>
                <w:bCs w:val="1"/>
                <w:color w:val="auto"/>
                <w:vertAlign w:val="superscript"/>
              </w:rPr>
              <w:t>2</w:t>
            </w:r>
          </w:p>
        </w:tc>
        <w:tc>
          <w:tcPr>
            <w:tcW w:w="780" w:type="dxa"/>
            <w:vAlign w:val="bottom"/>
          </w:tcPr>
          <w:p>
            <w:pPr>
              <w:spacing w:after="0"/>
              <w:rPr>
                <w:sz w:val="24"/>
                <w:szCs w:val="24"/>
                <w:color w:val="auto"/>
              </w:rPr>
            </w:pPr>
          </w:p>
        </w:tc>
      </w:tr>
      <w:tr>
        <w:trPr>
          <w:trHeight w:val="237"/>
        </w:trPr>
        <w:tc>
          <w:tcPr>
            <w:tcW w:w="618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44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4"/>
              </w:rPr>
              <w:t>2018</w:t>
            </w:r>
          </w:p>
        </w:tc>
      </w:tr>
      <w:tr>
        <w:trPr>
          <w:trHeight w:val="27"/>
        </w:trPr>
        <w:tc>
          <w:tcPr>
            <w:tcW w:w="61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358"/>
        </w:trPr>
        <w:tc>
          <w:tcPr>
            <w:tcW w:w="6180" w:type="dxa"/>
            <w:vAlign w:val="bottom"/>
          </w:tcPr>
          <w:p>
            <w:pPr>
              <w:ind w:left="40"/>
              <w:spacing w:after="0"/>
              <w:rPr>
                <w:sz w:val="20"/>
                <w:szCs w:val="20"/>
                <w:color w:val="auto"/>
              </w:rPr>
            </w:pPr>
            <w:r>
              <w:rPr>
                <w:rFonts w:ascii="Arial" w:cs="Arial" w:eastAsia="Arial" w:hAnsi="Arial"/>
                <w:sz w:val="18"/>
                <w:szCs w:val="18"/>
                <w:color w:val="auto"/>
              </w:rPr>
              <w:t>Total Revenues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214,730</w:t>
            </w:r>
          </w:p>
        </w:tc>
        <w:tc>
          <w:tcPr>
            <w:tcW w:w="100" w:type="dxa"/>
            <w:vAlign w:val="bottom"/>
          </w:tcPr>
          <w:p>
            <w:pPr>
              <w:spacing w:after="0"/>
              <w:rPr>
                <w:sz w:val="24"/>
                <w:szCs w:val="24"/>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202,398</w:t>
            </w:r>
          </w:p>
        </w:tc>
        <w:tc>
          <w:tcPr>
            <w:tcW w:w="440" w:type="dxa"/>
            <w:vAlign w:val="bottom"/>
          </w:tcPr>
          <w:p>
            <w:pPr>
              <w:spacing w:after="0"/>
              <w:rPr>
                <w:sz w:val="24"/>
                <w:szCs w:val="24"/>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215,028</w:t>
            </w:r>
          </w:p>
        </w:tc>
        <w:tc>
          <w:tcPr>
            <w:tcW w:w="100" w:type="dxa"/>
            <w:vAlign w:val="bottom"/>
          </w:tcPr>
          <w:p>
            <w:pPr>
              <w:spacing w:after="0"/>
              <w:rPr>
                <w:sz w:val="24"/>
                <w:szCs w:val="24"/>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202,398</w:t>
            </w:r>
          </w:p>
        </w:tc>
      </w:tr>
      <w:tr>
        <w:trPr>
          <w:trHeight w:val="270"/>
        </w:trPr>
        <w:tc>
          <w:tcPr>
            <w:tcW w:w="6180" w:type="dxa"/>
            <w:vAlign w:val="bottom"/>
          </w:tcPr>
          <w:p>
            <w:pPr>
              <w:ind w:left="40"/>
              <w:spacing w:after="0"/>
              <w:rPr>
                <w:sz w:val="20"/>
                <w:szCs w:val="20"/>
                <w:color w:val="auto"/>
              </w:rPr>
            </w:pPr>
            <w:r>
              <w:rPr>
                <w:rFonts w:ascii="Arial" w:cs="Arial" w:eastAsia="Arial" w:hAnsi="Arial"/>
                <w:sz w:val="18"/>
                <w:szCs w:val="18"/>
                <w:color w:val="auto"/>
              </w:rPr>
              <w:t>Income from Continuing Operations, Before Tax</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5,019</w:t>
            </w:r>
          </w:p>
        </w:tc>
        <w:tc>
          <w:tcPr>
            <w:tcW w:w="100" w:type="dxa"/>
            <w:vAlign w:val="bottom"/>
          </w:tcPr>
          <w:p>
            <w:pPr>
              <w:spacing w:after="0"/>
              <w:rPr>
                <w:sz w:val="23"/>
                <w:szCs w:val="23"/>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17,504</w:t>
            </w:r>
          </w:p>
        </w:tc>
        <w:tc>
          <w:tcPr>
            <w:tcW w:w="440" w:type="dxa"/>
            <w:vAlign w:val="bottom"/>
          </w:tcPr>
          <w:p>
            <w:pPr>
              <w:spacing w:after="0"/>
              <w:rPr>
                <w:sz w:val="23"/>
                <w:szCs w:val="23"/>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16,591</w:t>
            </w:r>
          </w:p>
        </w:tc>
        <w:tc>
          <w:tcPr>
            <w:tcW w:w="100" w:type="dxa"/>
            <w:vAlign w:val="bottom"/>
          </w:tcPr>
          <w:p>
            <w:pPr>
              <w:spacing w:after="0"/>
              <w:rPr>
                <w:sz w:val="23"/>
                <w:szCs w:val="23"/>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18,518</w:t>
            </w:r>
          </w:p>
        </w:tc>
      </w:tr>
      <w:tr>
        <w:trPr>
          <w:trHeight w:val="270"/>
        </w:trPr>
        <w:tc>
          <w:tcPr>
            <w:tcW w:w="6180" w:type="dxa"/>
            <w:vAlign w:val="bottom"/>
          </w:tcPr>
          <w:p>
            <w:pPr>
              <w:ind w:left="40"/>
              <w:spacing w:after="0"/>
              <w:rPr>
                <w:sz w:val="20"/>
                <w:szCs w:val="20"/>
                <w:color w:val="auto"/>
              </w:rPr>
            </w:pPr>
            <w:r>
              <w:rPr>
                <w:rFonts w:ascii="Arial" w:cs="Arial" w:eastAsia="Arial" w:hAnsi="Arial"/>
                <w:sz w:val="18"/>
                <w:szCs w:val="18"/>
                <w:color w:val="auto"/>
              </w:rPr>
              <w:t>Net Income from Continuing Operations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2,659</w:t>
            </w:r>
          </w:p>
        </w:tc>
        <w:tc>
          <w:tcPr>
            <w:tcW w:w="100" w:type="dxa"/>
            <w:vAlign w:val="bottom"/>
          </w:tcPr>
          <w:p>
            <w:pPr>
              <w:spacing w:after="0"/>
              <w:rPr>
                <w:sz w:val="23"/>
                <w:szCs w:val="23"/>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11,707</w:t>
            </w:r>
          </w:p>
        </w:tc>
        <w:tc>
          <w:tcPr>
            <w:tcW w:w="440" w:type="dxa"/>
            <w:vAlign w:val="bottom"/>
          </w:tcPr>
          <w:p>
            <w:pPr>
              <w:spacing w:after="0"/>
              <w:rPr>
                <w:sz w:val="23"/>
                <w:szCs w:val="23"/>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11,648</w:t>
            </w:r>
          </w:p>
        </w:tc>
        <w:tc>
          <w:tcPr>
            <w:tcW w:w="100" w:type="dxa"/>
            <w:vAlign w:val="bottom"/>
          </w:tcPr>
          <w:p>
            <w:pPr>
              <w:spacing w:after="0"/>
              <w:rPr>
                <w:sz w:val="23"/>
                <w:szCs w:val="23"/>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12,450</w:t>
            </w:r>
          </w:p>
        </w:tc>
      </w:tr>
      <w:tr>
        <w:trPr>
          <w:trHeight w:val="270"/>
        </w:trPr>
        <w:tc>
          <w:tcPr>
            <w:tcW w:w="6180" w:type="dxa"/>
            <w:vAlign w:val="bottom"/>
          </w:tcPr>
          <w:p>
            <w:pPr>
              <w:ind w:left="40"/>
              <w:spacing w:after="0"/>
              <w:rPr>
                <w:sz w:val="20"/>
                <w:szCs w:val="20"/>
                <w:color w:val="auto"/>
              </w:rPr>
            </w:pPr>
            <w:r>
              <w:rPr>
                <w:rFonts w:ascii="Arial" w:cs="Arial" w:eastAsia="Arial" w:hAnsi="Arial"/>
                <w:sz w:val="18"/>
                <w:szCs w:val="18"/>
                <w:color w:val="auto"/>
              </w:rPr>
              <w:t>Diluted Earnings Per Share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0.06</w:t>
            </w:r>
          </w:p>
        </w:tc>
        <w:tc>
          <w:tcPr>
            <w:tcW w:w="100" w:type="dxa"/>
            <w:vAlign w:val="bottom"/>
          </w:tcPr>
          <w:p>
            <w:pPr>
              <w:spacing w:after="0"/>
              <w:rPr>
                <w:sz w:val="23"/>
                <w:szCs w:val="23"/>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0.21</w:t>
            </w:r>
          </w:p>
        </w:tc>
        <w:tc>
          <w:tcPr>
            <w:tcW w:w="440" w:type="dxa"/>
            <w:vAlign w:val="bottom"/>
          </w:tcPr>
          <w:p>
            <w:pPr>
              <w:spacing w:after="0"/>
              <w:rPr>
                <w:sz w:val="23"/>
                <w:szCs w:val="23"/>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0.22</w:t>
            </w:r>
          </w:p>
        </w:tc>
        <w:tc>
          <w:tcPr>
            <w:tcW w:w="100" w:type="dxa"/>
            <w:vAlign w:val="bottom"/>
          </w:tcPr>
          <w:p>
            <w:pPr>
              <w:spacing w:after="0"/>
              <w:rPr>
                <w:sz w:val="23"/>
                <w:szCs w:val="23"/>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0.22</w:t>
            </w:r>
          </w:p>
        </w:tc>
      </w:tr>
      <w:tr>
        <w:trPr>
          <w:trHeight w:val="368"/>
        </w:trPr>
        <w:tc>
          <w:tcPr>
            <w:tcW w:w="6180" w:type="dxa"/>
            <w:vAlign w:val="bottom"/>
          </w:tcPr>
          <w:p>
            <w:pPr>
              <w:ind w:left="40"/>
              <w:spacing w:after="0"/>
              <w:rPr>
                <w:sz w:val="20"/>
                <w:szCs w:val="20"/>
                <w:color w:val="auto"/>
              </w:rPr>
            </w:pPr>
            <w:r>
              <w:rPr>
                <w:rFonts w:ascii="Arial" w:cs="Arial" w:eastAsia="Arial" w:hAnsi="Arial"/>
                <w:sz w:val="18"/>
                <w:szCs w:val="18"/>
                <w:color w:val="auto"/>
              </w:rPr>
              <w:t>Adjusted EBITDA</w:t>
            </w:r>
            <w:r>
              <w:rPr>
                <w:rFonts w:ascii="Arial" w:cs="Arial" w:eastAsia="Arial" w:hAnsi="Arial"/>
                <w:sz w:val="25"/>
                <w:szCs w:val="25"/>
                <w:color w:val="auto"/>
                <w:vertAlign w:val="superscript"/>
              </w:rPr>
              <w:t>2</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17,494</w:t>
            </w:r>
          </w:p>
        </w:tc>
        <w:tc>
          <w:tcPr>
            <w:tcW w:w="100" w:type="dxa"/>
            <w:vAlign w:val="bottom"/>
          </w:tcPr>
          <w:p>
            <w:pPr>
              <w:spacing w:after="0"/>
              <w:rPr>
                <w:sz w:val="24"/>
                <w:szCs w:val="24"/>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25,516</w:t>
            </w:r>
          </w:p>
        </w:tc>
        <w:tc>
          <w:tcPr>
            <w:tcW w:w="440" w:type="dxa"/>
            <w:vAlign w:val="bottom"/>
          </w:tcPr>
          <w:p>
            <w:pPr>
              <w:spacing w:after="0"/>
              <w:rPr>
                <w:sz w:val="24"/>
                <w:szCs w:val="24"/>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24,586</w:t>
            </w:r>
          </w:p>
        </w:tc>
        <w:tc>
          <w:tcPr>
            <w:tcW w:w="100" w:type="dxa"/>
            <w:vAlign w:val="bottom"/>
          </w:tcPr>
          <w:p>
            <w:pPr>
              <w:spacing w:after="0"/>
              <w:rPr>
                <w:sz w:val="24"/>
                <w:szCs w:val="24"/>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25,272</w:t>
            </w:r>
          </w:p>
        </w:tc>
      </w:tr>
    </w:tbl>
    <w:p>
      <w:pPr>
        <w:spacing w:after="0" w:line="76"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With total revenues up $12.3 million, or 6%, on growth in both pawn service charges and merchandise sales, income from continuing operations before tax decreased $12.5 million from the prior year quarter on a GAAP basis and $1.9 million on an adjusted basis, including the effect of expenses at new and same stores. Included in the unadjusted year-over-year change in results is a $6.5 million non-cash impairment on an equity investment and $0.4 million lower income from this investment, a $3.9 million increase in net interest expense primarily from debt issued in May 2018, the effect of 77 net new and acquired stores that do not yet fully reflect the company’s historical store performance, additional investment in the company’s Evergreen customer-centric digital platform, and other operating and administrative expense growth. While consolidated merchandise sales gross profit increased $0.7 million, related sales margins decreased 130 basis points to 35.8%, reflecting both the effective liquidation of aged general merchandise in U.S. Pawn from 9% to 7% and a greater portion of total sales derived from Latin America, where average margins are lower due to the concentration in general merchandise.</w:t>
      </w:r>
    </w:p>
    <w:p>
      <w:pPr>
        <w:spacing w:after="0" w:line="112" w:lineRule="exact"/>
        <w:rPr>
          <w:sz w:val="20"/>
          <w:szCs w:val="20"/>
          <w:color w:val="auto"/>
        </w:rPr>
      </w:pPr>
    </w:p>
    <w:p>
      <w:pPr>
        <w:ind w:left="660" w:right="60" w:hanging="328"/>
        <w:spacing w:after="0" w:line="264"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Ending and average PLO grew 9%, driving a 10% increase in PSC and a 6% improvement in net revenues to $127.7 million (up 7% to $128.5 million on a constant currency basis). Consolidated merchandise sales gross profit grew 2% to $43.5 million on a 5% rise in merchandise sales. On a constant currency basis, PSC expanded 11% and merchandise sales gross profit improved 2%.</w:t>
      </w:r>
    </w:p>
    <w:p>
      <w:pPr>
        <w:spacing w:after="0" w:line="127" w:lineRule="exact"/>
        <w:rPr>
          <w:rFonts w:ascii="Arial" w:cs="Arial" w:eastAsia="Arial" w:hAnsi="Arial"/>
          <w:sz w:val="18"/>
          <w:szCs w:val="18"/>
          <w:color w:val="auto"/>
        </w:rPr>
      </w:pPr>
    </w:p>
    <w:p>
      <w:pPr>
        <w:ind w:left="660" w:right="40" w:hanging="247"/>
        <w:spacing w:after="0" w:line="257" w:lineRule="auto"/>
        <w:tabs>
          <w:tab w:leader="none" w:pos="660" w:val="left"/>
        </w:tabs>
        <w:numPr>
          <w:ilvl w:val="2"/>
          <w:numId w:val="4"/>
        </w:numPr>
        <w:rPr>
          <w:rFonts w:ascii="Arial" w:cs="Arial" w:eastAsia="Arial" w:hAnsi="Arial"/>
          <w:sz w:val="18"/>
          <w:szCs w:val="18"/>
          <w:color w:val="auto"/>
        </w:rPr>
      </w:pPr>
      <w:r>
        <w:rPr>
          <w:rFonts w:ascii="Arial" w:cs="Arial" w:eastAsia="Arial" w:hAnsi="Arial"/>
          <w:sz w:val="18"/>
          <w:szCs w:val="18"/>
          <w:color w:val="auto"/>
        </w:rPr>
        <w:t>Consolidated operations expenses rose 7% to $88.2 million (up 8% to $88.8 million on a constant currency basis) from a net increase of 74 stores acquired or opened since the prior year quarter (79 new and acquired stores in Latin America net of five closures in the U.S. and Canada) and increases in same stores. Same store operations expense increased 5% primarily due to labor and benefit cost increases, including reduced vacancies, an increase in robbery losses in the period and other smaller items. The company expects operating efficiencies to increasingly take hold as acquired stores are further integrated and new stores season and build scale.</w:t>
      </w:r>
    </w:p>
    <w:p>
      <w:pPr>
        <w:spacing w:after="0" w:line="134" w:lineRule="exact"/>
        <w:rPr>
          <w:rFonts w:ascii="Arial" w:cs="Arial" w:eastAsia="Arial" w:hAnsi="Arial"/>
          <w:sz w:val="18"/>
          <w:szCs w:val="18"/>
          <w:color w:val="auto"/>
        </w:rPr>
      </w:pPr>
    </w:p>
    <w:p>
      <w:pPr>
        <w:ind w:left="660" w:hanging="247"/>
        <w:spacing w:after="0" w:line="264" w:lineRule="auto"/>
        <w:tabs>
          <w:tab w:leader="none" w:pos="660" w:val="left"/>
        </w:tabs>
        <w:numPr>
          <w:ilvl w:val="2"/>
          <w:numId w:val="4"/>
        </w:numPr>
        <w:rPr>
          <w:rFonts w:ascii="Arial" w:cs="Arial" w:eastAsia="Arial" w:hAnsi="Arial"/>
          <w:sz w:val="18"/>
          <w:szCs w:val="18"/>
          <w:color w:val="auto"/>
        </w:rPr>
      </w:pPr>
      <w:r>
        <w:rPr>
          <w:rFonts w:ascii="Arial" w:cs="Arial" w:eastAsia="Arial" w:hAnsi="Arial"/>
          <w:sz w:val="18"/>
          <w:szCs w:val="18"/>
          <w:color w:val="auto"/>
        </w:rPr>
        <w:t>Administrative expense increased 24% to $16.5 million principally as a result of a $1.5 million strategic investment that is not capitalizable related to the development of the Evergreen customer-centric digital platform, which remains pre-revenue. Another $1.0 million related to this project was capitalized in the quarter, based on the nature of the specific work performed.</w:t>
      </w:r>
    </w:p>
    <w:p>
      <w:pPr>
        <w:spacing w:after="0" w:line="127" w:lineRule="exact"/>
        <w:rPr>
          <w:rFonts w:ascii="Arial" w:cs="Arial" w:eastAsia="Arial" w:hAnsi="Arial"/>
          <w:sz w:val="18"/>
          <w:szCs w:val="18"/>
          <w:color w:val="auto"/>
        </w:rPr>
      </w:pPr>
    </w:p>
    <w:p>
      <w:pPr>
        <w:ind w:left="660" w:right="40" w:hanging="247"/>
        <w:spacing w:after="0" w:line="259" w:lineRule="auto"/>
        <w:tabs>
          <w:tab w:leader="none" w:pos="660" w:val="left"/>
        </w:tabs>
        <w:numPr>
          <w:ilvl w:val="2"/>
          <w:numId w:val="4"/>
        </w:numPr>
        <w:rPr>
          <w:rFonts w:ascii="Arial" w:cs="Arial" w:eastAsia="Arial" w:hAnsi="Arial"/>
          <w:sz w:val="18"/>
          <w:szCs w:val="18"/>
          <w:color w:val="auto"/>
        </w:rPr>
      </w:pPr>
      <w:r>
        <w:rPr>
          <w:rFonts w:ascii="Arial" w:cs="Arial" w:eastAsia="Arial" w:hAnsi="Arial"/>
          <w:sz w:val="18"/>
          <w:szCs w:val="18"/>
          <w:color w:val="auto"/>
        </w:rPr>
        <w:t>The company’s global pawn businesses (consisting of U.S. Pawn and Latin America Pawn) generated consolidated segment contribution of $37.9 million, up 18% from the prior year quarter. Included in this is a $0.8 million recovery from a refiner that was fully reserved in the first fiscal quarter of 2019 and a $1.1 million PSC-related indemnification claim settlement from the previous owners of GPMX. On an adjusted basis, consolidated global pawn segment contribution increased 2%, or $0.8 million, to $36.2 million.</w:t>
      </w:r>
    </w:p>
    <w:p>
      <w:pPr>
        <w:spacing w:after="0" w:line="132" w:lineRule="exact"/>
        <w:rPr>
          <w:rFonts w:ascii="Arial" w:cs="Arial" w:eastAsia="Arial" w:hAnsi="Arial"/>
          <w:sz w:val="18"/>
          <w:szCs w:val="18"/>
          <w:color w:val="auto"/>
        </w:rPr>
      </w:pPr>
    </w:p>
    <w:p>
      <w:pPr>
        <w:jc w:val="both"/>
        <w:ind w:left="660" w:right="580" w:hanging="247"/>
        <w:spacing w:after="0" w:line="264" w:lineRule="auto"/>
        <w:tabs>
          <w:tab w:leader="none" w:pos="660" w:val="left"/>
        </w:tabs>
        <w:numPr>
          <w:ilvl w:val="2"/>
          <w:numId w:val="4"/>
        </w:numPr>
        <w:rPr>
          <w:rFonts w:ascii="Arial" w:cs="Arial" w:eastAsia="Arial" w:hAnsi="Arial"/>
          <w:sz w:val="18"/>
          <w:szCs w:val="18"/>
          <w:color w:val="auto"/>
        </w:rPr>
      </w:pPr>
      <w:r>
        <w:rPr>
          <w:rFonts w:ascii="Arial" w:cs="Arial" w:eastAsia="Arial" w:hAnsi="Arial"/>
          <w:sz w:val="18"/>
          <w:szCs w:val="18"/>
          <w:color w:val="auto"/>
        </w:rPr>
        <w:t>Non-cash charges consisted of a $6.5 million impairment to the carrying value of the company's investment in Cash Converters International Limited, an unconsolidated affiliate, based on its share price at the end of the period. The current quarter equity in underlying earnings of this investment decreased $0.4 million from the prior year quarter.</w:t>
      </w:r>
    </w:p>
    <w:p>
      <w:pPr>
        <w:spacing w:after="0" w:line="127" w:lineRule="exact"/>
        <w:rPr>
          <w:rFonts w:ascii="Arial" w:cs="Arial" w:eastAsia="Arial" w:hAnsi="Arial"/>
          <w:sz w:val="18"/>
          <w:szCs w:val="18"/>
          <w:color w:val="auto"/>
        </w:rPr>
      </w:pPr>
    </w:p>
    <w:p>
      <w:pPr>
        <w:ind w:left="660" w:right="240" w:hanging="260"/>
        <w:spacing w:after="0" w:line="264" w:lineRule="auto"/>
        <w:tabs>
          <w:tab w:leader="none" w:pos="660" w:val="left"/>
        </w:tabs>
        <w:numPr>
          <w:ilvl w:val="1"/>
          <w:numId w:val="4"/>
        </w:numPr>
        <w:rPr>
          <w:rFonts w:ascii="Arial" w:cs="Arial" w:eastAsia="Arial" w:hAnsi="Arial"/>
          <w:sz w:val="18"/>
          <w:szCs w:val="18"/>
          <w:color w:val="auto"/>
        </w:rPr>
      </w:pPr>
      <w:r>
        <w:rPr>
          <w:rFonts w:ascii="Arial" w:cs="Arial" w:eastAsia="Arial" w:hAnsi="Arial"/>
          <w:sz w:val="18"/>
          <w:szCs w:val="18"/>
          <w:color w:val="auto"/>
        </w:rPr>
        <w:t>Net interest expense increased $3.9 million, driven by additional debt issued in May 2018, and lower interest income on the declining balance of notes receivable as principal collections are received monthly. The cash convertible senior notes expected to be repaid in June 2019 represent $3.6 million of total interest expense in the current quarter.</w:t>
      </w:r>
    </w:p>
    <w:p>
      <w:pPr>
        <w:sectPr>
          <w:pgSz w:w="11900" w:h="16838" w:orient="portrait"/>
          <w:cols w:equalWidth="0" w:num="1">
            <w:col w:w="11420"/>
          </w:cols>
          <w:pgMar w:left="240" w:top="742"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SEGMENT RESULTS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U.S. Pawn</w:t>
      </w:r>
    </w:p>
    <w:p>
      <w:pPr>
        <w:spacing w:after="0" w:line="171" w:lineRule="exact"/>
        <w:rPr>
          <w:sz w:val="20"/>
          <w:szCs w:val="20"/>
          <w:color w:val="auto"/>
        </w:rPr>
      </w:pPr>
    </w:p>
    <w:p>
      <w:pPr>
        <w:ind w:left="660" w:right="80" w:hanging="328"/>
        <w:spacing w:after="0" w:line="342" w:lineRule="auto"/>
        <w:tabs>
          <w:tab w:leader="none" w:pos="660" w:val="left"/>
        </w:tabs>
        <w:numPr>
          <w:ilvl w:val="0"/>
          <w:numId w:val="5"/>
        </w:numPr>
        <w:rPr>
          <w:rFonts w:ascii="Arial" w:cs="Arial" w:eastAsia="Arial" w:hAnsi="Arial"/>
          <w:sz w:val="16"/>
          <w:szCs w:val="16"/>
          <w:b w:val="1"/>
          <w:bCs w:val="1"/>
          <w:i w:val="1"/>
          <w:iCs w:val="1"/>
          <w:color w:val="auto"/>
        </w:rPr>
      </w:pPr>
      <w:r>
        <w:rPr>
          <w:rFonts w:ascii="Arial" w:cs="Arial" w:eastAsia="Arial" w:hAnsi="Arial"/>
          <w:sz w:val="16"/>
          <w:szCs w:val="16"/>
          <w:color w:val="auto"/>
        </w:rPr>
        <w:t>Same store PLO and PSC both rose 5%, with ending PLO per store of $257,000, up 6% on a year-over-year basis. The growth reflected disciplined lending practices, a focus on meeting customers' need for cash and stronger performance from stores affected by hurricanes in the prior-year quarter.</w:t>
      </w:r>
    </w:p>
    <w:p>
      <w:pPr>
        <w:spacing w:after="0" w:line="69" w:lineRule="exact"/>
        <w:rPr>
          <w:rFonts w:ascii="Arial" w:cs="Arial" w:eastAsia="Arial" w:hAnsi="Arial"/>
          <w:sz w:val="16"/>
          <w:szCs w:val="16"/>
          <w:b w:val="1"/>
          <w:bCs w:val="1"/>
          <w:i w:val="1"/>
          <w:iCs w:val="1"/>
          <w:color w:val="auto"/>
        </w:rPr>
      </w:pPr>
    </w:p>
    <w:p>
      <w:pPr>
        <w:ind w:left="660" w:right="46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Same store sales improved 2% and merchandise margins remained strong at 37%. Aged general merchandise inventory was reduced during the quarter from 9% to 7%.</w:t>
      </w:r>
    </w:p>
    <w:p>
      <w:pPr>
        <w:spacing w:after="0" w:line="116" w:lineRule="exact"/>
        <w:rPr>
          <w:rFonts w:ascii="Arial" w:cs="Arial" w:eastAsia="Arial" w:hAnsi="Arial"/>
          <w:sz w:val="18"/>
          <w:szCs w:val="18"/>
          <w:color w:val="auto"/>
        </w:rPr>
      </w:pPr>
    </w:p>
    <w:p>
      <w:pPr>
        <w:ind w:left="660" w:right="120" w:hanging="328"/>
        <w:spacing w:after="0" w:line="286" w:lineRule="auto"/>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U.S. Pawn's revenue rose 3% to $166.4 million, with a 3% rise in combined operating expenses and depreciation to $70.5 million, resulting in a 1% increase in segment contribution to $28.4 million. Adjusted segment contribution decreased 1% to $28.4 million. Operating expense growth was primarily attributable to increased labor and benefit costs including vacancy reduction and higher robbery losses.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Latin America Pawn</w:t>
      </w:r>
    </w:p>
    <w:p>
      <w:pPr>
        <w:spacing w:after="0" w:line="171" w:lineRule="exact"/>
        <w:rPr>
          <w:sz w:val="20"/>
          <w:szCs w:val="20"/>
          <w:color w:val="auto"/>
        </w:rPr>
      </w:pPr>
    </w:p>
    <w:p>
      <w:pPr>
        <w:ind w:left="660" w:right="18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Latin America Pawn's PLO grew 20% to $42.6 million (up 27% to $44.7 million on a constant currency basis). Same store PLO increased 4% (9% on a constant currency basis), with ending PLO per store of $91,000, up 32%.</w:t>
      </w:r>
    </w:p>
    <w:p>
      <w:pPr>
        <w:spacing w:after="0" w:line="116" w:lineRule="exact"/>
        <w:rPr>
          <w:rFonts w:ascii="Arial" w:cs="Arial" w:eastAsia="Arial" w:hAnsi="Arial"/>
          <w:sz w:val="18"/>
          <w:szCs w:val="18"/>
          <w:color w:val="auto"/>
        </w:rPr>
      </w:pPr>
    </w:p>
    <w:p>
      <w:pPr>
        <w:ind w:left="660" w:right="260" w:hanging="328"/>
        <w:spacing w:after="0" w:line="259"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company added four stores in the quarter. Pawn store count in Latin America has expanded 20% in the last 12 months to a total of 466 stores, with 68 acquired and 11 opened. New stores drive attractive long-term profit enhancement but create a short-term drag on earnings as they ramp. Acquired stores are generally less efficient than our same stores until fully integrated, but typically are accretive in their first full quarter of ownership.</w:t>
      </w:r>
    </w:p>
    <w:p>
      <w:pPr>
        <w:spacing w:after="0" w:line="132" w:lineRule="exact"/>
        <w:rPr>
          <w:rFonts w:ascii="Arial" w:cs="Arial" w:eastAsia="Arial" w:hAnsi="Arial"/>
          <w:sz w:val="18"/>
          <w:szCs w:val="18"/>
          <w:color w:val="auto"/>
        </w:rPr>
      </w:pPr>
    </w:p>
    <w:p>
      <w:pPr>
        <w:ind w:left="660" w:right="120" w:hanging="328"/>
        <w:spacing w:after="0" w:line="264"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Net revenues grew 27% to $28.0 million (up 31% to $28.8 million on a constant currency basis). PSC rose 33% to $20.0 million (increasing 37% to $20.6 million on a constant currency basis). PSC in the current period includes $1.1 million attributable to settling certain PSC-related indemnification claims with the previous owners of GPMX.</w:t>
      </w:r>
    </w:p>
    <w:p>
      <w:pPr>
        <w:spacing w:after="0" w:line="127" w:lineRule="exact"/>
        <w:rPr>
          <w:rFonts w:ascii="Arial" w:cs="Arial" w:eastAsia="Arial" w:hAnsi="Arial"/>
          <w:sz w:val="18"/>
          <w:szCs w:val="18"/>
          <w:color w:val="auto"/>
        </w:rPr>
      </w:pPr>
    </w:p>
    <w:p>
      <w:pPr>
        <w:ind w:left="660" w:hanging="328"/>
        <w:spacing w:after="0" w:line="286" w:lineRule="auto"/>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Operations expense increased 21% to $18.2 million primarily from 79 stores acquired or opened since the prior year quarter and increases in same stores. Same store operations expense increased 10%, primarily as a result of incremental administrative and professional fees incurred to support the integration of previous acquisitions and enhance the administrative staff, as well as an increase in robbery losses.</w:t>
      </w:r>
    </w:p>
    <w:p>
      <w:pPr>
        <w:spacing w:after="0" w:line="111" w:lineRule="exact"/>
        <w:rPr>
          <w:rFonts w:ascii="Arial" w:cs="Arial" w:eastAsia="Arial" w:hAnsi="Arial"/>
          <w:sz w:val="17"/>
          <w:szCs w:val="17"/>
          <w:color w:val="auto"/>
        </w:rPr>
      </w:pPr>
    </w:p>
    <w:p>
      <w:pPr>
        <w:ind w:left="660" w:right="140" w:hanging="328"/>
        <w:spacing w:after="0" w:line="312" w:lineRule="auto"/>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Segment contribution increased 39% to $9.5 million ($9.7 million on a constant currency basis). Adjusted segment contribution increased 20% to $7.8 million, excluding foreign currency impacts and other discrete costs, as well as the $0.8 million recovery from a refiner that was fully reserved in the first fiscal quarter of 2019 and a $1.1 million PSC-related indemnification claim settlement from the previous owners of GPMX.</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CORRECTIONS TO PRIOR PERIOD FINANCIAL STATEMENTS</w:t>
      </w:r>
    </w:p>
    <w:p>
      <w:pPr>
        <w:spacing w:after="0" w:line="175"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During the current quarter, the company identified errors in its previously reported financial statements during the ordinary course of account reviews and subsequent investigation of related accounts. None of the identified errors was material to any previously reported period. These have now been corrected in all periods presented. The errors relate primarily to the overstatement of historical balances of pawn service charges receivable resulting from errors in the configuration of information technology reports. Compared to amounts previously reported, the corrections reduced income from continuing operations, net of tax by $0.2 million (no change to diluted earnings per share) and $0.3 million ($0.01 diluted earnings per share) in the three and six- month periods ended March 31, 2018. In the first quarter of fiscal 2019 included in the current year-to-date results, the correction increased previously reported income from continuing operations, net of tax by $0.9 million ($0.01 diluted earnings per share). Prior to correction, these errors resulted in an overstatement of October 1, 2017 beginning retained earnings of $3.8 million. Greater detail on this is included in Note 1 to our Condensed Consolidated Financial Statements on Form 10-Q.</w:t>
      </w:r>
    </w:p>
    <w:p>
      <w:pPr>
        <w:sectPr>
          <w:pgSz w:w="11900" w:h="16838" w:orient="portrait"/>
          <w:cols w:equalWidth="0" w:num="1">
            <w:col w:w="11420"/>
          </w:cols>
          <w:pgMar w:left="240" w:top="742"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CONFERENCE CALL</w:t>
      </w:r>
    </w:p>
    <w:p>
      <w:pPr>
        <w:spacing w:after="0" w:line="17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 xml:space="preserve">EZCORP will host a conference call on Thursday, May 9, 2019, at 7:30am Central Time to discuss first quarter results. Analysts and institutional investors may participate on the conference call by dialing (877) 201-0168, Conference ID: 2278077, or internationally by dialing (647) 788-4901. The conference call will be webcast simultaneously to the public through this link: </w:t>
      </w:r>
      <w:r>
        <w:rPr>
          <w:rFonts w:ascii="Arial" w:cs="Arial" w:eastAsia="Arial" w:hAnsi="Arial"/>
          <w:sz w:val="18"/>
          <w:szCs w:val="18"/>
          <w:u w:val="single" w:color="auto"/>
          <w:color w:val="0000FF"/>
        </w:rPr>
        <w:t>http://investors.ezcorp.com/</w:t>
      </w:r>
      <w:r>
        <w:rPr>
          <w:rFonts w:ascii="Arial" w:cs="Arial" w:eastAsia="Arial" w:hAnsi="Arial"/>
          <w:sz w:val="18"/>
          <w:szCs w:val="18"/>
          <w:color w:val="auto"/>
        </w:rPr>
        <w:t xml:space="preserve">. A replay of the conference call will be available online at </w:t>
      </w:r>
      <w:r>
        <w:rPr>
          <w:rFonts w:ascii="Arial" w:cs="Arial" w:eastAsia="Arial" w:hAnsi="Arial"/>
          <w:sz w:val="18"/>
          <w:szCs w:val="18"/>
          <w:u w:val="single" w:color="auto"/>
          <w:color w:val="0000FF"/>
        </w:rPr>
        <w:t>http://investors.ezcorp.com/</w:t>
      </w:r>
      <w:r>
        <w:rPr>
          <w:rFonts w:ascii="Arial" w:cs="Arial" w:eastAsia="Arial" w:hAnsi="Arial"/>
          <w:sz w:val="18"/>
          <w:szCs w:val="18"/>
          <w:color w:val="0000FF"/>
        </w:rPr>
        <w:t xml:space="preserve"> </w:t>
      </w:r>
      <w:r>
        <w:rPr>
          <w:rFonts w:ascii="Arial" w:cs="Arial" w:eastAsia="Arial" w:hAnsi="Arial"/>
          <w:sz w:val="18"/>
          <w:szCs w:val="18"/>
          <w:color w:val="000000"/>
        </w:rPr>
        <w:t>shortly after the end of the call.</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EZCORP</w:t>
      </w:r>
    </w:p>
    <w:p>
      <w:pPr>
        <w:spacing w:after="0" w:line="175"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Formed in 1989, EZCORP has grown into a leading provider of pawn loans in the United States and Latin America. It also sells merchandise, primarily collateral forfeited from pawn lending operations and used merchandise purchased from customers. We are dedicated to satisfying the short-term cash needs of consumers who are both cash and credit constrained, focusing on an industry-leading customer experience. EZCORP is traded on NASDAQ under the symbol EZPW and is a member of the Russell 2000 Index, S&amp;P SmallCap 600 Index, S&amp;P 1000 Index and Nasdaq Composite Index.</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17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This announcement contains certain forward-looking statements regarding the company’s strategy, initiatives and expected performance. These statements are based on the company’s current expectations as to the outcome and timing of future events. All statements, other than statements of historical facts, including all statements regarding the company's strategy, initiatives and future performance, that address activities or results that the company plans, expects, believes, projects, estimates or anticipates, will, should or may occur in the future, including future financial or operating results, are forward-looking statements.</w:t>
      </w:r>
    </w:p>
    <w:p>
      <w:pPr>
        <w:spacing w:after="0" w:line="2"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Actual results for future periods may differ materially from those expressed or implied by these forward-looking statements due to a number of uncertainties and other factors, including operating risks, liquidity risks, legislative or regulatory developments, market factors or current or future litigation. For a discussion of these and other factors affecting the company’s business and prospects, see the company’s annual, quarterly and other reports filed with the Securities and Exchange Commission. The company undertakes no obligation to update or revise forward-looking statements to reflect changed assumptions, the occurrence of unanticipated events or changes to future operating results over time.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Email: Investor_Relations@ezcorp.com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(512) 314-2220</w:t>
      </w:r>
    </w:p>
    <w:p>
      <w:pPr>
        <w:spacing w:after="0" w:line="233" w:lineRule="exact"/>
        <w:rPr>
          <w:sz w:val="20"/>
          <w:szCs w:val="20"/>
          <w:color w:val="auto"/>
        </w:rPr>
      </w:pPr>
    </w:p>
    <w:p>
      <w:pPr>
        <w:ind w:right="240"/>
        <w:spacing w:after="0" w:line="250" w:lineRule="auto"/>
        <w:rPr>
          <w:sz w:val="20"/>
          <w:szCs w:val="20"/>
          <w:color w:val="auto"/>
        </w:rPr>
      </w:pPr>
      <w:r>
        <w:rPr>
          <w:rFonts w:ascii="Arial" w:cs="Arial" w:eastAsia="Arial" w:hAnsi="Arial"/>
          <w:sz w:val="9"/>
          <w:szCs w:val="9"/>
          <w:i w:val="1"/>
          <w:iCs w:val="1"/>
          <w:color w:val="auto"/>
        </w:rPr>
        <w:t>1</w:t>
      </w:r>
      <w:r>
        <w:rPr>
          <w:rFonts w:ascii="Arial" w:cs="Arial" w:eastAsia="Arial" w:hAnsi="Arial"/>
          <w:sz w:val="14"/>
          <w:szCs w:val="14"/>
          <w:i w:val="1"/>
          <w:iCs w:val="1"/>
          <w:color w:val="auto"/>
        </w:rPr>
        <w:t>“Constant currency” basis, which is a non-GAAP measure, excludes the impact of foreign currency exchange rate fluctuations. For additional information about these calculations, as well as a</w:t>
      </w:r>
      <w:r>
        <w:rPr>
          <w:rFonts w:ascii="Arial" w:cs="Arial" w:eastAsia="Arial" w:hAnsi="Arial"/>
          <w:sz w:val="9"/>
          <w:szCs w:val="9"/>
          <w:i w:val="1"/>
          <w:iCs w:val="1"/>
          <w:color w:val="auto"/>
        </w:rPr>
        <w:t xml:space="preserve"> </w:t>
      </w:r>
      <w:r>
        <w:rPr>
          <w:rFonts w:ascii="Arial" w:cs="Arial" w:eastAsia="Arial" w:hAnsi="Arial"/>
          <w:sz w:val="14"/>
          <w:szCs w:val="14"/>
          <w:i w:val="1"/>
          <w:iCs w:val="1"/>
          <w:color w:val="auto"/>
        </w:rPr>
        <w:t>reconciliation to the most comparable GAAP financial measures, see “Non-GAAP Financial Information” at the end of this release.</w:t>
      </w:r>
    </w:p>
    <w:p>
      <w:pPr>
        <w:spacing w:after="0" w:line="1" w:lineRule="exact"/>
        <w:rPr>
          <w:sz w:val="20"/>
          <w:szCs w:val="20"/>
          <w:color w:val="auto"/>
        </w:rPr>
      </w:pPr>
    </w:p>
    <w:p>
      <w:pPr>
        <w:ind w:right="320"/>
        <w:spacing w:after="0" w:line="255" w:lineRule="auto"/>
        <w:rPr>
          <w:sz w:val="20"/>
          <w:szCs w:val="20"/>
          <w:color w:val="auto"/>
        </w:rPr>
      </w:pPr>
      <w:r>
        <w:rPr>
          <w:rFonts w:ascii="Arial" w:cs="Arial" w:eastAsia="Arial" w:hAnsi="Arial"/>
          <w:sz w:val="9"/>
          <w:szCs w:val="9"/>
          <w:i w:val="1"/>
          <w:iCs w:val="1"/>
          <w:color w:val="auto"/>
        </w:rPr>
        <w:t>2</w:t>
      </w:r>
      <w:r>
        <w:rPr>
          <w:rFonts w:ascii="Arial" w:cs="Arial" w:eastAsia="Arial" w:hAnsi="Arial"/>
          <w:sz w:val="14"/>
          <w:szCs w:val="14"/>
          <w:i w:val="1"/>
          <w:iCs w:val="1"/>
          <w:color w:val="auto"/>
        </w:rPr>
        <w:t>Adjusted basis, which is a non-GAAP measure, excludes certain items. For additional information about these calculations, as well as a reconciliation to the most comparable GAAP financial</w:t>
      </w:r>
      <w:r>
        <w:rPr>
          <w:rFonts w:ascii="Arial" w:cs="Arial" w:eastAsia="Arial" w:hAnsi="Arial"/>
          <w:sz w:val="9"/>
          <w:szCs w:val="9"/>
          <w:i w:val="1"/>
          <w:iCs w:val="1"/>
          <w:color w:val="auto"/>
        </w:rPr>
        <w:t xml:space="preserve"> </w:t>
      </w:r>
      <w:r>
        <w:rPr>
          <w:rFonts w:ascii="Arial" w:cs="Arial" w:eastAsia="Arial" w:hAnsi="Arial"/>
          <w:sz w:val="14"/>
          <w:szCs w:val="14"/>
          <w:i w:val="1"/>
          <w:iCs w:val="1"/>
          <w:color w:val="auto"/>
        </w:rPr>
        <w:t>measures, see “Non-GAAP Financial Information” at the end of this release.</w:t>
      </w:r>
    </w:p>
    <w:p>
      <w:pPr>
        <w:sectPr>
          <w:pgSz w:w="11900" w:h="16838" w:orient="portrait"/>
          <w:cols w:equalWidth="0" w:num="1">
            <w:col w:w="11400"/>
          </w:cols>
          <w:pgMar w:left="240" w:top="742" w:right="259" w:bottom="1440" w:gutter="0" w:footer="0" w:header="0"/>
        </w:sectPr>
      </w:pPr>
    </w:p>
    <w:bookmarkStart w:id="7" w:name="page8"/>
    <w:bookmarkEnd w:id="7"/>
    <w:p>
      <w:pPr>
        <w:jc w:val="center"/>
        <w:ind w:right="40"/>
        <w:spacing w:after="0"/>
        <w:rPr>
          <w:sz w:val="20"/>
          <w:szCs w:val="20"/>
          <w:color w:val="auto"/>
        </w:rPr>
      </w:pPr>
      <w:r>
        <w:rPr>
          <w:rFonts w:ascii="Arial" w:cs="Arial" w:eastAsia="Arial" w:hAnsi="Arial"/>
          <w:sz w:val="16"/>
          <w:szCs w:val="16"/>
          <w:b w:val="1"/>
          <w:bCs w:val="1"/>
          <w:color w:val="auto"/>
        </w:rPr>
        <w:t>EZCORP, Inc.</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CONDENSED CONSOLIDATED STATEMENTS OF OPERATIONS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520" w:type="dxa"/>
            <w:vAlign w:val="bottom"/>
            <w:gridSpan w:val="5"/>
          </w:tcPr>
          <w:p>
            <w:pPr>
              <w:ind w:left="120"/>
              <w:spacing w:after="0"/>
              <w:rPr>
                <w:sz w:val="20"/>
                <w:szCs w:val="20"/>
                <w:color w:val="auto"/>
              </w:rPr>
            </w:pPr>
            <w:r>
              <w:rPr>
                <w:rFonts w:ascii="Arial" w:cs="Arial" w:eastAsia="Arial" w:hAnsi="Arial"/>
                <w:sz w:val="14"/>
                <w:szCs w:val="14"/>
                <w:b w:val="1"/>
                <w:bCs w:val="1"/>
                <w:color w:val="auto"/>
              </w:rPr>
              <w:t>Three Months Ended March 31,</w:t>
            </w:r>
          </w:p>
        </w:tc>
        <w:tc>
          <w:tcPr>
            <w:tcW w:w="360" w:type="dxa"/>
            <w:vAlign w:val="bottom"/>
          </w:tcPr>
          <w:p>
            <w:pPr>
              <w:spacing w:after="0"/>
              <w:rPr>
                <w:sz w:val="16"/>
                <w:szCs w:val="16"/>
                <w:color w:val="auto"/>
              </w:rPr>
            </w:pPr>
          </w:p>
        </w:tc>
        <w:tc>
          <w:tcPr>
            <w:tcW w:w="2240" w:type="dxa"/>
            <w:vAlign w:val="bottom"/>
            <w:gridSpan w:val="4"/>
          </w:tcPr>
          <w:p>
            <w:pPr>
              <w:jc w:val="right"/>
              <w:ind w:right="299"/>
              <w:spacing w:after="0"/>
              <w:rPr>
                <w:sz w:val="20"/>
                <w:szCs w:val="20"/>
                <w:color w:val="auto"/>
              </w:rPr>
            </w:pPr>
            <w:r>
              <w:rPr>
                <w:rFonts w:ascii="Arial" w:cs="Arial" w:eastAsia="Arial" w:hAnsi="Arial"/>
                <w:sz w:val="14"/>
                <w:szCs w:val="14"/>
                <w:b w:val="1"/>
                <w:bCs w:val="1"/>
                <w:color w:val="auto"/>
                <w:w w:val="96"/>
              </w:rPr>
              <w:t>Six Months Ended March 31,</w:t>
            </w:r>
          </w:p>
        </w:tc>
      </w:tr>
      <w:tr>
        <w:trPr>
          <w:trHeight w:val="264"/>
        </w:trPr>
        <w:tc>
          <w:tcPr>
            <w:tcW w:w="6020" w:type="dxa"/>
            <w:vAlign w:val="bottom"/>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2018</w:t>
            </w:r>
          </w:p>
        </w:tc>
      </w:tr>
      <w:tr>
        <w:trPr>
          <w:trHeight w:val="379"/>
        </w:trPr>
        <w:tc>
          <w:tcPr>
            <w:tcW w:w="6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20" w:type="dxa"/>
            <w:vAlign w:val="bottom"/>
            <w:gridSpan w:val="3"/>
          </w:tcPr>
          <w:p>
            <w:pPr>
              <w:jc w:val="right"/>
              <w:spacing w:after="0"/>
              <w:rPr>
                <w:sz w:val="20"/>
                <w:szCs w:val="20"/>
                <w:color w:val="auto"/>
              </w:rPr>
            </w:pPr>
            <w:r>
              <w:rPr>
                <w:rFonts w:ascii="Arial" w:cs="Arial" w:eastAsia="Arial" w:hAnsi="Arial"/>
                <w:sz w:val="14"/>
                <w:szCs w:val="14"/>
                <w:b w:val="1"/>
                <w:bCs w:val="1"/>
                <w:color w:val="auto"/>
              </w:rPr>
              <w:t>(Unaudited)</w:t>
            </w: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03"/>
        </w:trPr>
        <w:tc>
          <w:tcPr>
            <w:tcW w:w="6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720" w:type="dxa"/>
            <w:vAlign w:val="bottom"/>
            <w:gridSpan w:val="6"/>
          </w:tcPr>
          <w:p>
            <w:pPr>
              <w:ind w:left="100"/>
              <w:spacing w:after="0"/>
              <w:rPr>
                <w:sz w:val="20"/>
                <w:szCs w:val="20"/>
                <w:color w:val="auto"/>
              </w:rPr>
            </w:pPr>
            <w:r>
              <w:rPr>
                <w:rFonts w:ascii="Arial" w:cs="Arial" w:eastAsia="Arial" w:hAnsi="Arial"/>
                <w:sz w:val="14"/>
                <w:szCs w:val="14"/>
                <w:i w:val="1"/>
                <w:iCs w:val="1"/>
                <w:color w:val="auto"/>
              </w:rPr>
              <w:t>(in thousands, except per share amounts)</w:t>
            </w: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49"/>
        </w:trPr>
        <w:tc>
          <w:tcPr>
            <w:tcW w:w="6020" w:type="dxa"/>
            <w:vAlign w:val="bottom"/>
          </w:tcPr>
          <w:p>
            <w:pPr>
              <w:spacing w:after="0"/>
              <w:rPr>
                <w:sz w:val="20"/>
                <w:szCs w:val="20"/>
                <w:color w:val="auto"/>
              </w:rPr>
            </w:pPr>
            <w:r>
              <w:rPr>
                <w:rFonts w:ascii="Arial" w:cs="Arial" w:eastAsia="Arial" w:hAnsi="Arial"/>
                <w:sz w:val="16"/>
                <w:szCs w:val="16"/>
                <w:color w:val="auto"/>
              </w:rPr>
              <w:t>Revenues:</w:t>
            </w:r>
          </w:p>
        </w:tc>
        <w:tc>
          <w:tcPr>
            <w:tcW w:w="2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0"/>
        </w:trPr>
        <w:tc>
          <w:tcPr>
            <w:tcW w:w="6020" w:type="dxa"/>
            <w:vAlign w:val="bottom"/>
          </w:tcPr>
          <w:p>
            <w:pPr>
              <w:ind w:left="240"/>
              <w:spacing w:after="0"/>
              <w:rPr>
                <w:sz w:val="20"/>
                <w:szCs w:val="20"/>
                <w:color w:val="auto"/>
              </w:rPr>
            </w:pPr>
            <w:r>
              <w:rPr>
                <w:rFonts w:ascii="Arial" w:cs="Arial" w:eastAsia="Arial" w:hAnsi="Arial"/>
                <w:sz w:val="16"/>
                <w:szCs w:val="16"/>
                <w:color w:val="auto"/>
              </w:rPr>
              <w:t>Merchandise sales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121,260</w:t>
            </w:r>
          </w:p>
        </w:tc>
        <w:tc>
          <w:tcPr>
            <w:tcW w:w="120" w:type="dxa"/>
            <w:vAlign w:val="bottom"/>
          </w:tcPr>
          <w:p>
            <w:pPr>
              <w:spacing w:after="0"/>
              <w:rPr>
                <w:sz w:val="23"/>
                <w:szCs w:val="23"/>
                <w:color w:val="auto"/>
              </w:rPr>
            </w:pPr>
          </w:p>
        </w:tc>
        <w:tc>
          <w:tcPr>
            <w:tcW w:w="300" w:type="dxa"/>
            <w:vAlign w:val="bottom"/>
          </w:tcPr>
          <w:p>
            <w:pPr>
              <w:jc w:val="right"/>
              <w:ind w:right="101"/>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114,945</w:t>
            </w:r>
          </w:p>
        </w:tc>
        <w:tc>
          <w:tcPr>
            <w:tcW w:w="100" w:type="dxa"/>
            <w:vAlign w:val="bottom"/>
          </w:tcPr>
          <w:p>
            <w:pPr>
              <w:spacing w:after="0"/>
              <w:rPr>
                <w:sz w:val="23"/>
                <w:szCs w:val="23"/>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242,284</w:t>
            </w:r>
          </w:p>
        </w:tc>
        <w:tc>
          <w:tcPr>
            <w:tcW w:w="120" w:type="dxa"/>
            <w:vAlign w:val="bottom"/>
          </w:tcPr>
          <w:p>
            <w:pPr>
              <w:spacing w:after="0"/>
              <w:rPr>
                <w:sz w:val="23"/>
                <w:szCs w:val="23"/>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228,533</w:t>
            </w:r>
          </w:p>
        </w:tc>
      </w:tr>
      <w:tr>
        <w:trPr>
          <w:trHeight w:val="270"/>
        </w:trPr>
        <w:tc>
          <w:tcPr>
            <w:tcW w:w="6020" w:type="dxa"/>
            <w:vAlign w:val="bottom"/>
          </w:tcPr>
          <w:p>
            <w:pPr>
              <w:ind w:left="240"/>
              <w:spacing w:after="0"/>
              <w:rPr>
                <w:sz w:val="20"/>
                <w:szCs w:val="20"/>
                <w:color w:val="auto"/>
              </w:rPr>
            </w:pPr>
            <w:r>
              <w:rPr>
                <w:rFonts w:ascii="Arial" w:cs="Arial" w:eastAsia="Arial" w:hAnsi="Arial"/>
                <w:sz w:val="16"/>
                <w:szCs w:val="16"/>
                <w:color w:val="auto"/>
              </w:rPr>
              <w:t>Jewelry scrapping sales</w:t>
            </w:r>
          </w:p>
        </w:tc>
        <w:tc>
          <w:tcPr>
            <w:tcW w:w="240" w:type="dxa"/>
            <w:vAlign w:val="bottom"/>
          </w:tcPr>
          <w:p>
            <w:pPr>
              <w:spacing w:after="0"/>
              <w:rPr>
                <w:sz w:val="23"/>
                <w:szCs w:val="23"/>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10,380</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11,525</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19,661</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23,738</w:t>
            </w:r>
          </w:p>
        </w:tc>
      </w:tr>
      <w:tr>
        <w:trPr>
          <w:trHeight w:val="270"/>
        </w:trPr>
        <w:tc>
          <w:tcPr>
            <w:tcW w:w="6020" w:type="dxa"/>
            <w:vAlign w:val="bottom"/>
          </w:tcPr>
          <w:p>
            <w:pPr>
              <w:ind w:left="240"/>
              <w:spacing w:after="0"/>
              <w:rPr>
                <w:sz w:val="20"/>
                <w:szCs w:val="20"/>
                <w:color w:val="auto"/>
              </w:rPr>
            </w:pPr>
            <w:r>
              <w:rPr>
                <w:rFonts w:ascii="Arial" w:cs="Arial" w:eastAsia="Arial" w:hAnsi="Arial"/>
                <w:sz w:val="16"/>
                <w:szCs w:val="16"/>
                <w:color w:val="auto"/>
              </w:rPr>
              <w:t>Pawn service charges</w:t>
            </w:r>
          </w:p>
        </w:tc>
        <w:tc>
          <w:tcPr>
            <w:tcW w:w="240" w:type="dxa"/>
            <w:vAlign w:val="bottom"/>
          </w:tcPr>
          <w:p>
            <w:pPr>
              <w:spacing w:after="0"/>
              <w:rPr>
                <w:sz w:val="23"/>
                <w:szCs w:val="23"/>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81,799</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74,031</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165,318</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150,053</w:t>
            </w:r>
          </w:p>
        </w:tc>
      </w:tr>
      <w:tr>
        <w:trPr>
          <w:trHeight w:val="270"/>
        </w:trPr>
        <w:tc>
          <w:tcPr>
            <w:tcW w:w="6020" w:type="dxa"/>
            <w:vAlign w:val="bottom"/>
          </w:tcPr>
          <w:p>
            <w:pPr>
              <w:ind w:left="240"/>
              <w:spacing w:after="0"/>
              <w:rPr>
                <w:sz w:val="20"/>
                <w:szCs w:val="20"/>
                <w:color w:val="auto"/>
              </w:rPr>
            </w:pPr>
            <w:r>
              <w:rPr>
                <w:rFonts w:ascii="Arial" w:cs="Arial" w:eastAsia="Arial" w:hAnsi="Arial"/>
                <w:sz w:val="16"/>
                <w:szCs w:val="16"/>
                <w:color w:val="auto"/>
              </w:rPr>
              <w:t>Other revenues</w:t>
            </w:r>
          </w:p>
        </w:tc>
        <w:tc>
          <w:tcPr>
            <w:tcW w:w="240" w:type="dxa"/>
            <w:vAlign w:val="bottom"/>
          </w:tcPr>
          <w:p>
            <w:pPr>
              <w:spacing w:after="0"/>
              <w:rPr>
                <w:sz w:val="23"/>
                <w:szCs w:val="23"/>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1,291</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1,897</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3,162</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4,244</w:t>
            </w:r>
          </w:p>
        </w:tc>
      </w:tr>
      <w:tr>
        <w:trPr>
          <w:trHeight w:val="33"/>
        </w:trPr>
        <w:tc>
          <w:tcPr>
            <w:tcW w:w="60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17"/>
        </w:trPr>
        <w:tc>
          <w:tcPr>
            <w:tcW w:w="6020" w:type="dxa"/>
            <w:vAlign w:val="bottom"/>
          </w:tcPr>
          <w:p>
            <w:pPr>
              <w:ind w:left="460"/>
              <w:spacing w:after="0"/>
              <w:rPr>
                <w:sz w:val="20"/>
                <w:szCs w:val="20"/>
                <w:color w:val="auto"/>
              </w:rPr>
            </w:pPr>
            <w:r>
              <w:rPr>
                <w:rFonts w:ascii="Arial" w:cs="Arial" w:eastAsia="Arial" w:hAnsi="Arial"/>
                <w:sz w:val="16"/>
                <w:szCs w:val="16"/>
                <w:color w:val="auto"/>
              </w:rPr>
              <w:t>Total revenues</w:t>
            </w:r>
          </w:p>
        </w:tc>
        <w:tc>
          <w:tcPr>
            <w:tcW w:w="240" w:type="dxa"/>
            <w:vAlign w:val="bottom"/>
          </w:tcPr>
          <w:p>
            <w:pPr>
              <w:spacing w:after="0"/>
              <w:rPr>
                <w:sz w:val="18"/>
                <w:szCs w:val="18"/>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214,730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202,398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430,425</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406,568</w:t>
            </w:r>
          </w:p>
        </w:tc>
      </w:tr>
      <w:tr>
        <w:trPr>
          <w:trHeight w:val="270"/>
        </w:trPr>
        <w:tc>
          <w:tcPr>
            <w:tcW w:w="6020" w:type="dxa"/>
            <w:vAlign w:val="bottom"/>
          </w:tcPr>
          <w:p>
            <w:pPr>
              <w:spacing w:after="0"/>
              <w:rPr>
                <w:sz w:val="20"/>
                <w:szCs w:val="20"/>
                <w:color w:val="auto"/>
              </w:rPr>
            </w:pPr>
            <w:r>
              <w:rPr>
                <w:rFonts w:ascii="Arial" w:cs="Arial" w:eastAsia="Arial" w:hAnsi="Arial"/>
                <w:sz w:val="16"/>
                <w:szCs w:val="16"/>
                <w:color w:val="auto"/>
              </w:rPr>
              <w:t>Merchandise cost of goods sold</w:t>
            </w:r>
          </w:p>
        </w:tc>
        <w:tc>
          <w:tcPr>
            <w:tcW w:w="240" w:type="dxa"/>
            <w:vAlign w:val="bottom"/>
          </w:tcPr>
          <w:p>
            <w:pPr>
              <w:spacing w:after="0"/>
              <w:rPr>
                <w:sz w:val="23"/>
                <w:szCs w:val="23"/>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77,800</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72,220</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154,912</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143,387</w:t>
            </w:r>
          </w:p>
        </w:tc>
      </w:tr>
      <w:tr>
        <w:trPr>
          <w:trHeight w:val="270"/>
        </w:trPr>
        <w:tc>
          <w:tcPr>
            <w:tcW w:w="6020" w:type="dxa"/>
            <w:vAlign w:val="bottom"/>
          </w:tcPr>
          <w:p>
            <w:pPr>
              <w:spacing w:after="0"/>
              <w:rPr>
                <w:sz w:val="20"/>
                <w:szCs w:val="20"/>
                <w:color w:val="auto"/>
              </w:rPr>
            </w:pPr>
            <w:r>
              <w:rPr>
                <w:rFonts w:ascii="Arial" w:cs="Arial" w:eastAsia="Arial" w:hAnsi="Arial"/>
                <w:sz w:val="16"/>
                <w:szCs w:val="16"/>
                <w:color w:val="auto"/>
              </w:rPr>
              <w:t>Jewelry scrapping cost of goods sold</w:t>
            </w:r>
          </w:p>
        </w:tc>
        <w:tc>
          <w:tcPr>
            <w:tcW w:w="240" w:type="dxa"/>
            <w:vAlign w:val="bottom"/>
          </w:tcPr>
          <w:p>
            <w:pPr>
              <w:spacing w:after="0"/>
              <w:rPr>
                <w:sz w:val="23"/>
                <w:szCs w:val="23"/>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8,833</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9,574</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16,883</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19,911</w:t>
            </w:r>
          </w:p>
        </w:tc>
      </w:tr>
      <w:tr>
        <w:trPr>
          <w:trHeight w:val="270"/>
        </w:trPr>
        <w:tc>
          <w:tcPr>
            <w:tcW w:w="6020" w:type="dxa"/>
            <w:vAlign w:val="bottom"/>
          </w:tcPr>
          <w:p>
            <w:pPr>
              <w:spacing w:after="0"/>
              <w:rPr>
                <w:sz w:val="20"/>
                <w:szCs w:val="20"/>
                <w:color w:val="auto"/>
              </w:rPr>
            </w:pPr>
            <w:r>
              <w:rPr>
                <w:rFonts w:ascii="Arial" w:cs="Arial" w:eastAsia="Arial" w:hAnsi="Arial"/>
                <w:sz w:val="16"/>
                <w:szCs w:val="16"/>
                <w:color w:val="auto"/>
              </w:rPr>
              <w:t>Other cost of revenues</w:t>
            </w:r>
          </w:p>
        </w:tc>
        <w:tc>
          <w:tcPr>
            <w:tcW w:w="240" w:type="dxa"/>
            <w:vAlign w:val="bottom"/>
          </w:tcPr>
          <w:p>
            <w:pPr>
              <w:spacing w:after="0"/>
              <w:rPr>
                <w:sz w:val="23"/>
                <w:szCs w:val="23"/>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407</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347</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891</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924</w:t>
            </w:r>
          </w:p>
        </w:tc>
      </w:tr>
      <w:tr>
        <w:trPr>
          <w:trHeight w:val="33"/>
        </w:trPr>
        <w:tc>
          <w:tcPr>
            <w:tcW w:w="60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17"/>
        </w:trPr>
        <w:tc>
          <w:tcPr>
            <w:tcW w:w="6020" w:type="dxa"/>
            <w:vAlign w:val="bottom"/>
          </w:tcPr>
          <w:p>
            <w:pPr>
              <w:ind w:left="460"/>
              <w:spacing w:after="0"/>
              <w:rPr>
                <w:sz w:val="20"/>
                <w:szCs w:val="20"/>
                <w:color w:val="auto"/>
              </w:rPr>
            </w:pPr>
            <w:r>
              <w:rPr>
                <w:rFonts w:ascii="Arial" w:cs="Arial" w:eastAsia="Arial" w:hAnsi="Arial"/>
                <w:sz w:val="16"/>
                <w:szCs w:val="16"/>
                <w:color w:val="auto"/>
              </w:rPr>
              <w:t>Net revenues</w:t>
            </w:r>
          </w:p>
        </w:tc>
        <w:tc>
          <w:tcPr>
            <w:tcW w:w="240" w:type="dxa"/>
            <w:vAlign w:val="bottom"/>
          </w:tcPr>
          <w:p>
            <w:pPr>
              <w:spacing w:after="0"/>
              <w:rPr>
                <w:sz w:val="18"/>
                <w:szCs w:val="18"/>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127,690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120,257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257,739</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242,346</w:t>
            </w:r>
          </w:p>
        </w:tc>
      </w:tr>
      <w:tr>
        <w:trPr>
          <w:trHeight w:val="270"/>
        </w:trPr>
        <w:tc>
          <w:tcPr>
            <w:tcW w:w="6020" w:type="dxa"/>
            <w:vAlign w:val="bottom"/>
          </w:tcPr>
          <w:p>
            <w:pPr>
              <w:spacing w:after="0"/>
              <w:rPr>
                <w:sz w:val="20"/>
                <w:szCs w:val="20"/>
                <w:color w:val="auto"/>
              </w:rPr>
            </w:pPr>
            <w:r>
              <w:rPr>
                <w:rFonts w:ascii="Arial" w:cs="Arial" w:eastAsia="Arial" w:hAnsi="Arial"/>
                <w:sz w:val="16"/>
                <w:szCs w:val="16"/>
                <w:color w:val="auto"/>
              </w:rPr>
              <w:t>Operating expenses:</w:t>
            </w:r>
          </w:p>
        </w:tc>
        <w:tc>
          <w:tcPr>
            <w:tcW w:w="2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spacing w:after="0"/>
              <w:rPr>
                <w:sz w:val="23"/>
                <w:szCs w:val="23"/>
                <w:color w:val="auto"/>
              </w:rPr>
            </w:pPr>
          </w:p>
        </w:tc>
      </w:tr>
      <w:tr>
        <w:trPr>
          <w:trHeight w:val="270"/>
        </w:trPr>
        <w:tc>
          <w:tcPr>
            <w:tcW w:w="6020" w:type="dxa"/>
            <w:vAlign w:val="bottom"/>
          </w:tcPr>
          <w:p>
            <w:pPr>
              <w:ind w:left="240"/>
              <w:spacing w:after="0"/>
              <w:rPr>
                <w:sz w:val="20"/>
                <w:szCs w:val="20"/>
                <w:color w:val="auto"/>
              </w:rPr>
            </w:pPr>
            <w:r>
              <w:rPr>
                <w:rFonts w:ascii="Arial" w:cs="Arial" w:eastAsia="Arial" w:hAnsi="Arial"/>
                <w:sz w:val="16"/>
                <w:szCs w:val="16"/>
                <w:color w:val="auto"/>
              </w:rPr>
              <w:t>Operations</w:t>
            </w:r>
          </w:p>
        </w:tc>
        <w:tc>
          <w:tcPr>
            <w:tcW w:w="240" w:type="dxa"/>
            <w:vAlign w:val="bottom"/>
          </w:tcPr>
          <w:p>
            <w:pPr>
              <w:spacing w:after="0"/>
              <w:rPr>
                <w:sz w:val="23"/>
                <w:szCs w:val="23"/>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88,243</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82,180</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177,029</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165,826</w:t>
            </w:r>
          </w:p>
        </w:tc>
      </w:tr>
      <w:tr>
        <w:trPr>
          <w:trHeight w:val="270"/>
        </w:trPr>
        <w:tc>
          <w:tcPr>
            <w:tcW w:w="6020" w:type="dxa"/>
            <w:vAlign w:val="bottom"/>
          </w:tcPr>
          <w:p>
            <w:pPr>
              <w:ind w:left="240"/>
              <w:spacing w:after="0"/>
              <w:rPr>
                <w:sz w:val="20"/>
                <w:szCs w:val="20"/>
                <w:color w:val="auto"/>
              </w:rPr>
            </w:pPr>
            <w:r>
              <w:rPr>
                <w:rFonts w:ascii="Arial" w:cs="Arial" w:eastAsia="Arial" w:hAnsi="Arial"/>
                <w:sz w:val="16"/>
                <w:szCs w:val="16"/>
                <w:color w:val="auto"/>
              </w:rPr>
              <w:t>Administrative</w:t>
            </w:r>
          </w:p>
        </w:tc>
        <w:tc>
          <w:tcPr>
            <w:tcW w:w="240" w:type="dxa"/>
            <w:vAlign w:val="bottom"/>
          </w:tcPr>
          <w:p>
            <w:pPr>
              <w:spacing w:after="0"/>
              <w:rPr>
                <w:sz w:val="23"/>
                <w:szCs w:val="23"/>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16,487</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13,341</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31,742</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26,420</w:t>
            </w:r>
          </w:p>
        </w:tc>
      </w:tr>
      <w:tr>
        <w:trPr>
          <w:trHeight w:val="270"/>
        </w:trPr>
        <w:tc>
          <w:tcPr>
            <w:tcW w:w="6020" w:type="dxa"/>
            <w:vAlign w:val="bottom"/>
          </w:tcPr>
          <w:p>
            <w:pPr>
              <w:ind w:left="240"/>
              <w:spacing w:after="0"/>
              <w:rPr>
                <w:sz w:val="20"/>
                <w:szCs w:val="20"/>
                <w:color w:val="auto"/>
              </w:rPr>
            </w:pPr>
            <w:r>
              <w:rPr>
                <w:rFonts w:ascii="Arial" w:cs="Arial" w:eastAsia="Arial" w:hAnsi="Arial"/>
                <w:sz w:val="16"/>
                <w:szCs w:val="16"/>
                <w:color w:val="auto"/>
              </w:rPr>
              <w:t>Depreciation and amortization</w:t>
            </w:r>
          </w:p>
        </w:tc>
        <w:tc>
          <w:tcPr>
            <w:tcW w:w="240" w:type="dxa"/>
            <w:vAlign w:val="bottom"/>
          </w:tcPr>
          <w:p>
            <w:pPr>
              <w:spacing w:after="0"/>
              <w:rPr>
                <w:sz w:val="23"/>
                <w:szCs w:val="23"/>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7,012</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6,451</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13,860</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12,174</w:t>
            </w:r>
          </w:p>
        </w:tc>
      </w:tr>
      <w:tr>
        <w:trPr>
          <w:trHeight w:val="270"/>
        </w:trPr>
        <w:tc>
          <w:tcPr>
            <w:tcW w:w="6020" w:type="dxa"/>
            <w:vAlign w:val="bottom"/>
          </w:tcPr>
          <w:p>
            <w:pPr>
              <w:ind w:left="240"/>
              <w:spacing w:after="0"/>
              <w:rPr>
                <w:sz w:val="20"/>
                <w:szCs w:val="20"/>
                <w:color w:val="auto"/>
              </w:rPr>
            </w:pPr>
            <w:r>
              <w:rPr>
                <w:rFonts w:ascii="Arial" w:cs="Arial" w:eastAsia="Arial" w:hAnsi="Arial"/>
                <w:sz w:val="16"/>
                <w:szCs w:val="16"/>
                <w:color w:val="auto"/>
              </w:rPr>
              <w:t>(Gain) loss on sale or disposal of assets and other</w:t>
            </w:r>
          </w:p>
        </w:tc>
        <w:tc>
          <w:tcPr>
            <w:tcW w:w="24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(823)</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100</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3,619</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139</w:t>
            </w:r>
          </w:p>
        </w:tc>
      </w:tr>
      <w:tr>
        <w:trPr>
          <w:trHeight w:val="33"/>
        </w:trPr>
        <w:tc>
          <w:tcPr>
            <w:tcW w:w="60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17"/>
        </w:trPr>
        <w:tc>
          <w:tcPr>
            <w:tcW w:w="6020" w:type="dxa"/>
            <w:vAlign w:val="bottom"/>
          </w:tcPr>
          <w:p>
            <w:pPr>
              <w:ind w:left="460"/>
              <w:spacing w:after="0"/>
              <w:rPr>
                <w:sz w:val="20"/>
                <w:szCs w:val="20"/>
                <w:color w:val="auto"/>
              </w:rPr>
            </w:pPr>
            <w:r>
              <w:rPr>
                <w:rFonts w:ascii="Arial" w:cs="Arial" w:eastAsia="Arial" w:hAnsi="Arial"/>
                <w:sz w:val="16"/>
                <w:szCs w:val="16"/>
                <w:color w:val="auto"/>
              </w:rPr>
              <w:t>Total operating expenses</w:t>
            </w:r>
          </w:p>
        </w:tc>
        <w:tc>
          <w:tcPr>
            <w:tcW w:w="240" w:type="dxa"/>
            <w:vAlign w:val="bottom"/>
          </w:tcPr>
          <w:p>
            <w:pPr>
              <w:spacing w:after="0"/>
              <w:rPr>
                <w:sz w:val="18"/>
                <w:szCs w:val="18"/>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110,919</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102,072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226,250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204,559</w:t>
            </w:r>
          </w:p>
        </w:tc>
      </w:tr>
      <w:tr>
        <w:trPr>
          <w:trHeight w:val="33"/>
        </w:trPr>
        <w:tc>
          <w:tcPr>
            <w:tcW w:w="60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17"/>
        </w:trPr>
        <w:tc>
          <w:tcPr>
            <w:tcW w:w="6020" w:type="dxa"/>
            <w:vAlign w:val="bottom"/>
          </w:tcPr>
          <w:p>
            <w:pPr>
              <w:ind w:left="680"/>
              <w:spacing w:after="0"/>
              <w:rPr>
                <w:sz w:val="20"/>
                <w:szCs w:val="20"/>
                <w:color w:val="auto"/>
              </w:rPr>
            </w:pPr>
            <w:r>
              <w:rPr>
                <w:rFonts w:ascii="Arial" w:cs="Arial" w:eastAsia="Arial" w:hAnsi="Arial"/>
                <w:sz w:val="16"/>
                <w:szCs w:val="16"/>
                <w:color w:val="auto"/>
              </w:rPr>
              <w:t>Operating income</w:t>
            </w:r>
          </w:p>
        </w:tc>
        <w:tc>
          <w:tcPr>
            <w:tcW w:w="240" w:type="dxa"/>
            <w:vAlign w:val="bottom"/>
          </w:tcPr>
          <w:p>
            <w:pPr>
              <w:spacing w:after="0"/>
              <w:rPr>
                <w:sz w:val="18"/>
                <w:szCs w:val="18"/>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16,771</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18,185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31,489</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37,787</w:t>
            </w:r>
          </w:p>
        </w:tc>
      </w:tr>
      <w:tr>
        <w:trPr>
          <w:trHeight w:val="270"/>
        </w:trPr>
        <w:tc>
          <w:tcPr>
            <w:tcW w:w="6020" w:type="dxa"/>
            <w:vAlign w:val="bottom"/>
          </w:tcPr>
          <w:p>
            <w:pPr>
              <w:spacing w:after="0"/>
              <w:rPr>
                <w:sz w:val="20"/>
                <w:szCs w:val="20"/>
                <w:color w:val="auto"/>
              </w:rPr>
            </w:pPr>
            <w:r>
              <w:rPr>
                <w:rFonts w:ascii="Arial" w:cs="Arial" w:eastAsia="Arial" w:hAnsi="Arial"/>
                <w:sz w:val="16"/>
                <w:szCs w:val="16"/>
                <w:color w:val="auto"/>
              </w:rPr>
              <w:t>Interest expense</w:t>
            </w:r>
          </w:p>
        </w:tc>
        <w:tc>
          <w:tcPr>
            <w:tcW w:w="240" w:type="dxa"/>
            <w:vAlign w:val="bottom"/>
          </w:tcPr>
          <w:p>
            <w:pPr>
              <w:spacing w:after="0"/>
              <w:rPr>
                <w:sz w:val="23"/>
                <w:szCs w:val="23"/>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8,589</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5,829</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17,380</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11,676</w:t>
            </w:r>
          </w:p>
        </w:tc>
      </w:tr>
      <w:tr>
        <w:trPr>
          <w:trHeight w:val="270"/>
        </w:trPr>
        <w:tc>
          <w:tcPr>
            <w:tcW w:w="6020" w:type="dxa"/>
            <w:vAlign w:val="bottom"/>
          </w:tcPr>
          <w:p>
            <w:pPr>
              <w:spacing w:after="0"/>
              <w:rPr>
                <w:sz w:val="20"/>
                <w:szCs w:val="20"/>
                <w:color w:val="auto"/>
              </w:rPr>
            </w:pPr>
            <w:r>
              <w:rPr>
                <w:rFonts w:ascii="Arial" w:cs="Arial" w:eastAsia="Arial" w:hAnsi="Arial"/>
                <w:sz w:val="16"/>
                <w:szCs w:val="16"/>
                <w:color w:val="auto"/>
              </w:rPr>
              <w:t>Interest income</w:t>
            </w:r>
          </w:p>
        </w:tc>
        <w:tc>
          <w:tcPr>
            <w:tcW w:w="24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(3,126)</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(4,268)</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(6,465)</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(8,538)</w:t>
            </w:r>
          </w:p>
        </w:tc>
      </w:tr>
      <w:tr>
        <w:trPr>
          <w:trHeight w:val="270"/>
        </w:trPr>
        <w:tc>
          <w:tcPr>
            <w:tcW w:w="6020" w:type="dxa"/>
            <w:vAlign w:val="bottom"/>
          </w:tcPr>
          <w:p>
            <w:pPr>
              <w:spacing w:after="0"/>
              <w:rPr>
                <w:sz w:val="20"/>
                <w:szCs w:val="20"/>
                <w:color w:val="auto"/>
              </w:rPr>
            </w:pPr>
            <w:r>
              <w:rPr>
                <w:rFonts w:ascii="Arial" w:cs="Arial" w:eastAsia="Arial" w:hAnsi="Arial"/>
                <w:sz w:val="16"/>
                <w:szCs w:val="16"/>
                <w:color w:val="auto"/>
              </w:rPr>
              <w:t>Equity in net (income) loss of unconsolidated affiliates</w:t>
            </w:r>
          </w:p>
        </w:tc>
        <w:tc>
          <w:tcPr>
            <w:tcW w:w="24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(431)</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(876)</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688</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(2,326)</w:t>
            </w:r>
          </w:p>
        </w:tc>
      </w:tr>
      <w:tr>
        <w:trPr>
          <w:trHeight w:val="270"/>
        </w:trPr>
        <w:tc>
          <w:tcPr>
            <w:tcW w:w="6020" w:type="dxa"/>
            <w:vAlign w:val="bottom"/>
          </w:tcPr>
          <w:p>
            <w:pPr>
              <w:spacing w:after="0"/>
              <w:rPr>
                <w:sz w:val="20"/>
                <w:szCs w:val="20"/>
                <w:color w:val="auto"/>
              </w:rPr>
            </w:pPr>
            <w:r>
              <w:rPr>
                <w:rFonts w:ascii="Arial" w:cs="Arial" w:eastAsia="Arial" w:hAnsi="Arial"/>
                <w:sz w:val="16"/>
                <w:szCs w:val="16"/>
                <w:color w:val="auto"/>
              </w:rPr>
              <w:t>Impairment of investment in unconsolidated affiliates</w:t>
            </w:r>
          </w:p>
        </w:tc>
        <w:tc>
          <w:tcPr>
            <w:tcW w:w="240" w:type="dxa"/>
            <w:vAlign w:val="bottom"/>
          </w:tcPr>
          <w:p>
            <w:pPr>
              <w:spacing w:after="0"/>
              <w:rPr>
                <w:sz w:val="23"/>
                <w:szCs w:val="23"/>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6,451</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3"/>
                <w:szCs w:val="23"/>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19,725</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6020" w:type="dxa"/>
            <w:vAlign w:val="bottom"/>
          </w:tcPr>
          <w:p>
            <w:pPr>
              <w:spacing w:after="0"/>
              <w:rPr>
                <w:sz w:val="20"/>
                <w:szCs w:val="20"/>
                <w:color w:val="auto"/>
              </w:rPr>
            </w:pPr>
            <w:r>
              <w:rPr>
                <w:rFonts w:ascii="Arial" w:cs="Arial" w:eastAsia="Arial" w:hAnsi="Arial"/>
                <w:sz w:val="16"/>
                <w:szCs w:val="16"/>
                <w:color w:val="auto"/>
              </w:rPr>
              <w:t>Other expense (income)</w:t>
            </w:r>
          </w:p>
        </w:tc>
        <w:tc>
          <w:tcPr>
            <w:tcW w:w="240" w:type="dxa"/>
            <w:vAlign w:val="bottom"/>
          </w:tcPr>
          <w:p>
            <w:pPr>
              <w:spacing w:after="0"/>
              <w:rPr>
                <w:sz w:val="23"/>
                <w:szCs w:val="23"/>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269</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(117)</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(186)</w:t>
            </w:r>
          </w:p>
        </w:tc>
      </w:tr>
      <w:tr>
        <w:trPr>
          <w:trHeight w:val="33"/>
        </w:trPr>
        <w:tc>
          <w:tcPr>
            <w:tcW w:w="60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17"/>
        </w:trPr>
        <w:tc>
          <w:tcPr>
            <w:tcW w:w="6020" w:type="dxa"/>
            <w:vAlign w:val="bottom"/>
          </w:tcPr>
          <w:p>
            <w:pPr>
              <w:spacing w:after="0"/>
              <w:rPr>
                <w:sz w:val="20"/>
                <w:szCs w:val="20"/>
                <w:color w:val="auto"/>
              </w:rPr>
            </w:pPr>
            <w:r>
              <w:rPr>
                <w:rFonts w:ascii="Arial" w:cs="Arial" w:eastAsia="Arial" w:hAnsi="Arial"/>
                <w:sz w:val="16"/>
                <w:szCs w:val="16"/>
                <w:color w:val="auto"/>
              </w:rPr>
              <w:t>Income from continuing operations before income taxes</w:t>
            </w:r>
          </w:p>
        </w:tc>
        <w:tc>
          <w:tcPr>
            <w:tcW w:w="240" w:type="dxa"/>
            <w:vAlign w:val="bottom"/>
          </w:tcPr>
          <w:p>
            <w:pPr>
              <w:spacing w:after="0"/>
              <w:rPr>
                <w:sz w:val="18"/>
                <w:szCs w:val="18"/>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5,019</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17,504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278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37,161</w:t>
            </w:r>
          </w:p>
        </w:tc>
      </w:tr>
      <w:tr>
        <w:trPr>
          <w:trHeight w:val="270"/>
        </w:trPr>
        <w:tc>
          <w:tcPr>
            <w:tcW w:w="6020" w:type="dxa"/>
            <w:vAlign w:val="bottom"/>
          </w:tcPr>
          <w:p>
            <w:pPr>
              <w:spacing w:after="0"/>
              <w:rPr>
                <w:sz w:val="20"/>
                <w:szCs w:val="20"/>
                <w:color w:val="auto"/>
              </w:rPr>
            </w:pPr>
            <w:r>
              <w:rPr>
                <w:rFonts w:ascii="Arial" w:cs="Arial" w:eastAsia="Arial" w:hAnsi="Arial"/>
                <w:sz w:val="16"/>
                <w:szCs w:val="16"/>
                <w:color w:val="auto"/>
              </w:rPr>
              <w:t>Income tax expense</w:t>
            </w:r>
          </w:p>
        </w:tc>
        <w:tc>
          <w:tcPr>
            <w:tcW w:w="240" w:type="dxa"/>
            <w:vAlign w:val="bottom"/>
          </w:tcPr>
          <w:p>
            <w:pPr>
              <w:spacing w:after="0"/>
              <w:rPr>
                <w:sz w:val="23"/>
                <w:szCs w:val="23"/>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2,360</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5,797</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1,279</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13,208</w:t>
            </w:r>
          </w:p>
        </w:tc>
      </w:tr>
      <w:tr>
        <w:trPr>
          <w:trHeight w:val="33"/>
        </w:trPr>
        <w:tc>
          <w:tcPr>
            <w:tcW w:w="60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17"/>
        </w:trPr>
        <w:tc>
          <w:tcPr>
            <w:tcW w:w="6020" w:type="dxa"/>
            <w:vAlign w:val="bottom"/>
          </w:tcPr>
          <w:p>
            <w:pPr>
              <w:spacing w:after="0"/>
              <w:rPr>
                <w:sz w:val="20"/>
                <w:szCs w:val="20"/>
                <w:color w:val="auto"/>
              </w:rPr>
            </w:pPr>
            <w:r>
              <w:rPr>
                <w:rFonts w:ascii="Arial" w:cs="Arial" w:eastAsia="Arial" w:hAnsi="Arial"/>
                <w:sz w:val="16"/>
                <w:szCs w:val="16"/>
                <w:color w:val="auto"/>
              </w:rPr>
              <w:t>Income (loss) from continuing operations, net of tax</w:t>
            </w:r>
          </w:p>
        </w:tc>
        <w:tc>
          <w:tcPr>
            <w:tcW w:w="240" w:type="dxa"/>
            <w:vAlign w:val="bottom"/>
          </w:tcPr>
          <w:p>
            <w:pPr>
              <w:spacing w:after="0"/>
              <w:rPr>
                <w:sz w:val="18"/>
                <w:szCs w:val="18"/>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2,659</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11,707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(1,001)</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23,953</w:t>
            </w:r>
          </w:p>
        </w:tc>
      </w:tr>
      <w:tr>
        <w:trPr>
          <w:trHeight w:val="270"/>
        </w:trPr>
        <w:tc>
          <w:tcPr>
            <w:tcW w:w="6020" w:type="dxa"/>
            <w:vAlign w:val="bottom"/>
          </w:tcPr>
          <w:p>
            <w:pPr>
              <w:spacing w:after="0"/>
              <w:rPr>
                <w:sz w:val="20"/>
                <w:szCs w:val="20"/>
                <w:color w:val="auto"/>
              </w:rPr>
            </w:pPr>
            <w:r>
              <w:rPr>
                <w:rFonts w:ascii="Arial" w:cs="Arial" w:eastAsia="Arial" w:hAnsi="Arial"/>
                <w:sz w:val="16"/>
                <w:szCs w:val="16"/>
                <w:color w:val="auto"/>
              </w:rPr>
              <w:t>Loss from discontinued operations, net of tax</w:t>
            </w:r>
          </w:p>
        </w:tc>
        <w:tc>
          <w:tcPr>
            <w:tcW w:w="24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(18)</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(500)</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(201)</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(722)</w:t>
            </w:r>
          </w:p>
        </w:tc>
      </w:tr>
      <w:tr>
        <w:trPr>
          <w:trHeight w:val="33"/>
        </w:trPr>
        <w:tc>
          <w:tcPr>
            <w:tcW w:w="60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17"/>
        </w:trPr>
        <w:tc>
          <w:tcPr>
            <w:tcW w:w="6020" w:type="dxa"/>
            <w:vAlign w:val="bottom"/>
          </w:tcPr>
          <w:p>
            <w:pPr>
              <w:spacing w:after="0"/>
              <w:rPr>
                <w:sz w:val="20"/>
                <w:szCs w:val="20"/>
                <w:color w:val="auto"/>
              </w:rPr>
            </w:pPr>
            <w:r>
              <w:rPr>
                <w:rFonts w:ascii="Arial" w:cs="Arial" w:eastAsia="Arial" w:hAnsi="Arial"/>
                <w:sz w:val="16"/>
                <w:szCs w:val="16"/>
                <w:color w:val="auto"/>
              </w:rPr>
              <w:t>Net income (loss)</w:t>
            </w:r>
          </w:p>
        </w:tc>
        <w:tc>
          <w:tcPr>
            <w:tcW w:w="240" w:type="dxa"/>
            <w:vAlign w:val="bottom"/>
          </w:tcPr>
          <w:p>
            <w:pPr>
              <w:spacing w:after="0"/>
              <w:rPr>
                <w:sz w:val="18"/>
                <w:szCs w:val="18"/>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2,641</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11,207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(1,202)</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23,231</w:t>
            </w:r>
          </w:p>
        </w:tc>
      </w:tr>
      <w:tr>
        <w:trPr>
          <w:trHeight w:val="270"/>
        </w:trPr>
        <w:tc>
          <w:tcPr>
            <w:tcW w:w="6020" w:type="dxa"/>
            <w:vAlign w:val="bottom"/>
          </w:tcPr>
          <w:p>
            <w:pPr>
              <w:spacing w:after="0"/>
              <w:rPr>
                <w:sz w:val="20"/>
                <w:szCs w:val="20"/>
                <w:color w:val="auto"/>
              </w:rPr>
            </w:pPr>
            <w:r>
              <w:rPr>
                <w:rFonts w:ascii="Arial" w:cs="Arial" w:eastAsia="Arial" w:hAnsi="Arial"/>
                <w:sz w:val="16"/>
                <w:szCs w:val="16"/>
                <w:color w:val="auto"/>
              </w:rPr>
              <w:t>Net loss attributable to noncontrolling interest</w:t>
            </w:r>
          </w:p>
        </w:tc>
        <w:tc>
          <w:tcPr>
            <w:tcW w:w="24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(753)</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(374)</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(1,230)</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(989)</w:t>
            </w:r>
          </w:p>
        </w:tc>
      </w:tr>
      <w:tr>
        <w:trPr>
          <w:trHeight w:val="33"/>
        </w:trPr>
        <w:tc>
          <w:tcPr>
            <w:tcW w:w="60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6020" w:type="dxa"/>
            <w:vAlign w:val="bottom"/>
          </w:tcPr>
          <w:p>
            <w:pPr>
              <w:spacing w:after="0"/>
              <w:rPr>
                <w:sz w:val="20"/>
                <w:szCs w:val="20"/>
                <w:color w:val="auto"/>
              </w:rPr>
            </w:pPr>
            <w:r>
              <w:rPr>
                <w:rFonts w:ascii="Arial" w:cs="Arial" w:eastAsia="Arial" w:hAnsi="Arial"/>
                <w:sz w:val="16"/>
                <w:szCs w:val="16"/>
                <w:color w:val="auto"/>
              </w:rPr>
              <w:t>Net income attributable to EZCORP, Inc.</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3,394</w:t>
            </w:r>
          </w:p>
        </w:tc>
        <w:tc>
          <w:tcPr>
            <w:tcW w:w="120" w:type="dxa"/>
            <w:vAlign w:val="bottom"/>
          </w:tcPr>
          <w:p>
            <w:pPr>
              <w:spacing w:after="0"/>
              <w:rPr>
                <w:sz w:val="21"/>
                <w:szCs w:val="21"/>
                <w:color w:val="auto"/>
              </w:rPr>
            </w:pPr>
          </w:p>
        </w:tc>
        <w:tc>
          <w:tcPr>
            <w:tcW w:w="30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11,581</w:t>
            </w:r>
          </w:p>
        </w:tc>
        <w:tc>
          <w:tcPr>
            <w:tcW w:w="100" w:type="dxa"/>
            <w:vAlign w:val="bottom"/>
          </w:tcPr>
          <w:p>
            <w:pPr>
              <w:spacing w:after="0"/>
              <w:rPr>
                <w:sz w:val="21"/>
                <w:szCs w:val="21"/>
                <w:color w:val="auto"/>
              </w:rPr>
            </w:pP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28</w:t>
            </w:r>
          </w:p>
        </w:tc>
        <w:tc>
          <w:tcPr>
            <w:tcW w:w="120" w:type="dxa"/>
            <w:vAlign w:val="bottom"/>
          </w:tcPr>
          <w:p>
            <w:pPr>
              <w:spacing w:after="0"/>
              <w:rPr>
                <w:sz w:val="21"/>
                <w:szCs w:val="21"/>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24,220</w:t>
            </w:r>
          </w:p>
        </w:tc>
      </w:tr>
      <w:tr>
        <w:trPr>
          <w:trHeight w:val="20"/>
        </w:trPr>
        <w:tc>
          <w:tcPr>
            <w:tcW w:w="60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494"/>
        </w:trPr>
        <w:tc>
          <w:tcPr>
            <w:tcW w:w="6020" w:type="dxa"/>
            <w:vAlign w:val="bottom"/>
          </w:tcPr>
          <w:p>
            <w:pPr>
              <w:spacing w:after="0"/>
              <w:rPr>
                <w:sz w:val="20"/>
                <w:szCs w:val="20"/>
                <w:color w:val="auto"/>
              </w:rPr>
            </w:pPr>
            <w:r>
              <w:rPr>
                <w:rFonts w:ascii="Arial" w:cs="Arial" w:eastAsia="Arial" w:hAnsi="Arial"/>
                <w:sz w:val="16"/>
                <w:szCs w:val="16"/>
                <w:color w:val="auto"/>
              </w:rPr>
              <w:t>Basic earnings per share attributable to EZCORP, Inc. — continuing operations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0.06</w:t>
            </w:r>
          </w:p>
        </w:tc>
        <w:tc>
          <w:tcPr>
            <w:tcW w:w="120" w:type="dxa"/>
            <w:vAlign w:val="bottom"/>
          </w:tcPr>
          <w:p>
            <w:pPr>
              <w:spacing w:after="0"/>
              <w:rPr>
                <w:sz w:val="24"/>
                <w:szCs w:val="24"/>
                <w:color w:val="auto"/>
              </w:rPr>
            </w:pPr>
          </w:p>
        </w:tc>
        <w:tc>
          <w:tcPr>
            <w:tcW w:w="300" w:type="dxa"/>
            <w:vAlign w:val="bottom"/>
          </w:tcPr>
          <w:p>
            <w:pPr>
              <w:jc w:val="right"/>
              <w:ind w:right="101"/>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0.22</w:t>
            </w:r>
          </w:p>
        </w:tc>
        <w:tc>
          <w:tcPr>
            <w:tcW w:w="100" w:type="dxa"/>
            <w:vAlign w:val="bottom"/>
          </w:tcPr>
          <w:p>
            <w:pPr>
              <w:spacing w:after="0"/>
              <w:rPr>
                <w:sz w:val="24"/>
                <w:szCs w:val="24"/>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0.46</w:t>
            </w:r>
          </w:p>
        </w:tc>
      </w:tr>
      <w:tr>
        <w:trPr>
          <w:trHeight w:val="270"/>
        </w:trPr>
        <w:tc>
          <w:tcPr>
            <w:tcW w:w="6020" w:type="dxa"/>
            <w:vAlign w:val="bottom"/>
          </w:tcPr>
          <w:p>
            <w:pPr>
              <w:spacing w:after="0"/>
              <w:rPr>
                <w:sz w:val="20"/>
                <w:szCs w:val="20"/>
                <w:color w:val="auto"/>
              </w:rPr>
            </w:pPr>
            <w:r>
              <w:rPr>
                <w:rFonts w:ascii="Arial" w:cs="Arial" w:eastAsia="Arial" w:hAnsi="Arial"/>
                <w:sz w:val="16"/>
                <w:szCs w:val="16"/>
                <w:color w:val="auto"/>
              </w:rPr>
              <w:t>Diluted earnings per share attributable to EZCORP, Inc. — continuing operations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0.06</w:t>
            </w:r>
          </w:p>
        </w:tc>
        <w:tc>
          <w:tcPr>
            <w:tcW w:w="120" w:type="dxa"/>
            <w:vAlign w:val="bottom"/>
          </w:tcPr>
          <w:p>
            <w:pPr>
              <w:spacing w:after="0"/>
              <w:rPr>
                <w:sz w:val="23"/>
                <w:szCs w:val="23"/>
                <w:color w:val="auto"/>
              </w:rPr>
            </w:pPr>
          </w:p>
        </w:tc>
        <w:tc>
          <w:tcPr>
            <w:tcW w:w="300" w:type="dxa"/>
            <w:vAlign w:val="bottom"/>
          </w:tcPr>
          <w:p>
            <w:pPr>
              <w:jc w:val="right"/>
              <w:ind w:right="101"/>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0.21</w:t>
            </w:r>
          </w:p>
        </w:tc>
        <w:tc>
          <w:tcPr>
            <w:tcW w:w="100" w:type="dxa"/>
            <w:vAlign w:val="bottom"/>
          </w:tcPr>
          <w:p>
            <w:pPr>
              <w:spacing w:after="0"/>
              <w:rPr>
                <w:sz w:val="23"/>
                <w:szCs w:val="23"/>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0.44</w:t>
            </w:r>
          </w:p>
        </w:tc>
      </w:tr>
      <w:tr>
        <w:trPr>
          <w:trHeight w:val="540"/>
        </w:trPr>
        <w:tc>
          <w:tcPr>
            <w:tcW w:w="6020" w:type="dxa"/>
            <w:vAlign w:val="bottom"/>
          </w:tcPr>
          <w:p>
            <w:pPr>
              <w:spacing w:after="0"/>
              <w:rPr>
                <w:sz w:val="20"/>
                <w:szCs w:val="20"/>
                <w:color w:val="auto"/>
              </w:rPr>
            </w:pPr>
            <w:r>
              <w:rPr>
                <w:rFonts w:ascii="Arial" w:cs="Arial" w:eastAsia="Arial" w:hAnsi="Arial"/>
                <w:sz w:val="16"/>
                <w:szCs w:val="16"/>
                <w:color w:val="auto"/>
              </w:rPr>
              <w:t>Weighted-average basic shares outstanding</w:t>
            </w:r>
          </w:p>
        </w:tc>
        <w:tc>
          <w:tcPr>
            <w:tcW w:w="240" w:type="dxa"/>
            <w:vAlign w:val="bottom"/>
          </w:tcPr>
          <w:p>
            <w:pPr>
              <w:spacing w:after="0"/>
              <w:rPr>
                <w:sz w:val="24"/>
                <w:szCs w:val="24"/>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55,445</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54,464</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55,236</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54,447</w:t>
            </w:r>
          </w:p>
        </w:tc>
      </w:tr>
      <w:tr>
        <w:trPr>
          <w:trHeight w:val="270"/>
        </w:trPr>
        <w:tc>
          <w:tcPr>
            <w:tcW w:w="6020" w:type="dxa"/>
            <w:vAlign w:val="bottom"/>
          </w:tcPr>
          <w:p>
            <w:pPr>
              <w:spacing w:after="0"/>
              <w:rPr>
                <w:sz w:val="20"/>
                <w:szCs w:val="20"/>
                <w:color w:val="auto"/>
              </w:rPr>
            </w:pPr>
            <w:r>
              <w:rPr>
                <w:rFonts w:ascii="Arial" w:cs="Arial" w:eastAsia="Arial" w:hAnsi="Arial"/>
                <w:sz w:val="16"/>
                <w:szCs w:val="16"/>
                <w:color w:val="auto"/>
              </w:rPr>
              <w:t>Weighted-average diluted shares outstanding</w:t>
            </w:r>
          </w:p>
        </w:tc>
        <w:tc>
          <w:tcPr>
            <w:tcW w:w="240" w:type="dxa"/>
            <w:vAlign w:val="bottom"/>
          </w:tcPr>
          <w:p>
            <w:pPr>
              <w:spacing w:after="0"/>
              <w:rPr>
                <w:sz w:val="23"/>
                <w:szCs w:val="23"/>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55,463</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57,624</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55,247</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56,642</w:t>
            </w:r>
          </w:p>
        </w:tc>
      </w:tr>
    </w:tbl>
    <w:p>
      <w:pPr>
        <w:sectPr>
          <w:pgSz w:w="11900" w:h="16838" w:orient="portrait"/>
          <w:cols w:equalWidth="0" w:num="1">
            <w:col w:w="11380"/>
          </w:cols>
          <w:pgMar w:left="280" w:top="990" w:right="239" w:bottom="1440" w:gutter="0" w:footer="0" w:header="0"/>
        </w:sectPr>
      </w:pPr>
    </w:p>
    <w:bookmarkStart w:id="8" w:name="page9"/>
    <w:bookmarkEnd w:id="8"/>
    <w:p>
      <w:pPr>
        <w:jc w:val="center"/>
        <w:ind w:right="40"/>
        <w:spacing w:after="0"/>
        <w:rPr>
          <w:sz w:val="20"/>
          <w:szCs w:val="20"/>
          <w:color w:val="auto"/>
        </w:rPr>
      </w:pPr>
      <w:r>
        <w:rPr>
          <w:rFonts w:ascii="Arial" w:cs="Arial" w:eastAsia="Arial" w:hAnsi="Arial"/>
          <w:sz w:val="16"/>
          <w:szCs w:val="16"/>
          <w:b w:val="1"/>
          <w:bCs w:val="1"/>
          <w:color w:val="auto"/>
        </w:rPr>
        <w:t>EZCORP, Inc.</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CONDENSED CONSOLIDATED BALANCE SHEETS</w:t>
      </w:r>
    </w:p>
    <w:p>
      <w:pPr>
        <w:spacing w:after="0" w:line="5" w:lineRule="exact"/>
        <w:rPr>
          <w:sz w:val="20"/>
          <w:szCs w:val="20"/>
          <w:color w:val="auto"/>
        </w:rPr>
      </w:pPr>
    </w:p>
    <w:p>
      <w:pPr>
        <w:jc w:val="center"/>
        <w:ind w:right="40"/>
        <w:spacing w:after="0"/>
        <w:rPr>
          <w:sz w:val="20"/>
          <w:szCs w:val="20"/>
          <w:color w:val="auto"/>
        </w:rPr>
      </w:pPr>
      <w:r>
        <w:rPr>
          <w:rFonts w:ascii="Arial" w:cs="Arial" w:eastAsia="Arial" w:hAnsi="Arial"/>
          <w:sz w:val="16"/>
          <w:szCs w:val="16"/>
          <w:i w:val="1"/>
          <w:iCs w:val="1"/>
          <w:color w:val="auto"/>
        </w:rPr>
        <w:t>(in thousands, except share and per share amounts)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gridSpan w:val="2"/>
          </w:tcPr>
          <w:p>
            <w:pPr>
              <w:ind w:left="100"/>
              <w:spacing w:after="0"/>
              <w:rPr>
                <w:sz w:val="20"/>
                <w:szCs w:val="20"/>
                <w:color w:val="auto"/>
              </w:rPr>
            </w:pPr>
            <w:r>
              <w:rPr>
                <w:rFonts w:ascii="Arial" w:cs="Arial" w:eastAsia="Arial" w:hAnsi="Arial"/>
                <w:sz w:val="13"/>
                <w:szCs w:val="13"/>
                <w:b w:val="1"/>
                <w:bCs w:val="1"/>
                <w:color w:val="auto"/>
              </w:rPr>
              <w:t>March 31,</w:t>
            </w:r>
          </w:p>
        </w:tc>
        <w:tc>
          <w:tcPr>
            <w:tcW w:w="260" w:type="dxa"/>
            <w:vAlign w:val="bottom"/>
          </w:tcPr>
          <w:p>
            <w:pPr>
              <w:spacing w:after="0"/>
              <w:rPr>
                <w:sz w:val="13"/>
                <w:szCs w:val="13"/>
                <w:color w:val="auto"/>
              </w:rPr>
            </w:pPr>
          </w:p>
        </w:tc>
        <w:tc>
          <w:tcPr>
            <w:tcW w:w="980" w:type="dxa"/>
            <w:vAlign w:val="bottom"/>
            <w:gridSpan w:val="2"/>
          </w:tcPr>
          <w:p>
            <w:pPr>
              <w:ind w:left="20"/>
              <w:spacing w:after="0"/>
              <w:rPr>
                <w:sz w:val="20"/>
                <w:szCs w:val="20"/>
                <w:color w:val="auto"/>
              </w:rPr>
            </w:pPr>
            <w:r>
              <w:rPr>
                <w:rFonts w:ascii="Arial" w:cs="Arial" w:eastAsia="Arial" w:hAnsi="Arial"/>
                <w:sz w:val="13"/>
                <w:szCs w:val="13"/>
                <w:b w:val="1"/>
                <w:bCs w:val="1"/>
                <w:color w:val="auto"/>
              </w:rPr>
              <w:t>March 31,</w:t>
            </w:r>
          </w:p>
        </w:tc>
        <w:tc>
          <w:tcPr>
            <w:tcW w:w="120" w:type="dxa"/>
            <w:vAlign w:val="bottom"/>
          </w:tcPr>
          <w:p>
            <w:pPr>
              <w:spacing w:after="0"/>
              <w:rPr>
                <w:sz w:val="13"/>
                <w:szCs w:val="13"/>
                <w:color w:val="auto"/>
              </w:rPr>
            </w:pPr>
          </w:p>
        </w:tc>
        <w:tc>
          <w:tcPr>
            <w:tcW w:w="1000" w:type="dxa"/>
            <w:vAlign w:val="bottom"/>
          </w:tcPr>
          <w:p>
            <w:pPr>
              <w:jc w:val="right"/>
              <w:ind w:right="129"/>
              <w:spacing w:after="0"/>
              <w:rPr>
                <w:sz w:val="20"/>
                <w:szCs w:val="20"/>
                <w:color w:val="auto"/>
              </w:rPr>
            </w:pPr>
            <w:r>
              <w:rPr>
                <w:rFonts w:ascii="Arial" w:cs="Arial" w:eastAsia="Arial" w:hAnsi="Arial"/>
                <w:sz w:val="13"/>
                <w:szCs w:val="13"/>
                <w:b w:val="1"/>
                <w:bCs w:val="1"/>
                <w:color w:val="auto"/>
                <w:w w:val="87"/>
              </w:rPr>
              <w:t>September 30,</w:t>
            </w:r>
          </w:p>
        </w:tc>
        <w:tc>
          <w:tcPr>
            <w:tcW w:w="0" w:type="dxa"/>
            <w:vAlign w:val="bottom"/>
          </w:tcPr>
          <w:p>
            <w:pPr>
              <w:spacing w:after="0"/>
              <w:rPr>
                <w:sz w:val="1"/>
                <w:szCs w:val="1"/>
                <w:color w:val="auto"/>
              </w:rPr>
            </w:pPr>
          </w:p>
        </w:tc>
      </w:tr>
      <w:tr>
        <w:trPr>
          <w:trHeight w:val="174"/>
        </w:trPr>
        <w:tc>
          <w:tcPr>
            <w:tcW w:w="77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89"/>
              <w:spacing w:after="0"/>
              <w:rPr>
                <w:sz w:val="20"/>
                <w:szCs w:val="20"/>
                <w:color w:val="auto"/>
              </w:rPr>
            </w:pPr>
            <w:r>
              <w:rPr>
                <w:rFonts w:ascii="Arial" w:cs="Arial" w:eastAsia="Arial" w:hAnsi="Arial"/>
                <w:sz w:val="13"/>
                <w:szCs w:val="13"/>
                <w:b w:val="1"/>
                <w:bCs w:val="1"/>
                <w:color w:val="auto"/>
              </w:rPr>
              <w:t>2019</w:t>
            </w:r>
          </w:p>
        </w:tc>
        <w:tc>
          <w:tcPr>
            <w:tcW w:w="1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89"/>
              <w:spacing w:after="0"/>
              <w:rPr>
                <w:sz w:val="20"/>
                <w:szCs w:val="20"/>
                <w:color w:val="auto"/>
              </w:rPr>
            </w:pPr>
            <w:r>
              <w:rPr>
                <w:rFonts w:ascii="Arial" w:cs="Arial" w:eastAsia="Arial" w:hAnsi="Arial"/>
                <w:sz w:val="13"/>
                <w:szCs w:val="13"/>
                <w:b w:val="1"/>
                <w:bCs w:val="1"/>
                <w:color w:val="auto"/>
              </w:rPr>
              <w:t>2018</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69"/>
              <w:spacing w:after="0"/>
              <w:rPr>
                <w:sz w:val="20"/>
                <w:szCs w:val="20"/>
                <w:color w:val="auto"/>
              </w:rPr>
            </w:pPr>
            <w:r>
              <w:rPr>
                <w:rFonts w:ascii="Arial" w:cs="Arial" w:eastAsia="Arial" w:hAnsi="Arial"/>
                <w:sz w:val="13"/>
                <w:szCs w:val="13"/>
                <w:b w:val="1"/>
                <w:bCs w:val="1"/>
                <w:color w:val="auto"/>
              </w:rPr>
              <w:t>2018</w:t>
            </w:r>
          </w:p>
        </w:tc>
        <w:tc>
          <w:tcPr>
            <w:tcW w:w="0" w:type="dxa"/>
            <w:vAlign w:val="bottom"/>
          </w:tcPr>
          <w:p>
            <w:pPr>
              <w:spacing w:after="0"/>
              <w:rPr>
                <w:sz w:val="1"/>
                <w:szCs w:val="1"/>
                <w:color w:val="auto"/>
              </w:rPr>
            </w:pPr>
          </w:p>
        </w:tc>
      </w:tr>
      <w:tr>
        <w:trPr>
          <w:trHeight w:val="376"/>
        </w:trPr>
        <w:tc>
          <w:tcPr>
            <w:tcW w:w="7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gridSpan w:val="3"/>
          </w:tcPr>
          <w:p>
            <w:pPr>
              <w:jc w:val="right"/>
              <w:spacing w:after="0"/>
              <w:rPr>
                <w:sz w:val="20"/>
                <w:szCs w:val="20"/>
                <w:color w:val="auto"/>
              </w:rPr>
            </w:pPr>
            <w:r>
              <w:rPr>
                <w:rFonts w:ascii="Arial" w:cs="Arial" w:eastAsia="Arial" w:hAnsi="Arial"/>
                <w:sz w:val="13"/>
                <w:szCs w:val="13"/>
                <w:b w:val="1"/>
                <w:bCs w:val="1"/>
                <w:color w:val="auto"/>
              </w:rPr>
              <w:t>(Unaudited)</w:t>
            </w: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7740" w:type="dxa"/>
            <w:vAlign w:val="bottom"/>
          </w:tcPr>
          <w:p>
            <w:pPr>
              <w:spacing w:after="0"/>
              <w:rPr>
                <w:sz w:val="20"/>
                <w:szCs w:val="20"/>
                <w:color w:val="auto"/>
              </w:rPr>
            </w:pPr>
            <w:r>
              <w:rPr>
                <w:rFonts w:ascii="Arial" w:cs="Arial" w:eastAsia="Arial" w:hAnsi="Arial"/>
                <w:sz w:val="14"/>
                <w:szCs w:val="14"/>
                <w:color w:val="auto"/>
              </w:rPr>
              <w:t>Assets:</w:t>
            </w:r>
          </w:p>
        </w:tc>
        <w:tc>
          <w:tcPr>
            <w:tcW w:w="1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740" w:type="dxa"/>
            <w:vAlign w:val="bottom"/>
          </w:tcPr>
          <w:p>
            <w:pPr>
              <w:ind w:left="240"/>
              <w:spacing w:after="0"/>
              <w:rPr>
                <w:sz w:val="20"/>
                <w:szCs w:val="20"/>
                <w:color w:val="auto"/>
              </w:rPr>
            </w:pPr>
            <w:r>
              <w:rPr>
                <w:rFonts w:ascii="Arial" w:cs="Arial" w:eastAsia="Arial" w:hAnsi="Arial"/>
                <w:sz w:val="14"/>
                <w:szCs w:val="14"/>
                <w:color w:val="auto"/>
              </w:rPr>
              <w:t>Current assets:</w:t>
            </w:r>
          </w:p>
        </w:tc>
        <w:tc>
          <w:tcPr>
            <w:tcW w:w="1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740" w:type="dxa"/>
            <w:vAlign w:val="bottom"/>
          </w:tcPr>
          <w:p>
            <w:pPr>
              <w:ind w:left="460"/>
              <w:spacing w:after="0"/>
              <w:rPr>
                <w:sz w:val="20"/>
                <w:szCs w:val="20"/>
                <w:color w:val="auto"/>
              </w:rPr>
            </w:pPr>
            <w:r>
              <w:rPr>
                <w:rFonts w:ascii="Arial" w:cs="Arial" w:eastAsia="Arial" w:hAnsi="Arial"/>
                <w:sz w:val="14"/>
                <w:szCs w:val="14"/>
                <w:color w:val="auto"/>
              </w:rPr>
              <w:t>Cash and cash equivalents</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49"/>
              <w:spacing w:after="0"/>
              <w:rPr>
                <w:sz w:val="20"/>
                <w:szCs w:val="20"/>
                <w:color w:val="auto"/>
              </w:rPr>
            </w:pPr>
            <w:r>
              <w:rPr>
                <w:rFonts w:ascii="Arial" w:cs="Arial" w:eastAsia="Arial" w:hAnsi="Arial"/>
                <w:sz w:val="14"/>
                <w:szCs w:val="14"/>
                <w:color w:val="auto"/>
              </w:rPr>
              <w:t>347,786</w:t>
            </w:r>
          </w:p>
        </w:tc>
        <w:tc>
          <w:tcPr>
            <w:tcW w:w="120" w:type="dxa"/>
            <w:vAlign w:val="bottom"/>
          </w:tcPr>
          <w:p>
            <w:pPr>
              <w:spacing w:after="0"/>
              <w:rPr>
                <w:sz w:val="23"/>
                <w:szCs w:val="23"/>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159,216</w:t>
            </w:r>
          </w:p>
        </w:tc>
        <w:tc>
          <w:tcPr>
            <w:tcW w:w="1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285,311</w:t>
            </w:r>
          </w:p>
        </w:tc>
        <w:tc>
          <w:tcPr>
            <w:tcW w:w="0" w:type="dxa"/>
            <w:vAlign w:val="bottom"/>
          </w:tcPr>
          <w:p>
            <w:pPr>
              <w:spacing w:after="0"/>
              <w:rPr>
                <w:sz w:val="1"/>
                <w:szCs w:val="1"/>
                <w:color w:val="auto"/>
              </w:rPr>
            </w:pPr>
          </w:p>
        </w:tc>
      </w:tr>
      <w:tr>
        <w:trPr>
          <w:trHeight w:val="270"/>
        </w:trPr>
        <w:tc>
          <w:tcPr>
            <w:tcW w:w="7740" w:type="dxa"/>
            <w:vAlign w:val="bottom"/>
          </w:tcPr>
          <w:p>
            <w:pPr>
              <w:ind w:left="460"/>
              <w:spacing w:after="0"/>
              <w:rPr>
                <w:sz w:val="20"/>
                <w:szCs w:val="20"/>
                <w:color w:val="auto"/>
              </w:rPr>
            </w:pPr>
            <w:r>
              <w:rPr>
                <w:rFonts w:ascii="Arial" w:cs="Arial" w:eastAsia="Arial" w:hAnsi="Arial"/>
                <w:sz w:val="14"/>
                <w:szCs w:val="14"/>
                <w:color w:val="auto"/>
              </w:rPr>
              <w:t>Pawn loans</w:t>
            </w:r>
          </w:p>
        </w:tc>
        <w:tc>
          <w:tcPr>
            <w:tcW w:w="180" w:type="dxa"/>
            <w:vAlign w:val="bottom"/>
          </w:tcPr>
          <w:p>
            <w:pPr>
              <w:spacing w:after="0"/>
              <w:rPr>
                <w:sz w:val="23"/>
                <w:szCs w:val="23"/>
                <w:color w:val="auto"/>
              </w:rPr>
            </w:pPr>
          </w:p>
        </w:tc>
        <w:tc>
          <w:tcPr>
            <w:tcW w:w="980" w:type="dxa"/>
            <w:vAlign w:val="bottom"/>
          </w:tcPr>
          <w:p>
            <w:pPr>
              <w:jc w:val="right"/>
              <w:ind w:right="49"/>
              <w:spacing w:after="0"/>
              <w:rPr>
                <w:sz w:val="20"/>
                <w:szCs w:val="20"/>
                <w:color w:val="auto"/>
              </w:rPr>
            </w:pPr>
            <w:r>
              <w:rPr>
                <w:rFonts w:ascii="Arial" w:cs="Arial" w:eastAsia="Arial" w:hAnsi="Arial"/>
                <w:sz w:val="14"/>
                <w:szCs w:val="14"/>
                <w:color w:val="auto"/>
              </w:rPr>
              <w:t>173,138</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159,410</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198,463</w:t>
            </w:r>
          </w:p>
        </w:tc>
        <w:tc>
          <w:tcPr>
            <w:tcW w:w="0" w:type="dxa"/>
            <w:vAlign w:val="bottom"/>
          </w:tcPr>
          <w:p>
            <w:pPr>
              <w:spacing w:after="0"/>
              <w:rPr>
                <w:sz w:val="1"/>
                <w:szCs w:val="1"/>
                <w:color w:val="auto"/>
              </w:rPr>
            </w:pPr>
          </w:p>
        </w:tc>
      </w:tr>
      <w:tr>
        <w:trPr>
          <w:trHeight w:val="270"/>
        </w:trPr>
        <w:tc>
          <w:tcPr>
            <w:tcW w:w="7740" w:type="dxa"/>
            <w:vAlign w:val="bottom"/>
          </w:tcPr>
          <w:p>
            <w:pPr>
              <w:ind w:left="460"/>
              <w:spacing w:after="0"/>
              <w:rPr>
                <w:sz w:val="20"/>
                <w:szCs w:val="20"/>
                <w:color w:val="auto"/>
              </w:rPr>
            </w:pPr>
            <w:r>
              <w:rPr>
                <w:rFonts w:ascii="Arial" w:cs="Arial" w:eastAsia="Arial" w:hAnsi="Arial"/>
                <w:sz w:val="14"/>
                <w:szCs w:val="14"/>
                <w:color w:val="auto"/>
              </w:rPr>
              <w:t>Pawn service charges receivable, net</w:t>
            </w:r>
          </w:p>
        </w:tc>
        <w:tc>
          <w:tcPr>
            <w:tcW w:w="180" w:type="dxa"/>
            <w:vAlign w:val="bottom"/>
          </w:tcPr>
          <w:p>
            <w:pPr>
              <w:spacing w:after="0"/>
              <w:rPr>
                <w:sz w:val="23"/>
                <w:szCs w:val="23"/>
                <w:color w:val="auto"/>
              </w:rPr>
            </w:pPr>
          </w:p>
        </w:tc>
        <w:tc>
          <w:tcPr>
            <w:tcW w:w="980" w:type="dxa"/>
            <w:vAlign w:val="bottom"/>
          </w:tcPr>
          <w:p>
            <w:pPr>
              <w:jc w:val="right"/>
              <w:ind w:right="49"/>
              <w:spacing w:after="0"/>
              <w:rPr>
                <w:sz w:val="20"/>
                <w:szCs w:val="20"/>
                <w:color w:val="auto"/>
              </w:rPr>
            </w:pPr>
            <w:r>
              <w:rPr>
                <w:rFonts w:ascii="Arial" w:cs="Arial" w:eastAsia="Arial" w:hAnsi="Arial"/>
                <w:sz w:val="14"/>
                <w:szCs w:val="14"/>
                <w:color w:val="auto"/>
              </w:rPr>
              <w:t>27,097</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24,130</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30,959</w:t>
            </w:r>
          </w:p>
        </w:tc>
        <w:tc>
          <w:tcPr>
            <w:tcW w:w="0" w:type="dxa"/>
            <w:vAlign w:val="bottom"/>
          </w:tcPr>
          <w:p>
            <w:pPr>
              <w:spacing w:after="0"/>
              <w:rPr>
                <w:sz w:val="1"/>
                <w:szCs w:val="1"/>
                <w:color w:val="auto"/>
              </w:rPr>
            </w:pPr>
          </w:p>
        </w:tc>
      </w:tr>
      <w:tr>
        <w:trPr>
          <w:trHeight w:val="270"/>
        </w:trPr>
        <w:tc>
          <w:tcPr>
            <w:tcW w:w="7740" w:type="dxa"/>
            <w:vAlign w:val="bottom"/>
          </w:tcPr>
          <w:p>
            <w:pPr>
              <w:ind w:left="460"/>
              <w:spacing w:after="0"/>
              <w:rPr>
                <w:sz w:val="20"/>
                <w:szCs w:val="20"/>
                <w:color w:val="auto"/>
              </w:rPr>
            </w:pPr>
            <w:r>
              <w:rPr>
                <w:rFonts w:ascii="Arial" w:cs="Arial" w:eastAsia="Arial" w:hAnsi="Arial"/>
                <w:sz w:val="14"/>
                <w:szCs w:val="14"/>
                <w:color w:val="auto"/>
              </w:rPr>
              <w:t>Inventory, net</w:t>
            </w:r>
          </w:p>
        </w:tc>
        <w:tc>
          <w:tcPr>
            <w:tcW w:w="180" w:type="dxa"/>
            <w:vAlign w:val="bottom"/>
          </w:tcPr>
          <w:p>
            <w:pPr>
              <w:spacing w:after="0"/>
              <w:rPr>
                <w:sz w:val="23"/>
                <w:szCs w:val="23"/>
                <w:color w:val="auto"/>
              </w:rPr>
            </w:pPr>
          </w:p>
        </w:tc>
        <w:tc>
          <w:tcPr>
            <w:tcW w:w="980" w:type="dxa"/>
            <w:vAlign w:val="bottom"/>
          </w:tcPr>
          <w:p>
            <w:pPr>
              <w:jc w:val="right"/>
              <w:ind w:right="49"/>
              <w:spacing w:after="0"/>
              <w:rPr>
                <w:sz w:val="20"/>
                <w:szCs w:val="20"/>
                <w:color w:val="auto"/>
              </w:rPr>
            </w:pPr>
            <w:r>
              <w:rPr>
                <w:rFonts w:ascii="Arial" w:cs="Arial" w:eastAsia="Arial" w:hAnsi="Arial"/>
                <w:sz w:val="14"/>
                <w:szCs w:val="14"/>
                <w:color w:val="auto"/>
              </w:rPr>
              <w:t>173,348</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158,642</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166,997</w:t>
            </w:r>
          </w:p>
        </w:tc>
        <w:tc>
          <w:tcPr>
            <w:tcW w:w="0" w:type="dxa"/>
            <w:vAlign w:val="bottom"/>
          </w:tcPr>
          <w:p>
            <w:pPr>
              <w:spacing w:after="0"/>
              <w:rPr>
                <w:sz w:val="1"/>
                <w:szCs w:val="1"/>
                <w:color w:val="auto"/>
              </w:rPr>
            </w:pPr>
          </w:p>
        </w:tc>
      </w:tr>
      <w:tr>
        <w:trPr>
          <w:trHeight w:val="270"/>
        </w:trPr>
        <w:tc>
          <w:tcPr>
            <w:tcW w:w="7740" w:type="dxa"/>
            <w:vAlign w:val="bottom"/>
          </w:tcPr>
          <w:p>
            <w:pPr>
              <w:ind w:left="460"/>
              <w:spacing w:after="0"/>
              <w:rPr>
                <w:sz w:val="20"/>
                <w:szCs w:val="20"/>
                <w:color w:val="auto"/>
              </w:rPr>
            </w:pPr>
            <w:r>
              <w:rPr>
                <w:rFonts w:ascii="Arial" w:cs="Arial" w:eastAsia="Arial" w:hAnsi="Arial"/>
                <w:sz w:val="14"/>
                <w:szCs w:val="14"/>
                <w:color w:val="auto"/>
              </w:rPr>
              <w:t>Notes receivable, net</w:t>
            </w:r>
          </w:p>
        </w:tc>
        <w:tc>
          <w:tcPr>
            <w:tcW w:w="180" w:type="dxa"/>
            <w:vAlign w:val="bottom"/>
          </w:tcPr>
          <w:p>
            <w:pPr>
              <w:spacing w:after="0"/>
              <w:rPr>
                <w:sz w:val="23"/>
                <w:szCs w:val="23"/>
                <w:color w:val="auto"/>
              </w:rPr>
            </w:pPr>
          </w:p>
        </w:tc>
        <w:tc>
          <w:tcPr>
            <w:tcW w:w="980" w:type="dxa"/>
            <w:vAlign w:val="bottom"/>
          </w:tcPr>
          <w:p>
            <w:pPr>
              <w:jc w:val="right"/>
              <w:ind w:right="49"/>
              <w:spacing w:after="0"/>
              <w:rPr>
                <w:sz w:val="20"/>
                <w:szCs w:val="20"/>
                <w:color w:val="auto"/>
              </w:rPr>
            </w:pPr>
            <w:r>
              <w:rPr>
                <w:rFonts w:ascii="Arial" w:cs="Arial" w:eastAsia="Arial" w:hAnsi="Arial"/>
                <w:sz w:val="14"/>
                <w:szCs w:val="14"/>
                <w:color w:val="auto"/>
              </w:rPr>
              <w:t>23,450</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38,091</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34,199</w:t>
            </w:r>
          </w:p>
        </w:tc>
        <w:tc>
          <w:tcPr>
            <w:tcW w:w="0" w:type="dxa"/>
            <w:vAlign w:val="bottom"/>
          </w:tcPr>
          <w:p>
            <w:pPr>
              <w:spacing w:after="0"/>
              <w:rPr>
                <w:sz w:val="1"/>
                <w:szCs w:val="1"/>
                <w:color w:val="auto"/>
              </w:rPr>
            </w:pPr>
          </w:p>
        </w:tc>
      </w:tr>
      <w:tr>
        <w:trPr>
          <w:trHeight w:val="276"/>
        </w:trPr>
        <w:tc>
          <w:tcPr>
            <w:tcW w:w="7740" w:type="dxa"/>
            <w:vAlign w:val="bottom"/>
          </w:tcPr>
          <w:p>
            <w:pPr>
              <w:ind w:left="460"/>
              <w:spacing w:after="0"/>
              <w:rPr>
                <w:sz w:val="20"/>
                <w:szCs w:val="20"/>
                <w:color w:val="auto"/>
              </w:rPr>
            </w:pPr>
            <w:r>
              <w:rPr>
                <w:rFonts w:ascii="Arial" w:cs="Arial" w:eastAsia="Arial" w:hAnsi="Arial"/>
                <w:sz w:val="14"/>
                <w:szCs w:val="14"/>
                <w:color w:val="auto"/>
              </w:rPr>
              <w:t>Prepaid expenses and other current assets</w:t>
            </w:r>
          </w:p>
        </w:tc>
        <w:tc>
          <w:tcPr>
            <w:tcW w:w="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32,984</w:t>
            </w: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29,533</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33,456</w:t>
            </w:r>
          </w:p>
        </w:tc>
        <w:tc>
          <w:tcPr>
            <w:tcW w:w="0" w:type="dxa"/>
            <w:vAlign w:val="bottom"/>
          </w:tcPr>
          <w:p>
            <w:pPr>
              <w:spacing w:after="0"/>
              <w:rPr>
                <w:sz w:val="1"/>
                <w:szCs w:val="1"/>
                <w:color w:val="auto"/>
              </w:rPr>
            </w:pPr>
          </w:p>
        </w:tc>
      </w:tr>
      <w:tr>
        <w:trPr>
          <w:trHeight w:val="244"/>
        </w:trPr>
        <w:tc>
          <w:tcPr>
            <w:tcW w:w="7740" w:type="dxa"/>
            <w:vAlign w:val="bottom"/>
          </w:tcPr>
          <w:p>
            <w:pPr>
              <w:ind w:left="680"/>
              <w:spacing w:after="0"/>
              <w:rPr>
                <w:sz w:val="20"/>
                <w:szCs w:val="20"/>
                <w:color w:val="auto"/>
              </w:rPr>
            </w:pPr>
            <w:r>
              <w:rPr>
                <w:rFonts w:ascii="Arial" w:cs="Arial" w:eastAsia="Arial" w:hAnsi="Arial"/>
                <w:sz w:val="14"/>
                <w:szCs w:val="14"/>
                <w:color w:val="auto"/>
              </w:rPr>
              <w:t>Total current assets</w:t>
            </w:r>
          </w:p>
        </w:tc>
        <w:tc>
          <w:tcPr>
            <w:tcW w:w="180" w:type="dxa"/>
            <w:vAlign w:val="bottom"/>
          </w:tcPr>
          <w:p>
            <w:pPr>
              <w:spacing w:after="0"/>
              <w:rPr>
                <w:sz w:val="21"/>
                <w:szCs w:val="21"/>
                <w:color w:val="auto"/>
              </w:rPr>
            </w:pPr>
          </w:p>
        </w:tc>
        <w:tc>
          <w:tcPr>
            <w:tcW w:w="980" w:type="dxa"/>
            <w:vAlign w:val="bottom"/>
          </w:tcPr>
          <w:p>
            <w:pPr>
              <w:jc w:val="right"/>
              <w:ind w:right="49"/>
              <w:spacing w:after="0"/>
              <w:rPr>
                <w:sz w:val="20"/>
                <w:szCs w:val="20"/>
                <w:color w:val="auto"/>
              </w:rPr>
            </w:pPr>
            <w:r>
              <w:rPr>
                <w:rFonts w:ascii="Arial" w:cs="Arial" w:eastAsia="Arial" w:hAnsi="Arial"/>
                <w:sz w:val="14"/>
                <w:szCs w:val="14"/>
                <w:color w:val="auto"/>
              </w:rPr>
              <w:t>777,803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569,022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749,385</w:t>
            </w:r>
          </w:p>
        </w:tc>
        <w:tc>
          <w:tcPr>
            <w:tcW w:w="0" w:type="dxa"/>
            <w:vAlign w:val="bottom"/>
          </w:tcPr>
          <w:p>
            <w:pPr>
              <w:spacing w:after="0"/>
              <w:rPr>
                <w:sz w:val="1"/>
                <w:szCs w:val="1"/>
                <w:color w:val="auto"/>
              </w:rPr>
            </w:pPr>
          </w:p>
        </w:tc>
      </w:tr>
      <w:tr>
        <w:trPr>
          <w:trHeight w:val="270"/>
        </w:trPr>
        <w:tc>
          <w:tcPr>
            <w:tcW w:w="7740" w:type="dxa"/>
            <w:vAlign w:val="bottom"/>
          </w:tcPr>
          <w:p>
            <w:pPr>
              <w:ind w:left="240"/>
              <w:spacing w:after="0"/>
              <w:rPr>
                <w:sz w:val="20"/>
                <w:szCs w:val="20"/>
                <w:color w:val="auto"/>
              </w:rPr>
            </w:pPr>
            <w:r>
              <w:rPr>
                <w:rFonts w:ascii="Arial" w:cs="Arial" w:eastAsia="Arial" w:hAnsi="Arial"/>
                <w:sz w:val="14"/>
                <w:szCs w:val="14"/>
                <w:color w:val="auto"/>
              </w:rPr>
              <w:t>Investment in unconsolidated affiliates</w:t>
            </w:r>
          </w:p>
        </w:tc>
        <w:tc>
          <w:tcPr>
            <w:tcW w:w="180" w:type="dxa"/>
            <w:vAlign w:val="bottom"/>
          </w:tcPr>
          <w:p>
            <w:pPr>
              <w:spacing w:after="0"/>
              <w:rPr>
                <w:sz w:val="23"/>
                <w:szCs w:val="23"/>
                <w:color w:val="auto"/>
              </w:rPr>
            </w:pPr>
          </w:p>
        </w:tc>
        <w:tc>
          <w:tcPr>
            <w:tcW w:w="980" w:type="dxa"/>
            <w:vAlign w:val="bottom"/>
          </w:tcPr>
          <w:p>
            <w:pPr>
              <w:jc w:val="right"/>
              <w:ind w:right="49"/>
              <w:spacing w:after="0"/>
              <w:rPr>
                <w:sz w:val="20"/>
                <w:szCs w:val="20"/>
                <w:color w:val="auto"/>
              </w:rPr>
            </w:pPr>
            <w:r>
              <w:rPr>
                <w:rFonts w:ascii="Arial" w:cs="Arial" w:eastAsia="Arial" w:hAnsi="Arial"/>
                <w:sz w:val="14"/>
                <w:szCs w:val="14"/>
                <w:color w:val="auto"/>
              </w:rPr>
              <w:t>29,387</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46,509</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49,500</w:t>
            </w:r>
          </w:p>
        </w:tc>
        <w:tc>
          <w:tcPr>
            <w:tcW w:w="0" w:type="dxa"/>
            <w:vAlign w:val="bottom"/>
          </w:tcPr>
          <w:p>
            <w:pPr>
              <w:spacing w:after="0"/>
              <w:rPr>
                <w:sz w:val="1"/>
                <w:szCs w:val="1"/>
                <w:color w:val="auto"/>
              </w:rPr>
            </w:pPr>
          </w:p>
        </w:tc>
      </w:tr>
      <w:tr>
        <w:trPr>
          <w:trHeight w:val="270"/>
        </w:trPr>
        <w:tc>
          <w:tcPr>
            <w:tcW w:w="7740" w:type="dxa"/>
            <w:vAlign w:val="bottom"/>
          </w:tcPr>
          <w:p>
            <w:pPr>
              <w:ind w:left="240"/>
              <w:spacing w:after="0"/>
              <w:rPr>
                <w:sz w:val="20"/>
                <w:szCs w:val="20"/>
                <w:color w:val="auto"/>
              </w:rPr>
            </w:pPr>
            <w:r>
              <w:rPr>
                <w:rFonts w:ascii="Arial" w:cs="Arial" w:eastAsia="Arial" w:hAnsi="Arial"/>
                <w:sz w:val="14"/>
                <w:szCs w:val="14"/>
                <w:color w:val="auto"/>
              </w:rPr>
              <w:t>Property and equipment, net</w:t>
            </w:r>
          </w:p>
        </w:tc>
        <w:tc>
          <w:tcPr>
            <w:tcW w:w="180" w:type="dxa"/>
            <w:vAlign w:val="bottom"/>
          </w:tcPr>
          <w:p>
            <w:pPr>
              <w:spacing w:after="0"/>
              <w:rPr>
                <w:sz w:val="23"/>
                <w:szCs w:val="23"/>
                <w:color w:val="auto"/>
              </w:rPr>
            </w:pPr>
          </w:p>
        </w:tc>
        <w:tc>
          <w:tcPr>
            <w:tcW w:w="980" w:type="dxa"/>
            <w:vAlign w:val="bottom"/>
          </w:tcPr>
          <w:p>
            <w:pPr>
              <w:jc w:val="right"/>
              <w:ind w:right="49"/>
              <w:spacing w:after="0"/>
              <w:rPr>
                <w:sz w:val="20"/>
                <w:szCs w:val="20"/>
                <w:color w:val="auto"/>
              </w:rPr>
            </w:pPr>
            <w:r>
              <w:rPr>
                <w:rFonts w:ascii="Arial" w:cs="Arial" w:eastAsia="Arial" w:hAnsi="Arial"/>
                <w:sz w:val="14"/>
                <w:szCs w:val="14"/>
                <w:color w:val="auto"/>
              </w:rPr>
              <w:t>67,518</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64,833</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73,649</w:t>
            </w:r>
          </w:p>
        </w:tc>
        <w:tc>
          <w:tcPr>
            <w:tcW w:w="0" w:type="dxa"/>
            <w:vAlign w:val="bottom"/>
          </w:tcPr>
          <w:p>
            <w:pPr>
              <w:spacing w:after="0"/>
              <w:rPr>
                <w:sz w:val="1"/>
                <w:szCs w:val="1"/>
                <w:color w:val="auto"/>
              </w:rPr>
            </w:pPr>
          </w:p>
        </w:tc>
      </w:tr>
      <w:tr>
        <w:trPr>
          <w:trHeight w:val="270"/>
        </w:trPr>
        <w:tc>
          <w:tcPr>
            <w:tcW w:w="7740" w:type="dxa"/>
            <w:vAlign w:val="bottom"/>
          </w:tcPr>
          <w:p>
            <w:pPr>
              <w:ind w:left="240"/>
              <w:spacing w:after="0"/>
              <w:rPr>
                <w:sz w:val="20"/>
                <w:szCs w:val="20"/>
                <w:color w:val="auto"/>
              </w:rPr>
            </w:pPr>
            <w:r>
              <w:rPr>
                <w:rFonts w:ascii="Arial" w:cs="Arial" w:eastAsia="Arial" w:hAnsi="Arial"/>
                <w:sz w:val="14"/>
                <w:szCs w:val="14"/>
                <w:color w:val="auto"/>
              </w:rPr>
              <w:t>Goodwill</w:t>
            </w:r>
          </w:p>
        </w:tc>
        <w:tc>
          <w:tcPr>
            <w:tcW w:w="180" w:type="dxa"/>
            <w:vAlign w:val="bottom"/>
          </w:tcPr>
          <w:p>
            <w:pPr>
              <w:spacing w:after="0"/>
              <w:rPr>
                <w:sz w:val="23"/>
                <w:szCs w:val="23"/>
                <w:color w:val="auto"/>
              </w:rPr>
            </w:pPr>
          </w:p>
        </w:tc>
        <w:tc>
          <w:tcPr>
            <w:tcW w:w="980" w:type="dxa"/>
            <w:vAlign w:val="bottom"/>
          </w:tcPr>
          <w:p>
            <w:pPr>
              <w:jc w:val="right"/>
              <w:ind w:right="49"/>
              <w:spacing w:after="0"/>
              <w:rPr>
                <w:sz w:val="20"/>
                <w:szCs w:val="20"/>
                <w:color w:val="auto"/>
              </w:rPr>
            </w:pPr>
            <w:r>
              <w:rPr>
                <w:rFonts w:ascii="Arial" w:cs="Arial" w:eastAsia="Arial" w:hAnsi="Arial"/>
                <w:sz w:val="14"/>
                <w:szCs w:val="14"/>
                <w:color w:val="auto"/>
              </w:rPr>
              <w:t>296,881</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290,884</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299,248</w:t>
            </w:r>
          </w:p>
        </w:tc>
        <w:tc>
          <w:tcPr>
            <w:tcW w:w="0" w:type="dxa"/>
            <w:vAlign w:val="bottom"/>
          </w:tcPr>
          <w:p>
            <w:pPr>
              <w:spacing w:after="0"/>
              <w:rPr>
                <w:sz w:val="1"/>
                <w:szCs w:val="1"/>
                <w:color w:val="auto"/>
              </w:rPr>
            </w:pPr>
          </w:p>
        </w:tc>
      </w:tr>
      <w:tr>
        <w:trPr>
          <w:trHeight w:val="270"/>
        </w:trPr>
        <w:tc>
          <w:tcPr>
            <w:tcW w:w="7740" w:type="dxa"/>
            <w:vAlign w:val="bottom"/>
          </w:tcPr>
          <w:p>
            <w:pPr>
              <w:ind w:left="240"/>
              <w:spacing w:after="0"/>
              <w:rPr>
                <w:sz w:val="20"/>
                <w:szCs w:val="20"/>
                <w:color w:val="auto"/>
              </w:rPr>
            </w:pPr>
            <w:r>
              <w:rPr>
                <w:rFonts w:ascii="Arial" w:cs="Arial" w:eastAsia="Arial" w:hAnsi="Arial"/>
                <w:sz w:val="14"/>
                <w:szCs w:val="14"/>
                <w:color w:val="auto"/>
              </w:rPr>
              <w:t>Intangible assets, net</w:t>
            </w:r>
          </w:p>
        </w:tc>
        <w:tc>
          <w:tcPr>
            <w:tcW w:w="180" w:type="dxa"/>
            <w:vAlign w:val="bottom"/>
          </w:tcPr>
          <w:p>
            <w:pPr>
              <w:spacing w:after="0"/>
              <w:rPr>
                <w:sz w:val="23"/>
                <w:szCs w:val="23"/>
                <w:color w:val="auto"/>
              </w:rPr>
            </w:pPr>
          </w:p>
        </w:tc>
        <w:tc>
          <w:tcPr>
            <w:tcW w:w="980" w:type="dxa"/>
            <w:vAlign w:val="bottom"/>
          </w:tcPr>
          <w:p>
            <w:pPr>
              <w:jc w:val="right"/>
              <w:ind w:right="49"/>
              <w:spacing w:after="0"/>
              <w:rPr>
                <w:sz w:val="20"/>
                <w:szCs w:val="20"/>
                <w:color w:val="auto"/>
              </w:rPr>
            </w:pPr>
            <w:r>
              <w:rPr>
                <w:rFonts w:ascii="Arial" w:cs="Arial" w:eastAsia="Arial" w:hAnsi="Arial"/>
                <w:sz w:val="14"/>
                <w:szCs w:val="14"/>
                <w:color w:val="auto"/>
              </w:rPr>
              <w:t>58,503</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45,728</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54,923</w:t>
            </w:r>
          </w:p>
        </w:tc>
        <w:tc>
          <w:tcPr>
            <w:tcW w:w="0" w:type="dxa"/>
            <w:vAlign w:val="bottom"/>
          </w:tcPr>
          <w:p>
            <w:pPr>
              <w:spacing w:after="0"/>
              <w:rPr>
                <w:sz w:val="1"/>
                <w:szCs w:val="1"/>
                <w:color w:val="auto"/>
              </w:rPr>
            </w:pPr>
          </w:p>
        </w:tc>
      </w:tr>
      <w:tr>
        <w:trPr>
          <w:trHeight w:val="270"/>
        </w:trPr>
        <w:tc>
          <w:tcPr>
            <w:tcW w:w="7740" w:type="dxa"/>
            <w:vAlign w:val="bottom"/>
          </w:tcPr>
          <w:p>
            <w:pPr>
              <w:ind w:left="240"/>
              <w:spacing w:after="0"/>
              <w:rPr>
                <w:sz w:val="20"/>
                <w:szCs w:val="20"/>
                <w:color w:val="auto"/>
              </w:rPr>
            </w:pPr>
            <w:r>
              <w:rPr>
                <w:rFonts w:ascii="Arial" w:cs="Arial" w:eastAsia="Arial" w:hAnsi="Arial"/>
                <w:sz w:val="14"/>
                <w:szCs w:val="14"/>
                <w:color w:val="auto"/>
              </w:rPr>
              <w:t>Notes receivable, net</w:t>
            </w:r>
          </w:p>
        </w:tc>
        <w:tc>
          <w:tcPr>
            <w:tcW w:w="180" w:type="dxa"/>
            <w:vAlign w:val="bottom"/>
          </w:tcPr>
          <w:p>
            <w:pPr>
              <w:spacing w:after="0"/>
              <w:rPr>
                <w:sz w:val="23"/>
                <w:szCs w:val="23"/>
                <w:color w:val="auto"/>
              </w:rPr>
            </w:pPr>
          </w:p>
        </w:tc>
        <w:tc>
          <w:tcPr>
            <w:tcW w:w="980" w:type="dxa"/>
            <w:vAlign w:val="bottom"/>
          </w:tcPr>
          <w:p>
            <w:pPr>
              <w:jc w:val="right"/>
              <w:ind w:right="49"/>
              <w:spacing w:after="0"/>
              <w:rPr>
                <w:sz w:val="20"/>
                <w:szCs w:val="20"/>
                <w:color w:val="auto"/>
              </w:rPr>
            </w:pPr>
            <w:r>
              <w:rPr>
                <w:rFonts w:ascii="Arial" w:cs="Arial" w:eastAsia="Arial" w:hAnsi="Arial"/>
                <w:sz w:val="14"/>
                <w:szCs w:val="14"/>
                <w:color w:val="auto"/>
              </w:rPr>
              <w:t>8,509</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18,660</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3,226</w:t>
            </w:r>
          </w:p>
        </w:tc>
        <w:tc>
          <w:tcPr>
            <w:tcW w:w="0" w:type="dxa"/>
            <w:vAlign w:val="bottom"/>
          </w:tcPr>
          <w:p>
            <w:pPr>
              <w:spacing w:after="0"/>
              <w:rPr>
                <w:sz w:val="1"/>
                <w:szCs w:val="1"/>
                <w:color w:val="auto"/>
              </w:rPr>
            </w:pPr>
          </w:p>
        </w:tc>
      </w:tr>
      <w:tr>
        <w:trPr>
          <w:trHeight w:val="270"/>
        </w:trPr>
        <w:tc>
          <w:tcPr>
            <w:tcW w:w="7740" w:type="dxa"/>
            <w:vAlign w:val="bottom"/>
          </w:tcPr>
          <w:p>
            <w:pPr>
              <w:ind w:left="240"/>
              <w:spacing w:after="0"/>
              <w:rPr>
                <w:sz w:val="20"/>
                <w:szCs w:val="20"/>
                <w:color w:val="auto"/>
              </w:rPr>
            </w:pPr>
            <w:r>
              <w:rPr>
                <w:rFonts w:ascii="Arial" w:cs="Arial" w:eastAsia="Arial" w:hAnsi="Arial"/>
                <w:sz w:val="14"/>
                <w:szCs w:val="14"/>
                <w:color w:val="auto"/>
              </w:rPr>
              <w:t>Deferred tax asset, net</w:t>
            </w:r>
          </w:p>
        </w:tc>
        <w:tc>
          <w:tcPr>
            <w:tcW w:w="180" w:type="dxa"/>
            <w:vAlign w:val="bottom"/>
          </w:tcPr>
          <w:p>
            <w:pPr>
              <w:spacing w:after="0"/>
              <w:rPr>
                <w:sz w:val="23"/>
                <w:szCs w:val="23"/>
                <w:color w:val="auto"/>
              </w:rPr>
            </w:pPr>
          </w:p>
        </w:tc>
        <w:tc>
          <w:tcPr>
            <w:tcW w:w="980" w:type="dxa"/>
            <w:vAlign w:val="bottom"/>
          </w:tcPr>
          <w:p>
            <w:pPr>
              <w:jc w:val="right"/>
              <w:ind w:right="49"/>
              <w:spacing w:after="0"/>
              <w:rPr>
                <w:sz w:val="20"/>
                <w:szCs w:val="20"/>
                <w:color w:val="auto"/>
              </w:rPr>
            </w:pPr>
            <w:r>
              <w:rPr>
                <w:rFonts w:ascii="Arial" w:cs="Arial" w:eastAsia="Arial" w:hAnsi="Arial"/>
                <w:sz w:val="14"/>
                <w:szCs w:val="14"/>
                <w:color w:val="auto"/>
              </w:rPr>
              <w:t>10,119</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15,087</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7,986</w:t>
            </w:r>
          </w:p>
        </w:tc>
        <w:tc>
          <w:tcPr>
            <w:tcW w:w="0" w:type="dxa"/>
            <w:vAlign w:val="bottom"/>
          </w:tcPr>
          <w:p>
            <w:pPr>
              <w:spacing w:after="0"/>
              <w:rPr>
                <w:sz w:val="1"/>
                <w:szCs w:val="1"/>
                <w:color w:val="auto"/>
              </w:rPr>
            </w:pPr>
          </w:p>
        </w:tc>
      </w:tr>
      <w:tr>
        <w:trPr>
          <w:trHeight w:val="276"/>
        </w:trPr>
        <w:tc>
          <w:tcPr>
            <w:tcW w:w="7740" w:type="dxa"/>
            <w:vAlign w:val="bottom"/>
          </w:tcPr>
          <w:p>
            <w:pPr>
              <w:ind w:left="240"/>
              <w:spacing w:after="0"/>
              <w:rPr>
                <w:sz w:val="20"/>
                <w:szCs w:val="20"/>
                <w:color w:val="auto"/>
              </w:rPr>
            </w:pPr>
            <w:r>
              <w:rPr>
                <w:rFonts w:ascii="Arial" w:cs="Arial" w:eastAsia="Arial" w:hAnsi="Arial"/>
                <w:sz w:val="14"/>
                <w:szCs w:val="14"/>
                <w:color w:val="auto"/>
              </w:rPr>
              <w:t>Other assets</w:t>
            </w:r>
          </w:p>
        </w:tc>
        <w:tc>
          <w:tcPr>
            <w:tcW w:w="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4,395</w:t>
            </w: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19,773</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3,863</w:t>
            </w:r>
          </w:p>
        </w:tc>
        <w:tc>
          <w:tcPr>
            <w:tcW w:w="0" w:type="dxa"/>
            <w:vAlign w:val="bottom"/>
          </w:tcPr>
          <w:p>
            <w:pPr>
              <w:spacing w:after="0"/>
              <w:rPr>
                <w:sz w:val="1"/>
                <w:szCs w:val="1"/>
                <w:color w:val="auto"/>
              </w:rPr>
            </w:pPr>
          </w:p>
        </w:tc>
      </w:tr>
      <w:tr>
        <w:trPr>
          <w:trHeight w:val="243"/>
        </w:trPr>
        <w:tc>
          <w:tcPr>
            <w:tcW w:w="7740" w:type="dxa"/>
            <w:vAlign w:val="bottom"/>
          </w:tcPr>
          <w:p>
            <w:pPr>
              <w:spacing w:after="0"/>
              <w:rPr>
                <w:sz w:val="20"/>
                <w:szCs w:val="20"/>
                <w:color w:val="auto"/>
              </w:rPr>
            </w:pPr>
            <w:r>
              <w:rPr>
                <w:rFonts w:ascii="Arial" w:cs="Arial" w:eastAsia="Arial" w:hAnsi="Arial"/>
                <w:sz w:val="14"/>
                <w:szCs w:val="14"/>
                <w:color w:val="auto"/>
              </w:rPr>
              <w:t>Total assets</w:t>
            </w: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1,253,115</w:t>
            </w:r>
          </w:p>
        </w:tc>
        <w:tc>
          <w:tcPr>
            <w:tcW w:w="120" w:type="dxa"/>
            <w:vAlign w:val="bottom"/>
          </w:tcPr>
          <w:p>
            <w:pPr>
              <w:spacing w:after="0"/>
              <w:rPr>
                <w:sz w:val="21"/>
                <w:szCs w:val="21"/>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1,070,496</w:t>
            </w:r>
          </w:p>
        </w:tc>
        <w:tc>
          <w:tcPr>
            <w:tcW w:w="10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1,241,780</w:t>
            </w:r>
          </w:p>
        </w:tc>
        <w:tc>
          <w:tcPr>
            <w:tcW w:w="0" w:type="dxa"/>
            <w:vAlign w:val="bottom"/>
          </w:tcPr>
          <w:p>
            <w:pPr>
              <w:spacing w:after="0"/>
              <w:rPr>
                <w:sz w:val="1"/>
                <w:szCs w:val="1"/>
                <w:color w:val="auto"/>
              </w:rPr>
            </w:pPr>
          </w:p>
        </w:tc>
      </w:tr>
      <w:tr>
        <w:trPr>
          <w:trHeight w:val="20"/>
        </w:trPr>
        <w:tc>
          <w:tcPr>
            <w:tcW w:w="7740" w:type="dxa"/>
            <w:vAlign w:val="bottom"/>
            <w:vMerge w:val="restart"/>
          </w:tcPr>
          <w:p>
            <w:pPr>
              <w:spacing w:after="0"/>
              <w:rPr>
                <w:sz w:val="20"/>
                <w:szCs w:val="20"/>
                <w:color w:val="auto"/>
              </w:rPr>
            </w:pPr>
            <w:r>
              <w:rPr>
                <w:rFonts w:ascii="Arial" w:cs="Arial" w:eastAsia="Arial" w:hAnsi="Arial"/>
                <w:sz w:val="14"/>
                <w:szCs w:val="14"/>
                <w:color w:val="auto"/>
              </w:rPr>
              <w:t>Liabilities and equity:</w:t>
            </w: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6"/>
        </w:trPr>
        <w:tc>
          <w:tcPr>
            <w:tcW w:w="774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740" w:type="dxa"/>
            <w:vAlign w:val="bottom"/>
          </w:tcPr>
          <w:p>
            <w:pPr>
              <w:ind w:left="240"/>
              <w:spacing w:after="0"/>
              <w:rPr>
                <w:sz w:val="20"/>
                <w:szCs w:val="20"/>
                <w:color w:val="auto"/>
              </w:rPr>
            </w:pPr>
            <w:r>
              <w:rPr>
                <w:rFonts w:ascii="Arial" w:cs="Arial" w:eastAsia="Arial" w:hAnsi="Arial"/>
                <w:sz w:val="14"/>
                <w:szCs w:val="14"/>
                <w:color w:val="auto"/>
              </w:rPr>
              <w:t>Current liabilities:</w:t>
            </w:r>
          </w:p>
        </w:tc>
        <w:tc>
          <w:tcPr>
            <w:tcW w:w="1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740" w:type="dxa"/>
            <w:vAlign w:val="bottom"/>
          </w:tcPr>
          <w:p>
            <w:pPr>
              <w:ind w:left="460"/>
              <w:spacing w:after="0"/>
              <w:rPr>
                <w:sz w:val="20"/>
                <w:szCs w:val="20"/>
                <w:color w:val="auto"/>
              </w:rPr>
            </w:pPr>
            <w:r>
              <w:rPr>
                <w:rFonts w:ascii="Arial" w:cs="Arial" w:eastAsia="Arial" w:hAnsi="Arial"/>
                <w:sz w:val="14"/>
                <w:szCs w:val="14"/>
                <w:color w:val="auto"/>
              </w:rPr>
              <w:t>Current maturities of long-term debt, net</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49"/>
              <w:spacing w:after="0"/>
              <w:rPr>
                <w:sz w:val="20"/>
                <w:szCs w:val="20"/>
                <w:color w:val="auto"/>
              </w:rPr>
            </w:pPr>
            <w:r>
              <w:rPr>
                <w:rFonts w:ascii="Arial" w:cs="Arial" w:eastAsia="Arial" w:hAnsi="Arial"/>
                <w:sz w:val="14"/>
                <w:szCs w:val="14"/>
                <w:color w:val="auto"/>
              </w:rPr>
              <w:t>192,901</w:t>
            </w:r>
          </w:p>
        </w:tc>
        <w:tc>
          <w:tcPr>
            <w:tcW w:w="120" w:type="dxa"/>
            <w:vAlign w:val="bottom"/>
          </w:tcPr>
          <w:p>
            <w:pPr>
              <w:spacing w:after="0"/>
              <w:rPr>
                <w:sz w:val="23"/>
                <w:szCs w:val="23"/>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103,287</w:t>
            </w:r>
          </w:p>
        </w:tc>
        <w:tc>
          <w:tcPr>
            <w:tcW w:w="1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190,181</w:t>
            </w:r>
          </w:p>
        </w:tc>
        <w:tc>
          <w:tcPr>
            <w:tcW w:w="0" w:type="dxa"/>
            <w:vAlign w:val="bottom"/>
          </w:tcPr>
          <w:p>
            <w:pPr>
              <w:spacing w:after="0"/>
              <w:rPr>
                <w:sz w:val="1"/>
                <w:szCs w:val="1"/>
                <w:color w:val="auto"/>
              </w:rPr>
            </w:pPr>
          </w:p>
        </w:tc>
      </w:tr>
      <w:tr>
        <w:trPr>
          <w:trHeight w:val="270"/>
        </w:trPr>
        <w:tc>
          <w:tcPr>
            <w:tcW w:w="7740" w:type="dxa"/>
            <w:vAlign w:val="bottom"/>
          </w:tcPr>
          <w:p>
            <w:pPr>
              <w:ind w:left="460"/>
              <w:spacing w:after="0"/>
              <w:rPr>
                <w:sz w:val="20"/>
                <w:szCs w:val="20"/>
                <w:color w:val="auto"/>
              </w:rPr>
            </w:pPr>
            <w:r>
              <w:rPr>
                <w:rFonts w:ascii="Arial" w:cs="Arial" w:eastAsia="Arial" w:hAnsi="Arial"/>
                <w:sz w:val="14"/>
                <w:szCs w:val="14"/>
                <w:color w:val="auto"/>
              </w:rPr>
              <w:t>Accounts payable, accrued expenses and other current liabilities</w:t>
            </w:r>
          </w:p>
        </w:tc>
        <w:tc>
          <w:tcPr>
            <w:tcW w:w="180" w:type="dxa"/>
            <w:vAlign w:val="bottom"/>
          </w:tcPr>
          <w:p>
            <w:pPr>
              <w:spacing w:after="0"/>
              <w:rPr>
                <w:sz w:val="23"/>
                <w:szCs w:val="23"/>
                <w:color w:val="auto"/>
              </w:rPr>
            </w:pPr>
          </w:p>
        </w:tc>
        <w:tc>
          <w:tcPr>
            <w:tcW w:w="980" w:type="dxa"/>
            <w:vAlign w:val="bottom"/>
          </w:tcPr>
          <w:p>
            <w:pPr>
              <w:jc w:val="right"/>
              <w:ind w:right="49"/>
              <w:spacing w:after="0"/>
              <w:rPr>
                <w:sz w:val="20"/>
                <w:szCs w:val="20"/>
                <w:color w:val="auto"/>
              </w:rPr>
            </w:pPr>
            <w:r>
              <w:rPr>
                <w:rFonts w:ascii="Arial" w:cs="Arial" w:eastAsia="Arial" w:hAnsi="Arial"/>
                <w:sz w:val="14"/>
                <w:szCs w:val="14"/>
                <w:color w:val="auto"/>
              </w:rPr>
              <w:t>58,696</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60,538</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57,958</w:t>
            </w:r>
          </w:p>
        </w:tc>
        <w:tc>
          <w:tcPr>
            <w:tcW w:w="0" w:type="dxa"/>
            <w:vAlign w:val="bottom"/>
          </w:tcPr>
          <w:p>
            <w:pPr>
              <w:spacing w:after="0"/>
              <w:rPr>
                <w:sz w:val="1"/>
                <w:szCs w:val="1"/>
                <w:color w:val="auto"/>
              </w:rPr>
            </w:pPr>
          </w:p>
        </w:tc>
      </w:tr>
      <w:tr>
        <w:trPr>
          <w:trHeight w:val="276"/>
        </w:trPr>
        <w:tc>
          <w:tcPr>
            <w:tcW w:w="7740" w:type="dxa"/>
            <w:vAlign w:val="bottom"/>
          </w:tcPr>
          <w:p>
            <w:pPr>
              <w:ind w:left="460"/>
              <w:spacing w:after="0"/>
              <w:rPr>
                <w:sz w:val="20"/>
                <w:szCs w:val="20"/>
                <w:color w:val="auto"/>
              </w:rPr>
            </w:pPr>
            <w:r>
              <w:rPr>
                <w:rFonts w:ascii="Arial" w:cs="Arial" w:eastAsia="Arial" w:hAnsi="Arial"/>
                <w:sz w:val="14"/>
                <w:szCs w:val="14"/>
                <w:color w:val="auto"/>
              </w:rPr>
              <w:t>Customer layaway deposits</w:t>
            </w:r>
          </w:p>
        </w:tc>
        <w:tc>
          <w:tcPr>
            <w:tcW w:w="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13,564</w:t>
            </w: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12,225</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11,824</w:t>
            </w:r>
          </w:p>
        </w:tc>
        <w:tc>
          <w:tcPr>
            <w:tcW w:w="0" w:type="dxa"/>
            <w:vAlign w:val="bottom"/>
          </w:tcPr>
          <w:p>
            <w:pPr>
              <w:spacing w:after="0"/>
              <w:rPr>
                <w:sz w:val="1"/>
                <w:szCs w:val="1"/>
                <w:color w:val="auto"/>
              </w:rPr>
            </w:pPr>
          </w:p>
        </w:tc>
      </w:tr>
      <w:tr>
        <w:trPr>
          <w:trHeight w:val="244"/>
        </w:trPr>
        <w:tc>
          <w:tcPr>
            <w:tcW w:w="7740" w:type="dxa"/>
            <w:vAlign w:val="bottom"/>
          </w:tcPr>
          <w:p>
            <w:pPr>
              <w:ind w:left="680"/>
              <w:spacing w:after="0"/>
              <w:rPr>
                <w:sz w:val="20"/>
                <w:szCs w:val="20"/>
                <w:color w:val="auto"/>
              </w:rPr>
            </w:pPr>
            <w:r>
              <w:rPr>
                <w:rFonts w:ascii="Arial" w:cs="Arial" w:eastAsia="Arial" w:hAnsi="Arial"/>
                <w:sz w:val="14"/>
                <w:szCs w:val="14"/>
                <w:color w:val="auto"/>
              </w:rPr>
              <w:t>Total current liabilities</w:t>
            </w:r>
          </w:p>
        </w:tc>
        <w:tc>
          <w:tcPr>
            <w:tcW w:w="180" w:type="dxa"/>
            <w:vAlign w:val="bottom"/>
          </w:tcPr>
          <w:p>
            <w:pPr>
              <w:spacing w:after="0"/>
              <w:rPr>
                <w:sz w:val="21"/>
                <w:szCs w:val="21"/>
                <w:color w:val="auto"/>
              </w:rPr>
            </w:pPr>
          </w:p>
        </w:tc>
        <w:tc>
          <w:tcPr>
            <w:tcW w:w="980" w:type="dxa"/>
            <w:vAlign w:val="bottom"/>
          </w:tcPr>
          <w:p>
            <w:pPr>
              <w:jc w:val="right"/>
              <w:ind w:right="49"/>
              <w:spacing w:after="0"/>
              <w:rPr>
                <w:sz w:val="20"/>
                <w:szCs w:val="20"/>
                <w:color w:val="auto"/>
              </w:rPr>
            </w:pPr>
            <w:r>
              <w:rPr>
                <w:rFonts w:ascii="Arial" w:cs="Arial" w:eastAsia="Arial" w:hAnsi="Arial"/>
                <w:sz w:val="14"/>
                <w:szCs w:val="14"/>
                <w:color w:val="auto"/>
              </w:rPr>
              <w:t>265,161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176,050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259,963</w:t>
            </w:r>
          </w:p>
        </w:tc>
        <w:tc>
          <w:tcPr>
            <w:tcW w:w="0" w:type="dxa"/>
            <w:vAlign w:val="bottom"/>
          </w:tcPr>
          <w:p>
            <w:pPr>
              <w:spacing w:after="0"/>
              <w:rPr>
                <w:sz w:val="1"/>
                <w:szCs w:val="1"/>
                <w:color w:val="auto"/>
              </w:rPr>
            </w:pPr>
          </w:p>
        </w:tc>
      </w:tr>
      <w:tr>
        <w:trPr>
          <w:trHeight w:val="270"/>
        </w:trPr>
        <w:tc>
          <w:tcPr>
            <w:tcW w:w="7740" w:type="dxa"/>
            <w:vAlign w:val="bottom"/>
          </w:tcPr>
          <w:p>
            <w:pPr>
              <w:ind w:left="240"/>
              <w:spacing w:after="0"/>
              <w:rPr>
                <w:sz w:val="20"/>
                <w:szCs w:val="20"/>
                <w:color w:val="auto"/>
              </w:rPr>
            </w:pPr>
            <w:r>
              <w:rPr>
                <w:rFonts w:ascii="Arial" w:cs="Arial" w:eastAsia="Arial" w:hAnsi="Arial"/>
                <w:sz w:val="14"/>
                <w:szCs w:val="14"/>
                <w:color w:val="auto"/>
              </w:rPr>
              <w:t>Long-term debt, net</w:t>
            </w:r>
          </w:p>
        </w:tc>
        <w:tc>
          <w:tcPr>
            <w:tcW w:w="180" w:type="dxa"/>
            <w:vAlign w:val="bottom"/>
          </w:tcPr>
          <w:p>
            <w:pPr>
              <w:spacing w:after="0"/>
              <w:rPr>
                <w:sz w:val="23"/>
                <w:szCs w:val="23"/>
                <w:color w:val="auto"/>
              </w:rPr>
            </w:pPr>
          </w:p>
        </w:tc>
        <w:tc>
          <w:tcPr>
            <w:tcW w:w="980" w:type="dxa"/>
            <w:vAlign w:val="bottom"/>
          </w:tcPr>
          <w:p>
            <w:pPr>
              <w:jc w:val="right"/>
              <w:ind w:right="49"/>
              <w:spacing w:after="0"/>
              <w:rPr>
                <w:sz w:val="20"/>
                <w:szCs w:val="20"/>
                <w:color w:val="auto"/>
              </w:rPr>
            </w:pPr>
            <w:r>
              <w:rPr>
                <w:rFonts w:ascii="Arial" w:cs="Arial" w:eastAsia="Arial" w:hAnsi="Arial"/>
                <w:sz w:val="14"/>
                <w:szCs w:val="14"/>
                <w:color w:val="auto"/>
              </w:rPr>
              <w:t>232,733</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198,338</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226,702</w:t>
            </w:r>
          </w:p>
        </w:tc>
        <w:tc>
          <w:tcPr>
            <w:tcW w:w="0" w:type="dxa"/>
            <w:vAlign w:val="bottom"/>
          </w:tcPr>
          <w:p>
            <w:pPr>
              <w:spacing w:after="0"/>
              <w:rPr>
                <w:sz w:val="1"/>
                <w:szCs w:val="1"/>
                <w:color w:val="auto"/>
              </w:rPr>
            </w:pPr>
          </w:p>
        </w:tc>
      </w:tr>
      <w:tr>
        <w:trPr>
          <w:trHeight w:val="270"/>
        </w:trPr>
        <w:tc>
          <w:tcPr>
            <w:tcW w:w="7740" w:type="dxa"/>
            <w:vAlign w:val="bottom"/>
          </w:tcPr>
          <w:p>
            <w:pPr>
              <w:ind w:left="240"/>
              <w:spacing w:after="0"/>
              <w:rPr>
                <w:sz w:val="20"/>
                <w:szCs w:val="20"/>
                <w:color w:val="auto"/>
              </w:rPr>
            </w:pPr>
            <w:r>
              <w:rPr>
                <w:rFonts w:ascii="Arial" w:cs="Arial" w:eastAsia="Arial" w:hAnsi="Arial"/>
                <w:sz w:val="14"/>
                <w:szCs w:val="14"/>
                <w:color w:val="auto"/>
              </w:rPr>
              <w:t>Deferred tax liability, net</w:t>
            </w:r>
          </w:p>
        </w:tc>
        <w:tc>
          <w:tcPr>
            <w:tcW w:w="180" w:type="dxa"/>
            <w:vAlign w:val="bottom"/>
          </w:tcPr>
          <w:p>
            <w:pPr>
              <w:spacing w:after="0"/>
              <w:rPr>
                <w:sz w:val="23"/>
                <w:szCs w:val="23"/>
                <w:color w:val="auto"/>
              </w:rPr>
            </w:pPr>
          </w:p>
        </w:tc>
        <w:tc>
          <w:tcPr>
            <w:tcW w:w="980" w:type="dxa"/>
            <w:vAlign w:val="bottom"/>
          </w:tcPr>
          <w:p>
            <w:pPr>
              <w:jc w:val="right"/>
              <w:ind w:right="49"/>
              <w:spacing w:after="0"/>
              <w:rPr>
                <w:sz w:val="20"/>
                <w:szCs w:val="20"/>
                <w:color w:val="auto"/>
              </w:rPr>
            </w:pPr>
            <w:r>
              <w:rPr>
                <w:rFonts w:ascii="Arial" w:cs="Arial" w:eastAsia="Arial" w:hAnsi="Arial"/>
                <w:sz w:val="14"/>
                <w:szCs w:val="14"/>
                <w:color w:val="auto"/>
              </w:rPr>
              <w:t>9,012</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2,525</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8,817</w:t>
            </w:r>
          </w:p>
        </w:tc>
        <w:tc>
          <w:tcPr>
            <w:tcW w:w="0" w:type="dxa"/>
            <w:vAlign w:val="bottom"/>
          </w:tcPr>
          <w:p>
            <w:pPr>
              <w:spacing w:after="0"/>
              <w:rPr>
                <w:sz w:val="1"/>
                <w:szCs w:val="1"/>
                <w:color w:val="auto"/>
              </w:rPr>
            </w:pPr>
          </w:p>
        </w:tc>
      </w:tr>
      <w:tr>
        <w:trPr>
          <w:trHeight w:val="276"/>
        </w:trPr>
        <w:tc>
          <w:tcPr>
            <w:tcW w:w="7740" w:type="dxa"/>
            <w:vAlign w:val="bottom"/>
          </w:tcPr>
          <w:p>
            <w:pPr>
              <w:ind w:left="240"/>
              <w:spacing w:after="0"/>
              <w:rPr>
                <w:sz w:val="20"/>
                <w:szCs w:val="20"/>
                <w:color w:val="auto"/>
              </w:rPr>
            </w:pPr>
            <w:r>
              <w:rPr>
                <w:rFonts w:ascii="Arial" w:cs="Arial" w:eastAsia="Arial" w:hAnsi="Arial"/>
                <w:sz w:val="14"/>
                <w:szCs w:val="14"/>
                <w:color w:val="auto"/>
              </w:rPr>
              <w:t>Other long-term liabilities</w:t>
            </w:r>
          </w:p>
        </w:tc>
        <w:tc>
          <w:tcPr>
            <w:tcW w:w="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6,450</w:t>
            </w: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9,359</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6,890</w:t>
            </w:r>
          </w:p>
        </w:tc>
        <w:tc>
          <w:tcPr>
            <w:tcW w:w="0" w:type="dxa"/>
            <w:vAlign w:val="bottom"/>
          </w:tcPr>
          <w:p>
            <w:pPr>
              <w:spacing w:after="0"/>
              <w:rPr>
                <w:sz w:val="1"/>
                <w:szCs w:val="1"/>
                <w:color w:val="auto"/>
              </w:rPr>
            </w:pPr>
          </w:p>
        </w:tc>
      </w:tr>
      <w:tr>
        <w:trPr>
          <w:trHeight w:val="244"/>
        </w:trPr>
        <w:tc>
          <w:tcPr>
            <w:tcW w:w="7740" w:type="dxa"/>
            <w:vAlign w:val="bottom"/>
          </w:tcPr>
          <w:p>
            <w:pPr>
              <w:ind w:left="680"/>
              <w:spacing w:after="0"/>
              <w:rPr>
                <w:sz w:val="20"/>
                <w:szCs w:val="20"/>
                <w:color w:val="auto"/>
              </w:rPr>
            </w:pPr>
            <w:r>
              <w:rPr>
                <w:rFonts w:ascii="Arial" w:cs="Arial" w:eastAsia="Arial" w:hAnsi="Arial"/>
                <w:sz w:val="14"/>
                <w:szCs w:val="14"/>
                <w:color w:val="auto"/>
              </w:rPr>
              <w:t>Total liabilities</w:t>
            </w:r>
          </w:p>
        </w:tc>
        <w:tc>
          <w:tcPr>
            <w:tcW w:w="180" w:type="dxa"/>
            <w:vAlign w:val="bottom"/>
          </w:tcPr>
          <w:p>
            <w:pPr>
              <w:spacing w:after="0"/>
              <w:rPr>
                <w:sz w:val="21"/>
                <w:szCs w:val="21"/>
                <w:color w:val="auto"/>
              </w:rPr>
            </w:pPr>
          </w:p>
        </w:tc>
        <w:tc>
          <w:tcPr>
            <w:tcW w:w="980" w:type="dxa"/>
            <w:vAlign w:val="bottom"/>
          </w:tcPr>
          <w:p>
            <w:pPr>
              <w:jc w:val="right"/>
              <w:ind w:right="49"/>
              <w:spacing w:after="0"/>
              <w:rPr>
                <w:sz w:val="20"/>
                <w:szCs w:val="20"/>
                <w:color w:val="auto"/>
              </w:rPr>
            </w:pPr>
            <w:r>
              <w:rPr>
                <w:rFonts w:ascii="Arial" w:cs="Arial" w:eastAsia="Arial" w:hAnsi="Arial"/>
                <w:sz w:val="14"/>
                <w:szCs w:val="14"/>
                <w:color w:val="auto"/>
              </w:rPr>
              <w:t>513,356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386,272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502,372</w:t>
            </w:r>
          </w:p>
        </w:tc>
        <w:tc>
          <w:tcPr>
            <w:tcW w:w="0" w:type="dxa"/>
            <w:vAlign w:val="bottom"/>
          </w:tcPr>
          <w:p>
            <w:pPr>
              <w:spacing w:after="0"/>
              <w:rPr>
                <w:sz w:val="1"/>
                <w:szCs w:val="1"/>
                <w:color w:val="auto"/>
              </w:rPr>
            </w:pPr>
          </w:p>
        </w:tc>
      </w:tr>
      <w:tr>
        <w:trPr>
          <w:trHeight w:val="270"/>
        </w:trPr>
        <w:tc>
          <w:tcPr>
            <w:tcW w:w="7740" w:type="dxa"/>
            <w:vAlign w:val="bottom"/>
          </w:tcPr>
          <w:p>
            <w:pPr>
              <w:ind w:left="240"/>
              <w:spacing w:after="0"/>
              <w:rPr>
                <w:sz w:val="20"/>
                <w:szCs w:val="20"/>
                <w:color w:val="auto"/>
              </w:rPr>
            </w:pPr>
            <w:r>
              <w:rPr>
                <w:rFonts w:ascii="Arial" w:cs="Arial" w:eastAsia="Arial" w:hAnsi="Arial"/>
                <w:sz w:val="14"/>
                <w:szCs w:val="14"/>
                <w:color w:val="auto"/>
              </w:rPr>
              <w:t>Commitments and contingencies</w:t>
            </w:r>
          </w:p>
        </w:tc>
        <w:tc>
          <w:tcPr>
            <w:tcW w:w="1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740" w:type="dxa"/>
            <w:vAlign w:val="bottom"/>
          </w:tcPr>
          <w:p>
            <w:pPr>
              <w:ind w:left="240"/>
              <w:spacing w:after="0"/>
              <w:rPr>
                <w:sz w:val="20"/>
                <w:szCs w:val="20"/>
                <w:color w:val="auto"/>
              </w:rPr>
            </w:pPr>
            <w:r>
              <w:rPr>
                <w:rFonts w:ascii="Arial" w:cs="Arial" w:eastAsia="Arial" w:hAnsi="Arial"/>
                <w:sz w:val="14"/>
                <w:szCs w:val="14"/>
                <w:color w:val="auto"/>
              </w:rPr>
              <w:t>Stockholders’ equity:</w:t>
            </w:r>
          </w:p>
        </w:tc>
        <w:tc>
          <w:tcPr>
            <w:tcW w:w="1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9"/>
        </w:trPr>
        <w:tc>
          <w:tcPr>
            <w:tcW w:w="7740" w:type="dxa"/>
            <w:vAlign w:val="bottom"/>
          </w:tcPr>
          <w:p>
            <w:pPr>
              <w:ind w:left="460"/>
              <w:spacing w:after="0"/>
              <w:rPr>
                <w:sz w:val="20"/>
                <w:szCs w:val="20"/>
                <w:color w:val="auto"/>
              </w:rPr>
            </w:pPr>
            <w:r>
              <w:rPr>
                <w:rFonts w:ascii="Arial" w:cs="Arial" w:eastAsia="Arial" w:hAnsi="Arial"/>
                <w:sz w:val="14"/>
                <w:szCs w:val="14"/>
                <w:color w:val="auto"/>
                <w:w w:val="99"/>
              </w:rPr>
              <w:t>Class A Non-voting Common Stock, par value $.01 per share; shares authorized: 100 million; issued and outstanding:</w:t>
            </w: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7740" w:type="dxa"/>
            <w:vAlign w:val="bottom"/>
          </w:tcPr>
          <w:p>
            <w:pPr>
              <w:ind w:left="460"/>
              <w:spacing w:after="0"/>
              <w:rPr>
                <w:sz w:val="20"/>
                <w:szCs w:val="20"/>
                <w:color w:val="auto"/>
              </w:rPr>
            </w:pPr>
            <w:r>
              <w:rPr>
                <w:rFonts w:ascii="Arial" w:cs="Arial" w:eastAsia="Arial" w:hAnsi="Arial"/>
                <w:sz w:val="14"/>
                <w:szCs w:val="14"/>
                <w:color w:val="auto"/>
              </w:rPr>
              <w:t>52,475,070 as of March 31, 2019; 51,494,246 as of March 31, 2018; and 51,614,746 as of September 30, 2018</w:t>
            </w:r>
          </w:p>
        </w:tc>
        <w:tc>
          <w:tcPr>
            <w:tcW w:w="180" w:type="dxa"/>
            <w:vAlign w:val="bottom"/>
          </w:tcPr>
          <w:p>
            <w:pPr>
              <w:spacing w:after="0"/>
              <w:rPr>
                <w:sz w:val="15"/>
                <w:szCs w:val="15"/>
                <w:color w:val="auto"/>
              </w:rPr>
            </w:pPr>
          </w:p>
        </w:tc>
        <w:tc>
          <w:tcPr>
            <w:tcW w:w="980" w:type="dxa"/>
            <w:vAlign w:val="bottom"/>
          </w:tcPr>
          <w:p>
            <w:pPr>
              <w:jc w:val="right"/>
              <w:ind w:right="49"/>
              <w:spacing w:after="0"/>
              <w:rPr>
                <w:sz w:val="20"/>
                <w:szCs w:val="20"/>
                <w:color w:val="auto"/>
              </w:rPr>
            </w:pPr>
            <w:r>
              <w:rPr>
                <w:rFonts w:ascii="Arial" w:cs="Arial" w:eastAsia="Arial" w:hAnsi="Arial"/>
                <w:sz w:val="14"/>
                <w:szCs w:val="14"/>
                <w:color w:val="auto"/>
              </w:rPr>
              <w:t>524</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515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516</w:t>
            </w:r>
          </w:p>
        </w:tc>
        <w:tc>
          <w:tcPr>
            <w:tcW w:w="0" w:type="dxa"/>
            <w:vAlign w:val="bottom"/>
          </w:tcPr>
          <w:p>
            <w:pPr>
              <w:spacing w:after="0"/>
              <w:rPr>
                <w:sz w:val="1"/>
                <w:szCs w:val="1"/>
                <w:color w:val="auto"/>
              </w:rPr>
            </w:pPr>
          </w:p>
        </w:tc>
      </w:tr>
      <w:tr>
        <w:trPr>
          <w:trHeight w:val="169"/>
        </w:trPr>
        <w:tc>
          <w:tcPr>
            <w:tcW w:w="7740" w:type="dxa"/>
            <w:vAlign w:val="bottom"/>
          </w:tcPr>
          <w:p>
            <w:pPr>
              <w:ind w:left="460"/>
              <w:spacing w:after="0"/>
              <w:rPr>
                <w:sz w:val="20"/>
                <w:szCs w:val="20"/>
                <w:color w:val="auto"/>
              </w:rPr>
            </w:pPr>
            <w:r>
              <w:rPr>
                <w:rFonts w:ascii="Arial" w:cs="Arial" w:eastAsia="Arial" w:hAnsi="Arial"/>
                <w:sz w:val="14"/>
                <w:szCs w:val="14"/>
                <w:color w:val="auto"/>
                <w:w w:val="95"/>
              </w:rPr>
              <w:t>Class B Voting Common Stock, convertible, par value $.01 per share; shares authorized: 3 million; issued and outstanding:</w:t>
            </w: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7740" w:type="dxa"/>
            <w:vAlign w:val="bottom"/>
          </w:tcPr>
          <w:p>
            <w:pPr>
              <w:ind w:left="460"/>
              <w:spacing w:after="0"/>
              <w:rPr>
                <w:sz w:val="20"/>
                <w:szCs w:val="20"/>
                <w:color w:val="auto"/>
              </w:rPr>
            </w:pPr>
            <w:r>
              <w:rPr>
                <w:rFonts w:ascii="Arial" w:cs="Arial" w:eastAsia="Arial" w:hAnsi="Arial"/>
                <w:sz w:val="14"/>
                <w:szCs w:val="14"/>
                <w:color w:val="auto"/>
              </w:rPr>
              <w:t>2,970,171</w:t>
            </w:r>
          </w:p>
        </w:tc>
        <w:tc>
          <w:tcPr>
            <w:tcW w:w="180" w:type="dxa"/>
            <w:vAlign w:val="bottom"/>
          </w:tcPr>
          <w:p>
            <w:pPr>
              <w:spacing w:after="0"/>
              <w:rPr>
                <w:sz w:val="15"/>
                <w:szCs w:val="15"/>
                <w:color w:val="auto"/>
              </w:rPr>
            </w:pPr>
          </w:p>
        </w:tc>
        <w:tc>
          <w:tcPr>
            <w:tcW w:w="980" w:type="dxa"/>
            <w:vAlign w:val="bottom"/>
          </w:tcPr>
          <w:p>
            <w:pPr>
              <w:jc w:val="right"/>
              <w:ind w:right="49"/>
              <w:spacing w:after="0"/>
              <w:rPr>
                <w:sz w:val="20"/>
                <w:szCs w:val="20"/>
                <w:color w:val="auto"/>
              </w:rPr>
            </w:pPr>
            <w:r>
              <w:rPr>
                <w:rFonts w:ascii="Arial" w:cs="Arial" w:eastAsia="Arial" w:hAnsi="Arial"/>
                <w:sz w:val="14"/>
                <w:szCs w:val="14"/>
                <w:color w:val="auto"/>
              </w:rPr>
              <w:t>30</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30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270"/>
        </w:trPr>
        <w:tc>
          <w:tcPr>
            <w:tcW w:w="7740" w:type="dxa"/>
            <w:vAlign w:val="bottom"/>
          </w:tcPr>
          <w:p>
            <w:pPr>
              <w:ind w:left="460"/>
              <w:spacing w:after="0"/>
              <w:rPr>
                <w:sz w:val="20"/>
                <w:szCs w:val="20"/>
                <w:color w:val="auto"/>
              </w:rPr>
            </w:pPr>
            <w:r>
              <w:rPr>
                <w:rFonts w:ascii="Arial" w:cs="Arial" w:eastAsia="Arial" w:hAnsi="Arial"/>
                <w:sz w:val="14"/>
                <w:szCs w:val="14"/>
                <w:color w:val="auto"/>
              </w:rPr>
              <w:t>Additional paid-in capital</w:t>
            </w:r>
          </w:p>
        </w:tc>
        <w:tc>
          <w:tcPr>
            <w:tcW w:w="180" w:type="dxa"/>
            <w:vAlign w:val="bottom"/>
          </w:tcPr>
          <w:p>
            <w:pPr>
              <w:spacing w:after="0"/>
              <w:rPr>
                <w:sz w:val="23"/>
                <w:szCs w:val="23"/>
                <w:color w:val="auto"/>
              </w:rPr>
            </w:pPr>
          </w:p>
        </w:tc>
        <w:tc>
          <w:tcPr>
            <w:tcW w:w="980" w:type="dxa"/>
            <w:vAlign w:val="bottom"/>
          </w:tcPr>
          <w:p>
            <w:pPr>
              <w:jc w:val="right"/>
              <w:ind w:right="49"/>
              <w:spacing w:after="0"/>
              <w:rPr>
                <w:sz w:val="20"/>
                <w:szCs w:val="20"/>
                <w:color w:val="auto"/>
              </w:rPr>
            </w:pPr>
            <w:r>
              <w:rPr>
                <w:rFonts w:ascii="Arial" w:cs="Arial" w:eastAsia="Arial" w:hAnsi="Arial"/>
                <w:sz w:val="14"/>
                <w:szCs w:val="14"/>
                <w:color w:val="auto"/>
              </w:rPr>
              <w:t>402,505</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353,698</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397,927</w:t>
            </w:r>
          </w:p>
        </w:tc>
        <w:tc>
          <w:tcPr>
            <w:tcW w:w="0" w:type="dxa"/>
            <w:vAlign w:val="bottom"/>
          </w:tcPr>
          <w:p>
            <w:pPr>
              <w:spacing w:after="0"/>
              <w:rPr>
                <w:sz w:val="1"/>
                <w:szCs w:val="1"/>
                <w:color w:val="auto"/>
              </w:rPr>
            </w:pPr>
          </w:p>
        </w:tc>
      </w:tr>
      <w:tr>
        <w:trPr>
          <w:trHeight w:val="270"/>
        </w:trPr>
        <w:tc>
          <w:tcPr>
            <w:tcW w:w="7740" w:type="dxa"/>
            <w:vAlign w:val="bottom"/>
          </w:tcPr>
          <w:p>
            <w:pPr>
              <w:ind w:left="460"/>
              <w:spacing w:after="0"/>
              <w:rPr>
                <w:sz w:val="20"/>
                <w:szCs w:val="20"/>
                <w:color w:val="auto"/>
              </w:rPr>
            </w:pPr>
            <w:r>
              <w:rPr>
                <w:rFonts w:ascii="Arial" w:cs="Arial" w:eastAsia="Arial" w:hAnsi="Arial"/>
                <w:sz w:val="14"/>
                <w:szCs w:val="14"/>
                <w:color w:val="auto"/>
              </w:rPr>
              <w:t>Retained earnings</w:t>
            </w:r>
          </w:p>
        </w:tc>
        <w:tc>
          <w:tcPr>
            <w:tcW w:w="180" w:type="dxa"/>
            <w:vAlign w:val="bottom"/>
          </w:tcPr>
          <w:p>
            <w:pPr>
              <w:spacing w:after="0"/>
              <w:rPr>
                <w:sz w:val="23"/>
                <w:szCs w:val="23"/>
                <w:color w:val="auto"/>
              </w:rPr>
            </w:pPr>
          </w:p>
        </w:tc>
        <w:tc>
          <w:tcPr>
            <w:tcW w:w="980" w:type="dxa"/>
            <w:vAlign w:val="bottom"/>
          </w:tcPr>
          <w:p>
            <w:pPr>
              <w:jc w:val="right"/>
              <w:ind w:right="49"/>
              <w:spacing w:after="0"/>
              <w:rPr>
                <w:sz w:val="20"/>
                <w:szCs w:val="20"/>
                <w:color w:val="auto"/>
              </w:rPr>
            </w:pPr>
            <w:r>
              <w:rPr>
                <w:rFonts w:ascii="Arial" w:cs="Arial" w:eastAsia="Arial" w:hAnsi="Arial"/>
                <w:sz w:val="14"/>
                <w:szCs w:val="14"/>
                <w:color w:val="auto"/>
              </w:rPr>
              <w:t>386,650</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373,560</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386,622</w:t>
            </w:r>
          </w:p>
        </w:tc>
        <w:tc>
          <w:tcPr>
            <w:tcW w:w="0" w:type="dxa"/>
            <w:vAlign w:val="bottom"/>
          </w:tcPr>
          <w:p>
            <w:pPr>
              <w:spacing w:after="0"/>
              <w:rPr>
                <w:sz w:val="1"/>
                <w:szCs w:val="1"/>
                <w:color w:val="auto"/>
              </w:rPr>
            </w:pPr>
          </w:p>
        </w:tc>
      </w:tr>
      <w:tr>
        <w:trPr>
          <w:trHeight w:val="276"/>
        </w:trPr>
        <w:tc>
          <w:tcPr>
            <w:tcW w:w="7740" w:type="dxa"/>
            <w:vAlign w:val="bottom"/>
          </w:tcPr>
          <w:p>
            <w:pPr>
              <w:ind w:left="460"/>
              <w:spacing w:after="0"/>
              <w:rPr>
                <w:sz w:val="20"/>
                <w:szCs w:val="20"/>
                <w:color w:val="auto"/>
              </w:rPr>
            </w:pPr>
            <w:r>
              <w:rPr>
                <w:rFonts w:ascii="Arial" w:cs="Arial" w:eastAsia="Arial" w:hAnsi="Arial"/>
                <w:sz w:val="14"/>
                <w:szCs w:val="14"/>
                <w:color w:val="auto"/>
              </w:rPr>
              <w:t>Accumulated other comprehensive loss</w:t>
            </w:r>
          </w:p>
        </w:tc>
        <w:tc>
          <w:tcPr>
            <w:tcW w:w="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(49,950)</w:t>
            </w: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(40,247)</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(42,356)</w:t>
            </w:r>
          </w:p>
        </w:tc>
        <w:tc>
          <w:tcPr>
            <w:tcW w:w="0" w:type="dxa"/>
            <w:vAlign w:val="bottom"/>
          </w:tcPr>
          <w:p>
            <w:pPr>
              <w:spacing w:after="0"/>
              <w:rPr>
                <w:sz w:val="1"/>
                <w:szCs w:val="1"/>
                <w:color w:val="auto"/>
              </w:rPr>
            </w:pPr>
          </w:p>
        </w:tc>
      </w:tr>
      <w:tr>
        <w:trPr>
          <w:trHeight w:val="244"/>
        </w:trPr>
        <w:tc>
          <w:tcPr>
            <w:tcW w:w="7740" w:type="dxa"/>
            <w:vAlign w:val="bottom"/>
          </w:tcPr>
          <w:p>
            <w:pPr>
              <w:ind w:left="680"/>
              <w:spacing w:after="0"/>
              <w:rPr>
                <w:sz w:val="20"/>
                <w:szCs w:val="20"/>
                <w:color w:val="auto"/>
              </w:rPr>
            </w:pPr>
            <w:r>
              <w:rPr>
                <w:rFonts w:ascii="Arial" w:cs="Arial" w:eastAsia="Arial" w:hAnsi="Arial"/>
                <w:sz w:val="14"/>
                <w:szCs w:val="14"/>
                <w:color w:val="auto"/>
              </w:rPr>
              <w:t>EZCORP, Inc. stockholders’ equity</w:t>
            </w:r>
          </w:p>
        </w:tc>
        <w:tc>
          <w:tcPr>
            <w:tcW w:w="180" w:type="dxa"/>
            <w:vAlign w:val="bottom"/>
          </w:tcPr>
          <w:p>
            <w:pPr>
              <w:spacing w:after="0"/>
              <w:rPr>
                <w:sz w:val="21"/>
                <w:szCs w:val="21"/>
                <w:color w:val="auto"/>
              </w:rPr>
            </w:pPr>
          </w:p>
        </w:tc>
        <w:tc>
          <w:tcPr>
            <w:tcW w:w="980" w:type="dxa"/>
            <w:vAlign w:val="bottom"/>
          </w:tcPr>
          <w:p>
            <w:pPr>
              <w:jc w:val="right"/>
              <w:ind w:right="49"/>
              <w:spacing w:after="0"/>
              <w:rPr>
                <w:sz w:val="20"/>
                <w:szCs w:val="20"/>
                <w:color w:val="auto"/>
              </w:rPr>
            </w:pPr>
            <w:r>
              <w:rPr>
                <w:rFonts w:ascii="Arial" w:cs="Arial" w:eastAsia="Arial" w:hAnsi="Arial"/>
                <w:sz w:val="14"/>
                <w:szCs w:val="14"/>
                <w:color w:val="auto"/>
              </w:rPr>
              <w:t>739,759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687,556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742,739</w:t>
            </w:r>
          </w:p>
        </w:tc>
        <w:tc>
          <w:tcPr>
            <w:tcW w:w="0" w:type="dxa"/>
            <w:vAlign w:val="bottom"/>
          </w:tcPr>
          <w:p>
            <w:pPr>
              <w:spacing w:after="0"/>
              <w:rPr>
                <w:sz w:val="1"/>
                <w:szCs w:val="1"/>
                <w:color w:val="auto"/>
              </w:rPr>
            </w:pPr>
          </w:p>
        </w:tc>
      </w:tr>
      <w:tr>
        <w:trPr>
          <w:trHeight w:val="276"/>
        </w:trPr>
        <w:tc>
          <w:tcPr>
            <w:tcW w:w="7740" w:type="dxa"/>
            <w:vAlign w:val="bottom"/>
          </w:tcPr>
          <w:p>
            <w:pPr>
              <w:ind w:left="460"/>
              <w:spacing w:after="0"/>
              <w:rPr>
                <w:sz w:val="20"/>
                <w:szCs w:val="20"/>
                <w:color w:val="auto"/>
              </w:rPr>
            </w:pPr>
            <w:r>
              <w:rPr>
                <w:rFonts w:ascii="Arial" w:cs="Arial" w:eastAsia="Arial" w:hAnsi="Arial"/>
                <w:sz w:val="14"/>
                <w:szCs w:val="14"/>
                <w:color w:val="auto"/>
              </w:rPr>
              <w:t>Noncontrolling interest</w:t>
            </w:r>
          </w:p>
        </w:tc>
        <w:tc>
          <w:tcPr>
            <w:tcW w:w="180" w:type="dxa"/>
            <w:vAlign w:val="bottom"/>
          </w:tcPr>
          <w:p>
            <w:pPr>
              <w:spacing w:after="0"/>
              <w:rPr>
                <w:sz w:val="24"/>
                <w:szCs w:val="24"/>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(3,332)</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(3,331)</w:t>
            </w:r>
          </w:p>
        </w:tc>
        <w:tc>
          <w:tcPr>
            <w:tcW w:w="0" w:type="dxa"/>
            <w:vAlign w:val="bottom"/>
          </w:tcPr>
          <w:p>
            <w:pPr>
              <w:spacing w:after="0"/>
              <w:rPr>
                <w:sz w:val="1"/>
                <w:szCs w:val="1"/>
                <w:color w:val="auto"/>
              </w:rPr>
            </w:pPr>
          </w:p>
        </w:tc>
      </w:tr>
      <w:tr>
        <w:trPr>
          <w:trHeight w:val="250"/>
        </w:trPr>
        <w:tc>
          <w:tcPr>
            <w:tcW w:w="7740" w:type="dxa"/>
            <w:vAlign w:val="bottom"/>
          </w:tcPr>
          <w:p>
            <w:pPr>
              <w:ind w:left="680"/>
              <w:spacing w:after="0"/>
              <w:rPr>
                <w:sz w:val="20"/>
                <w:szCs w:val="20"/>
                <w:color w:val="auto"/>
              </w:rPr>
            </w:pPr>
            <w:r>
              <w:rPr>
                <w:rFonts w:ascii="Arial" w:cs="Arial" w:eastAsia="Arial" w:hAnsi="Arial"/>
                <w:sz w:val="14"/>
                <w:szCs w:val="14"/>
                <w:color w:val="auto"/>
              </w:rPr>
              <w:t>Total equity</w:t>
            </w:r>
          </w:p>
        </w:tc>
        <w:tc>
          <w:tcPr>
            <w:tcW w:w="180" w:type="dxa"/>
            <w:vAlign w:val="bottom"/>
            <w:tcBorders>
              <w:top w:val="single" w:sz="8" w:color="auto"/>
              <w:bottom w:val="single" w:sz="8" w:color="auto"/>
            </w:tcBorders>
          </w:tcPr>
          <w:p>
            <w:pPr>
              <w:spacing w:after="0"/>
              <w:rPr>
                <w:sz w:val="21"/>
                <w:szCs w:val="21"/>
                <w:color w:val="auto"/>
              </w:rPr>
            </w:pPr>
          </w:p>
        </w:tc>
        <w:tc>
          <w:tcPr>
            <w:tcW w:w="98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739,759</w:t>
            </w:r>
          </w:p>
        </w:tc>
        <w:tc>
          <w:tcPr>
            <w:tcW w:w="120" w:type="dxa"/>
            <w:vAlign w:val="bottom"/>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684,224</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100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rPr>
              <w:t>739,408</w:t>
            </w:r>
          </w:p>
        </w:tc>
        <w:tc>
          <w:tcPr>
            <w:tcW w:w="0" w:type="dxa"/>
            <w:vAlign w:val="bottom"/>
          </w:tcPr>
          <w:p>
            <w:pPr>
              <w:spacing w:after="0"/>
              <w:rPr>
                <w:sz w:val="1"/>
                <w:szCs w:val="1"/>
                <w:color w:val="auto"/>
              </w:rPr>
            </w:pPr>
          </w:p>
        </w:tc>
      </w:tr>
      <w:tr>
        <w:trPr>
          <w:trHeight w:val="243"/>
        </w:trPr>
        <w:tc>
          <w:tcPr>
            <w:tcW w:w="7740" w:type="dxa"/>
            <w:vAlign w:val="bottom"/>
          </w:tcPr>
          <w:p>
            <w:pPr>
              <w:spacing w:after="0"/>
              <w:rPr>
                <w:sz w:val="20"/>
                <w:szCs w:val="20"/>
                <w:color w:val="auto"/>
              </w:rPr>
            </w:pPr>
            <w:r>
              <w:rPr>
                <w:rFonts w:ascii="Arial" w:cs="Arial" w:eastAsia="Arial" w:hAnsi="Arial"/>
                <w:sz w:val="14"/>
                <w:szCs w:val="14"/>
                <w:color w:val="auto"/>
              </w:rPr>
              <w:t>Total liabilities and equity</w:t>
            </w: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1,253,115</w:t>
            </w:r>
          </w:p>
        </w:tc>
        <w:tc>
          <w:tcPr>
            <w:tcW w:w="120" w:type="dxa"/>
            <w:vAlign w:val="bottom"/>
          </w:tcPr>
          <w:p>
            <w:pPr>
              <w:spacing w:after="0"/>
              <w:rPr>
                <w:sz w:val="21"/>
                <w:szCs w:val="21"/>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1,070,496</w:t>
            </w:r>
          </w:p>
        </w:tc>
        <w:tc>
          <w:tcPr>
            <w:tcW w:w="10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1,241,780</w:t>
            </w:r>
          </w:p>
        </w:tc>
        <w:tc>
          <w:tcPr>
            <w:tcW w:w="0" w:type="dxa"/>
            <w:vAlign w:val="bottom"/>
          </w:tcPr>
          <w:p>
            <w:pPr>
              <w:spacing w:after="0"/>
              <w:rPr>
                <w:sz w:val="1"/>
                <w:szCs w:val="1"/>
                <w:color w:val="auto"/>
              </w:rPr>
            </w:pPr>
          </w:p>
        </w:tc>
      </w:tr>
      <w:tr>
        <w:trPr>
          <w:trHeight w:val="20"/>
        </w:trPr>
        <w:tc>
          <w:tcPr>
            <w:tcW w:w="7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80"/>
          </w:cols>
          <w:pgMar w:left="280" w:top="774" w:right="239" w:bottom="1440" w:gutter="0" w:footer="0" w:header="0"/>
        </w:sectPr>
      </w:pPr>
    </w:p>
    <w:bookmarkStart w:id="9" w:name="page10"/>
    <w:bookmarkEnd w:id="9"/>
    <w:p>
      <w:pPr>
        <w:jc w:val="center"/>
        <w:ind w:right="40"/>
        <w:spacing w:after="0"/>
        <w:rPr>
          <w:sz w:val="20"/>
          <w:szCs w:val="20"/>
          <w:color w:val="auto"/>
        </w:rPr>
      </w:pPr>
      <w:r>
        <w:rPr>
          <w:rFonts w:ascii="Arial" w:cs="Arial" w:eastAsia="Arial" w:hAnsi="Arial"/>
          <w:sz w:val="16"/>
          <w:szCs w:val="16"/>
          <w:b w:val="1"/>
          <w:bCs w:val="1"/>
          <w:color w:val="auto"/>
        </w:rPr>
        <w:t>EZCORP, Inc.</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CONDENSED CONSOLIDATED STATEMENTS OF CASH FLOWS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jc w:val="center"/>
              <w:ind w:right="239"/>
              <w:spacing w:after="0"/>
              <w:rPr>
                <w:sz w:val="20"/>
                <w:szCs w:val="20"/>
                <w:color w:val="auto"/>
              </w:rPr>
            </w:pPr>
            <w:r>
              <w:rPr>
                <w:rFonts w:ascii="Arial" w:cs="Arial" w:eastAsia="Arial" w:hAnsi="Arial"/>
                <w:sz w:val="14"/>
                <w:szCs w:val="14"/>
                <w:b w:val="1"/>
                <w:bCs w:val="1"/>
                <w:color w:val="auto"/>
                <w:w w:val="94"/>
              </w:rPr>
              <w:t>Six Months Ended March 31,</w:t>
            </w:r>
          </w:p>
        </w:tc>
        <w:tc>
          <w:tcPr>
            <w:tcW w:w="0" w:type="dxa"/>
            <w:vAlign w:val="bottom"/>
          </w:tcPr>
          <w:p>
            <w:pPr>
              <w:spacing w:after="0"/>
              <w:rPr>
                <w:sz w:val="1"/>
                <w:szCs w:val="1"/>
                <w:color w:val="auto"/>
              </w:rPr>
            </w:pPr>
          </w:p>
        </w:tc>
      </w:tr>
      <w:tr>
        <w:trPr>
          <w:trHeight w:val="264"/>
        </w:trPr>
        <w:tc>
          <w:tcPr>
            <w:tcW w:w="83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379"/>
        </w:trPr>
        <w:tc>
          <w:tcPr>
            <w:tcW w:w="8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720" w:type="dxa"/>
            <w:vAlign w:val="bottom"/>
            <w:gridSpan w:val="3"/>
          </w:tcPr>
          <w:p>
            <w:pPr>
              <w:jc w:val="center"/>
              <w:ind w:left="580"/>
              <w:spacing w:after="0"/>
              <w:rPr>
                <w:sz w:val="20"/>
                <w:szCs w:val="20"/>
                <w:color w:val="auto"/>
              </w:rPr>
            </w:pPr>
            <w:r>
              <w:rPr>
                <w:rFonts w:ascii="Arial" w:cs="Arial" w:eastAsia="Arial" w:hAnsi="Arial"/>
                <w:sz w:val="14"/>
                <w:szCs w:val="14"/>
                <w:b w:val="1"/>
                <w:bCs w:val="1"/>
                <w:color w:val="auto"/>
                <w:w w:val="95"/>
              </w:rPr>
              <w:t>(Unaudited)</w:t>
            </w: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8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720" w:type="dxa"/>
            <w:vAlign w:val="bottom"/>
            <w:gridSpan w:val="3"/>
          </w:tcPr>
          <w:p>
            <w:pPr>
              <w:jc w:val="center"/>
              <w:ind w:left="580"/>
              <w:spacing w:after="0"/>
              <w:rPr>
                <w:sz w:val="20"/>
                <w:szCs w:val="20"/>
                <w:color w:val="auto"/>
              </w:rPr>
            </w:pPr>
            <w:r>
              <w:rPr>
                <w:rFonts w:ascii="Arial" w:cs="Arial" w:eastAsia="Arial" w:hAnsi="Arial"/>
                <w:sz w:val="14"/>
                <w:szCs w:val="14"/>
                <w:i w:val="1"/>
                <w:iCs w:val="1"/>
                <w:color w:val="auto"/>
                <w:w w:val="92"/>
              </w:rPr>
              <w:t>(in thousands)</w:t>
            </w: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8300" w:type="dxa"/>
            <w:vAlign w:val="bottom"/>
          </w:tcPr>
          <w:p>
            <w:pPr>
              <w:spacing w:after="0"/>
              <w:rPr>
                <w:sz w:val="20"/>
                <w:szCs w:val="20"/>
                <w:color w:val="auto"/>
              </w:rPr>
            </w:pPr>
            <w:r>
              <w:rPr>
                <w:rFonts w:ascii="Arial" w:cs="Arial" w:eastAsia="Arial" w:hAnsi="Arial"/>
                <w:sz w:val="16"/>
                <w:szCs w:val="16"/>
                <w:color w:val="auto"/>
              </w:rPr>
              <w:t>Operating activities:</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8300" w:type="dxa"/>
            <w:vAlign w:val="bottom"/>
          </w:tcPr>
          <w:p>
            <w:pPr>
              <w:ind w:left="240"/>
              <w:spacing w:after="0"/>
              <w:rPr>
                <w:sz w:val="20"/>
                <w:szCs w:val="20"/>
                <w:color w:val="auto"/>
              </w:rPr>
            </w:pPr>
            <w:r>
              <w:rPr>
                <w:rFonts w:ascii="Arial" w:cs="Arial" w:eastAsia="Arial" w:hAnsi="Arial"/>
                <w:sz w:val="16"/>
                <w:szCs w:val="16"/>
                <w:color w:val="auto"/>
              </w:rPr>
              <w:t>Net (loss) income</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(1,202)</w:t>
            </w:r>
          </w:p>
        </w:tc>
        <w:tc>
          <w:tcPr>
            <w:tcW w:w="120" w:type="dxa"/>
            <w:vAlign w:val="bottom"/>
          </w:tcPr>
          <w:p>
            <w:pPr>
              <w:spacing w:after="0"/>
              <w:rPr>
                <w:sz w:val="23"/>
                <w:szCs w:val="23"/>
                <w:color w:val="auto"/>
              </w:rPr>
            </w:pP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23,231</w:t>
            </w:r>
          </w:p>
        </w:tc>
        <w:tc>
          <w:tcPr>
            <w:tcW w:w="0" w:type="dxa"/>
            <w:vAlign w:val="bottom"/>
          </w:tcPr>
          <w:p>
            <w:pPr>
              <w:spacing w:after="0"/>
              <w:rPr>
                <w:sz w:val="1"/>
                <w:szCs w:val="1"/>
                <w:color w:val="auto"/>
              </w:rPr>
            </w:pPr>
          </w:p>
        </w:tc>
      </w:tr>
      <w:tr>
        <w:trPr>
          <w:trHeight w:val="270"/>
        </w:trPr>
        <w:tc>
          <w:tcPr>
            <w:tcW w:w="8300" w:type="dxa"/>
            <w:vAlign w:val="bottom"/>
          </w:tcPr>
          <w:p>
            <w:pPr>
              <w:ind w:left="460"/>
              <w:spacing w:after="0"/>
              <w:rPr>
                <w:sz w:val="20"/>
                <w:szCs w:val="20"/>
                <w:color w:val="auto"/>
              </w:rPr>
            </w:pPr>
            <w:r>
              <w:rPr>
                <w:rFonts w:ascii="Arial" w:cs="Arial" w:eastAsia="Arial" w:hAnsi="Arial"/>
                <w:sz w:val="16"/>
                <w:szCs w:val="16"/>
                <w:color w:val="auto"/>
              </w:rPr>
              <w:t>Adjustments to reconcile net (loss) income to net cash flows from operating activities:</w:t>
            </w:r>
          </w:p>
        </w:tc>
        <w:tc>
          <w:tcPr>
            <w:tcW w:w="3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300" w:type="dxa"/>
            <w:vAlign w:val="bottom"/>
          </w:tcPr>
          <w:p>
            <w:pPr>
              <w:ind w:left="680"/>
              <w:spacing w:after="0"/>
              <w:rPr>
                <w:sz w:val="20"/>
                <w:szCs w:val="20"/>
                <w:color w:val="auto"/>
              </w:rPr>
            </w:pPr>
            <w:r>
              <w:rPr>
                <w:rFonts w:ascii="Arial" w:cs="Arial" w:eastAsia="Arial" w:hAnsi="Arial"/>
                <w:sz w:val="16"/>
                <w:szCs w:val="16"/>
                <w:color w:val="auto"/>
              </w:rPr>
              <w:t>Depreciation and amortization</w:t>
            </w:r>
          </w:p>
        </w:tc>
        <w:tc>
          <w:tcPr>
            <w:tcW w:w="360" w:type="dxa"/>
            <w:vAlign w:val="bottom"/>
          </w:tcPr>
          <w:p>
            <w:pPr>
              <w:spacing w:after="0"/>
              <w:rPr>
                <w:sz w:val="23"/>
                <w:szCs w:val="23"/>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13,860</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12,174</w:t>
            </w:r>
          </w:p>
        </w:tc>
        <w:tc>
          <w:tcPr>
            <w:tcW w:w="0" w:type="dxa"/>
            <w:vAlign w:val="bottom"/>
          </w:tcPr>
          <w:p>
            <w:pPr>
              <w:spacing w:after="0"/>
              <w:rPr>
                <w:sz w:val="1"/>
                <w:szCs w:val="1"/>
                <w:color w:val="auto"/>
              </w:rPr>
            </w:pPr>
          </w:p>
        </w:tc>
      </w:tr>
      <w:tr>
        <w:trPr>
          <w:trHeight w:val="270"/>
        </w:trPr>
        <w:tc>
          <w:tcPr>
            <w:tcW w:w="8300" w:type="dxa"/>
            <w:vAlign w:val="bottom"/>
          </w:tcPr>
          <w:p>
            <w:pPr>
              <w:ind w:left="680"/>
              <w:spacing w:after="0"/>
              <w:rPr>
                <w:sz w:val="20"/>
                <w:szCs w:val="20"/>
                <w:color w:val="auto"/>
              </w:rPr>
            </w:pPr>
            <w:r>
              <w:rPr>
                <w:rFonts w:ascii="Arial" w:cs="Arial" w:eastAsia="Arial" w:hAnsi="Arial"/>
                <w:sz w:val="16"/>
                <w:szCs w:val="16"/>
                <w:color w:val="auto"/>
              </w:rPr>
              <w:t>Amortization of debt discount and deferred financing costs</w:t>
            </w:r>
          </w:p>
        </w:tc>
        <w:tc>
          <w:tcPr>
            <w:tcW w:w="360" w:type="dxa"/>
            <w:vAlign w:val="bottom"/>
          </w:tcPr>
          <w:p>
            <w:pPr>
              <w:spacing w:after="0"/>
              <w:rPr>
                <w:sz w:val="23"/>
                <w:szCs w:val="23"/>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11,225</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7,439</w:t>
            </w:r>
          </w:p>
        </w:tc>
        <w:tc>
          <w:tcPr>
            <w:tcW w:w="0" w:type="dxa"/>
            <w:vAlign w:val="bottom"/>
          </w:tcPr>
          <w:p>
            <w:pPr>
              <w:spacing w:after="0"/>
              <w:rPr>
                <w:sz w:val="1"/>
                <w:szCs w:val="1"/>
                <w:color w:val="auto"/>
              </w:rPr>
            </w:pPr>
          </w:p>
        </w:tc>
      </w:tr>
      <w:tr>
        <w:trPr>
          <w:trHeight w:val="270"/>
        </w:trPr>
        <w:tc>
          <w:tcPr>
            <w:tcW w:w="8300" w:type="dxa"/>
            <w:vAlign w:val="bottom"/>
          </w:tcPr>
          <w:p>
            <w:pPr>
              <w:ind w:left="680"/>
              <w:spacing w:after="0"/>
              <w:rPr>
                <w:sz w:val="20"/>
                <w:szCs w:val="20"/>
                <w:color w:val="auto"/>
              </w:rPr>
            </w:pPr>
            <w:r>
              <w:rPr>
                <w:rFonts w:ascii="Arial" w:cs="Arial" w:eastAsia="Arial" w:hAnsi="Arial"/>
                <w:sz w:val="16"/>
                <w:szCs w:val="16"/>
                <w:color w:val="auto"/>
              </w:rPr>
              <w:t>Accretion of notes receivable discount and deferred compensation fee</w:t>
            </w:r>
          </w:p>
        </w:tc>
        <w:tc>
          <w:tcPr>
            <w:tcW w:w="3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(2,492)</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(5,032)</w:t>
            </w:r>
          </w:p>
        </w:tc>
        <w:tc>
          <w:tcPr>
            <w:tcW w:w="0" w:type="dxa"/>
            <w:vAlign w:val="bottom"/>
          </w:tcPr>
          <w:p>
            <w:pPr>
              <w:spacing w:after="0"/>
              <w:rPr>
                <w:sz w:val="1"/>
                <w:szCs w:val="1"/>
                <w:color w:val="auto"/>
              </w:rPr>
            </w:pPr>
          </w:p>
        </w:tc>
      </w:tr>
      <w:tr>
        <w:trPr>
          <w:trHeight w:val="270"/>
        </w:trPr>
        <w:tc>
          <w:tcPr>
            <w:tcW w:w="8300" w:type="dxa"/>
            <w:vAlign w:val="bottom"/>
          </w:tcPr>
          <w:p>
            <w:pPr>
              <w:ind w:left="680"/>
              <w:spacing w:after="0"/>
              <w:rPr>
                <w:sz w:val="20"/>
                <w:szCs w:val="20"/>
                <w:color w:val="auto"/>
              </w:rPr>
            </w:pPr>
            <w:r>
              <w:rPr>
                <w:rFonts w:ascii="Arial" w:cs="Arial" w:eastAsia="Arial" w:hAnsi="Arial"/>
                <w:sz w:val="16"/>
                <w:szCs w:val="16"/>
                <w:color w:val="auto"/>
              </w:rPr>
              <w:t>Deferred income taxes</w:t>
            </w:r>
          </w:p>
        </w:tc>
        <w:tc>
          <w:tcPr>
            <w:tcW w:w="360" w:type="dxa"/>
            <w:vAlign w:val="bottom"/>
          </w:tcPr>
          <w:p>
            <w:pPr>
              <w:spacing w:after="0"/>
              <w:rPr>
                <w:sz w:val="23"/>
                <w:szCs w:val="23"/>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358</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2,801</w:t>
            </w:r>
          </w:p>
        </w:tc>
        <w:tc>
          <w:tcPr>
            <w:tcW w:w="0" w:type="dxa"/>
            <w:vAlign w:val="bottom"/>
          </w:tcPr>
          <w:p>
            <w:pPr>
              <w:spacing w:after="0"/>
              <w:rPr>
                <w:sz w:val="1"/>
                <w:szCs w:val="1"/>
                <w:color w:val="auto"/>
              </w:rPr>
            </w:pPr>
          </w:p>
        </w:tc>
      </w:tr>
      <w:tr>
        <w:trPr>
          <w:trHeight w:val="270"/>
        </w:trPr>
        <w:tc>
          <w:tcPr>
            <w:tcW w:w="8300" w:type="dxa"/>
            <w:vAlign w:val="bottom"/>
          </w:tcPr>
          <w:p>
            <w:pPr>
              <w:ind w:left="680"/>
              <w:spacing w:after="0"/>
              <w:rPr>
                <w:sz w:val="20"/>
                <w:szCs w:val="20"/>
                <w:color w:val="auto"/>
              </w:rPr>
            </w:pPr>
            <w:r>
              <w:rPr>
                <w:rFonts w:ascii="Arial" w:cs="Arial" w:eastAsia="Arial" w:hAnsi="Arial"/>
                <w:sz w:val="16"/>
                <w:szCs w:val="16"/>
                <w:color w:val="auto"/>
              </w:rPr>
              <w:t>Impairment of investment in unconsolidated affiliate</w:t>
            </w:r>
          </w:p>
        </w:tc>
        <w:tc>
          <w:tcPr>
            <w:tcW w:w="360" w:type="dxa"/>
            <w:vAlign w:val="bottom"/>
          </w:tcPr>
          <w:p>
            <w:pPr>
              <w:spacing w:after="0"/>
              <w:rPr>
                <w:sz w:val="23"/>
                <w:szCs w:val="23"/>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19,725</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8300" w:type="dxa"/>
            <w:vAlign w:val="bottom"/>
          </w:tcPr>
          <w:p>
            <w:pPr>
              <w:ind w:left="680"/>
              <w:spacing w:after="0"/>
              <w:rPr>
                <w:sz w:val="20"/>
                <w:szCs w:val="20"/>
                <w:color w:val="auto"/>
              </w:rPr>
            </w:pPr>
            <w:r>
              <w:rPr>
                <w:rFonts w:ascii="Arial" w:cs="Arial" w:eastAsia="Arial" w:hAnsi="Arial"/>
                <w:sz w:val="16"/>
                <w:szCs w:val="16"/>
                <w:color w:val="auto"/>
              </w:rPr>
              <w:t>Other adjustments</w:t>
            </w:r>
          </w:p>
        </w:tc>
        <w:tc>
          <w:tcPr>
            <w:tcW w:w="360" w:type="dxa"/>
            <w:vAlign w:val="bottom"/>
          </w:tcPr>
          <w:p>
            <w:pPr>
              <w:spacing w:after="0"/>
              <w:rPr>
                <w:sz w:val="23"/>
                <w:szCs w:val="23"/>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1,265</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1,081</w:t>
            </w:r>
          </w:p>
        </w:tc>
        <w:tc>
          <w:tcPr>
            <w:tcW w:w="0" w:type="dxa"/>
            <w:vAlign w:val="bottom"/>
          </w:tcPr>
          <w:p>
            <w:pPr>
              <w:spacing w:after="0"/>
              <w:rPr>
                <w:sz w:val="1"/>
                <w:szCs w:val="1"/>
                <w:color w:val="auto"/>
              </w:rPr>
            </w:pPr>
          </w:p>
        </w:tc>
      </w:tr>
      <w:tr>
        <w:trPr>
          <w:trHeight w:val="270"/>
        </w:trPr>
        <w:tc>
          <w:tcPr>
            <w:tcW w:w="8300" w:type="dxa"/>
            <w:vAlign w:val="bottom"/>
          </w:tcPr>
          <w:p>
            <w:pPr>
              <w:ind w:left="680"/>
              <w:spacing w:after="0"/>
              <w:rPr>
                <w:sz w:val="20"/>
                <w:szCs w:val="20"/>
                <w:color w:val="auto"/>
              </w:rPr>
            </w:pPr>
            <w:r>
              <w:rPr>
                <w:rFonts w:ascii="Arial" w:cs="Arial" w:eastAsia="Arial" w:hAnsi="Arial"/>
                <w:sz w:val="16"/>
                <w:szCs w:val="16"/>
                <w:color w:val="auto"/>
              </w:rPr>
              <w:t>Reserve on jewelry scrap receivable</w:t>
            </w:r>
          </w:p>
        </w:tc>
        <w:tc>
          <w:tcPr>
            <w:tcW w:w="360" w:type="dxa"/>
            <w:vAlign w:val="bottom"/>
          </w:tcPr>
          <w:p>
            <w:pPr>
              <w:spacing w:after="0"/>
              <w:rPr>
                <w:sz w:val="23"/>
                <w:szCs w:val="23"/>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3,646</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8300" w:type="dxa"/>
            <w:vAlign w:val="bottom"/>
          </w:tcPr>
          <w:p>
            <w:pPr>
              <w:ind w:left="680"/>
              <w:spacing w:after="0"/>
              <w:rPr>
                <w:sz w:val="20"/>
                <w:szCs w:val="20"/>
                <w:color w:val="auto"/>
              </w:rPr>
            </w:pPr>
            <w:r>
              <w:rPr>
                <w:rFonts w:ascii="Arial" w:cs="Arial" w:eastAsia="Arial" w:hAnsi="Arial"/>
                <w:sz w:val="16"/>
                <w:szCs w:val="16"/>
                <w:color w:val="auto"/>
              </w:rPr>
              <w:t>Stock compensation expense</w:t>
            </w:r>
          </w:p>
        </w:tc>
        <w:tc>
          <w:tcPr>
            <w:tcW w:w="360" w:type="dxa"/>
            <w:vAlign w:val="bottom"/>
          </w:tcPr>
          <w:p>
            <w:pPr>
              <w:spacing w:after="0"/>
              <w:rPr>
                <w:sz w:val="23"/>
                <w:szCs w:val="23"/>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4,697</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5,534</w:t>
            </w:r>
          </w:p>
        </w:tc>
        <w:tc>
          <w:tcPr>
            <w:tcW w:w="0" w:type="dxa"/>
            <w:vAlign w:val="bottom"/>
          </w:tcPr>
          <w:p>
            <w:pPr>
              <w:spacing w:after="0"/>
              <w:rPr>
                <w:sz w:val="1"/>
                <w:szCs w:val="1"/>
                <w:color w:val="auto"/>
              </w:rPr>
            </w:pPr>
          </w:p>
        </w:tc>
      </w:tr>
      <w:tr>
        <w:trPr>
          <w:trHeight w:val="270"/>
        </w:trPr>
        <w:tc>
          <w:tcPr>
            <w:tcW w:w="8300" w:type="dxa"/>
            <w:vAlign w:val="bottom"/>
          </w:tcPr>
          <w:p>
            <w:pPr>
              <w:ind w:left="680"/>
              <w:spacing w:after="0"/>
              <w:rPr>
                <w:sz w:val="20"/>
                <w:szCs w:val="20"/>
                <w:color w:val="auto"/>
              </w:rPr>
            </w:pPr>
            <w:r>
              <w:rPr>
                <w:rFonts w:ascii="Arial" w:cs="Arial" w:eastAsia="Arial" w:hAnsi="Arial"/>
                <w:sz w:val="16"/>
                <w:szCs w:val="16"/>
                <w:color w:val="auto"/>
              </w:rPr>
              <w:t>Loss (income) from investment in unconsolidated affiliates</w:t>
            </w:r>
          </w:p>
        </w:tc>
        <w:tc>
          <w:tcPr>
            <w:tcW w:w="360" w:type="dxa"/>
            <w:vAlign w:val="bottom"/>
          </w:tcPr>
          <w:p>
            <w:pPr>
              <w:spacing w:after="0"/>
              <w:rPr>
                <w:sz w:val="23"/>
                <w:szCs w:val="23"/>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688</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(2,326)</w:t>
            </w:r>
          </w:p>
        </w:tc>
        <w:tc>
          <w:tcPr>
            <w:tcW w:w="0" w:type="dxa"/>
            <w:vAlign w:val="bottom"/>
          </w:tcPr>
          <w:p>
            <w:pPr>
              <w:spacing w:after="0"/>
              <w:rPr>
                <w:sz w:val="1"/>
                <w:szCs w:val="1"/>
                <w:color w:val="auto"/>
              </w:rPr>
            </w:pPr>
          </w:p>
        </w:tc>
      </w:tr>
      <w:tr>
        <w:trPr>
          <w:trHeight w:val="270"/>
        </w:trPr>
        <w:tc>
          <w:tcPr>
            <w:tcW w:w="8300" w:type="dxa"/>
            <w:vAlign w:val="bottom"/>
          </w:tcPr>
          <w:p>
            <w:pPr>
              <w:ind w:left="240"/>
              <w:spacing w:after="0"/>
              <w:rPr>
                <w:sz w:val="20"/>
                <w:szCs w:val="20"/>
                <w:color w:val="auto"/>
              </w:rPr>
            </w:pPr>
            <w:r>
              <w:rPr>
                <w:rFonts w:ascii="Arial" w:cs="Arial" w:eastAsia="Arial" w:hAnsi="Arial"/>
                <w:sz w:val="16"/>
                <w:szCs w:val="16"/>
                <w:color w:val="auto"/>
              </w:rPr>
              <w:t>Changes in operating assets and liabilities, net of business acquisitions:</w:t>
            </w:r>
          </w:p>
        </w:tc>
        <w:tc>
          <w:tcPr>
            <w:tcW w:w="3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300" w:type="dxa"/>
            <w:vAlign w:val="bottom"/>
          </w:tcPr>
          <w:p>
            <w:pPr>
              <w:ind w:left="460"/>
              <w:spacing w:after="0"/>
              <w:rPr>
                <w:sz w:val="20"/>
                <w:szCs w:val="20"/>
                <w:color w:val="auto"/>
              </w:rPr>
            </w:pPr>
            <w:r>
              <w:rPr>
                <w:rFonts w:ascii="Arial" w:cs="Arial" w:eastAsia="Arial" w:hAnsi="Arial"/>
                <w:sz w:val="16"/>
                <w:szCs w:val="16"/>
                <w:color w:val="auto"/>
              </w:rPr>
              <w:t>Service charges and fees receivable</w:t>
            </w:r>
          </w:p>
        </w:tc>
        <w:tc>
          <w:tcPr>
            <w:tcW w:w="360" w:type="dxa"/>
            <w:vAlign w:val="bottom"/>
          </w:tcPr>
          <w:p>
            <w:pPr>
              <w:spacing w:after="0"/>
              <w:rPr>
                <w:sz w:val="23"/>
                <w:szCs w:val="23"/>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3,797</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4,644</w:t>
            </w:r>
          </w:p>
        </w:tc>
        <w:tc>
          <w:tcPr>
            <w:tcW w:w="0" w:type="dxa"/>
            <w:vAlign w:val="bottom"/>
          </w:tcPr>
          <w:p>
            <w:pPr>
              <w:spacing w:after="0"/>
              <w:rPr>
                <w:sz w:val="1"/>
                <w:szCs w:val="1"/>
                <w:color w:val="auto"/>
              </w:rPr>
            </w:pPr>
          </w:p>
        </w:tc>
      </w:tr>
      <w:tr>
        <w:trPr>
          <w:trHeight w:val="270"/>
        </w:trPr>
        <w:tc>
          <w:tcPr>
            <w:tcW w:w="8300" w:type="dxa"/>
            <w:vAlign w:val="bottom"/>
          </w:tcPr>
          <w:p>
            <w:pPr>
              <w:ind w:left="460"/>
              <w:spacing w:after="0"/>
              <w:rPr>
                <w:sz w:val="20"/>
                <w:szCs w:val="20"/>
                <w:color w:val="auto"/>
              </w:rPr>
            </w:pPr>
            <w:r>
              <w:rPr>
                <w:rFonts w:ascii="Arial" w:cs="Arial" w:eastAsia="Arial" w:hAnsi="Arial"/>
                <w:sz w:val="16"/>
                <w:szCs w:val="16"/>
                <w:color w:val="auto"/>
              </w:rPr>
              <w:t>Inventory</w:t>
            </w:r>
          </w:p>
        </w:tc>
        <w:tc>
          <w:tcPr>
            <w:tcW w:w="360" w:type="dxa"/>
            <w:vAlign w:val="bottom"/>
          </w:tcPr>
          <w:p>
            <w:pPr>
              <w:spacing w:after="0"/>
              <w:rPr>
                <w:sz w:val="23"/>
                <w:szCs w:val="23"/>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421</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(628)</w:t>
            </w:r>
          </w:p>
        </w:tc>
        <w:tc>
          <w:tcPr>
            <w:tcW w:w="0" w:type="dxa"/>
            <w:vAlign w:val="bottom"/>
          </w:tcPr>
          <w:p>
            <w:pPr>
              <w:spacing w:after="0"/>
              <w:rPr>
                <w:sz w:val="1"/>
                <w:szCs w:val="1"/>
                <w:color w:val="auto"/>
              </w:rPr>
            </w:pPr>
          </w:p>
        </w:tc>
      </w:tr>
      <w:tr>
        <w:trPr>
          <w:trHeight w:val="270"/>
        </w:trPr>
        <w:tc>
          <w:tcPr>
            <w:tcW w:w="8300" w:type="dxa"/>
            <w:vAlign w:val="bottom"/>
          </w:tcPr>
          <w:p>
            <w:pPr>
              <w:ind w:left="460"/>
              <w:spacing w:after="0"/>
              <w:rPr>
                <w:sz w:val="20"/>
                <w:szCs w:val="20"/>
                <w:color w:val="auto"/>
              </w:rPr>
            </w:pPr>
            <w:r>
              <w:rPr>
                <w:rFonts w:ascii="Arial" w:cs="Arial" w:eastAsia="Arial" w:hAnsi="Arial"/>
                <w:sz w:val="16"/>
                <w:szCs w:val="16"/>
                <w:color w:val="auto"/>
              </w:rPr>
              <w:t>Prepaid expenses, other current assets and other assets</w:t>
            </w:r>
          </w:p>
        </w:tc>
        <w:tc>
          <w:tcPr>
            <w:tcW w:w="3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(3,590)</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(2,982)</w:t>
            </w:r>
          </w:p>
        </w:tc>
        <w:tc>
          <w:tcPr>
            <w:tcW w:w="0" w:type="dxa"/>
            <w:vAlign w:val="bottom"/>
          </w:tcPr>
          <w:p>
            <w:pPr>
              <w:spacing w:after="0"/>
              <w:rPr>
                <w:sz w:val="1"/>
                <w:szCs w:val="1"/>
                <w:color w:val="auto"/>
              </w:rPr>
            </w:pPr>
          </w:p>
        </w:tc>
      </w:tr>
      <w:tr>
        <w:trPr>
          <w:trHeight w:val="270"/>
        </w:trPr>
        <w:tc>
          <w:tcPr>
            <w:tcW w:w="8300" w:type="dxa"/>
            <w:vAlign w:val="bottom"/>
          </w:tcPr>
          <w:p>
            <w:pPr>
              <w:ind w:left="460"/>
              <w:spacing w:after="0"/>
              <w:rPr>
                <w:sz w:val="20"/>
                <w:szCs w:val="20"/>
                <w:color w:val="auto"/>
              </w:rPr>
            </w:pPr>
            <w:r>
              <w:rPr>
                <w:rFonts w:ascii="Arial" w:cs="Arial" w:eastAsia="Arial" w:hAnsi="Arial"/>
                <w:sz w:val="16"/>
                <w:szCs w:val="16"/>
                <w:color w:val="auto"/>
              </w:rPr>
              <w:t>Accounts payable, accrued expenses and other liabilities</w:t>
            </w:r>
          </w:p>
        </w:tc>
        <w:tc>
          <w:tcPr>
            <w:tcW w:w="3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(409)</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(5,357)</w:t>
            </w:r>
          </w:p>
        </w:tc>
        <w:tc>
          <w:tcPr>
            <w:tcW w:w="0" w:type="dxa"/>
            <w:vAlign w:val="bottom"/>
          </w:tcPr>
          <w:p>
            <w:pPr>
              <w:spacing w:after="0"/>
              <w:rPr>
                <w:sz w:val="1"/>
                <w:szCs w:val="1"/>
                <w:color w:val="auto"/>
              </w:rPr>
            </w:pPr>
          </w:p>
        </w:tc>
      </w:tr>
      <w:tr>
        <w:trPr>
          <w:trHeight w:val="270"/>
        </w:trPr>
        <w:tc>
          <w:tcPr>
            <w:tcW w:w="8300" w:type="dxa"/>
            <w:vAlign w:val="bottom"/>
          </w:tcPr>
          <w:p>
            <w:pPr>
              <w:ind w:left="460"/>
              <w:spacing w:after="0"/>
              <w:rPr>
                <w:sz w:val="20"/>
                <w:szCs w:val="20"/>
                <w:color w:val="auto"/>
              </w:rPr>
            </w:pPr>
            <w:r>
              <w:rPr>
                <w:rFonts w:ascii="Arial" w:cs="Arial" w:eastAsia="Arial" w:hAnsi="Arial"/>
                <w:sz w:val="16"/>
                <w:szCs w:val="16"/>
                <w:color w:val="auto"/>
              </w:rPr>
              <w:t>Customer layaway deposits</w:t>
            </w:r>
          </w:p>
        </w:tc>
        <w:tc>
          <w:tcPr>
            <w:tcW w:w="360" w:type="dxa"/>
            <w:vAlign w:val="bottom"/>
          </w:tcPr>
          <w:p>
            <w:pPr>
              <w:spacing w:after="0"/>
              <w:rPr>
                <w:sz w:val="23"/>
                <w:szCs w:val="23"/>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1,810</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1,128</w:t>
            </w:r>
          </w:p>
        </w:tc>
        <w:tc>
          <w:tcPr>
            <w:tcW w:w="0" w:type="dxa"/>
            <w:vAlign w:val="bottom"/>
          </w:tcPr>
          <w:p>
            <w:pPr>
              <w:spacing w:after="0"/>
              <w:rPr>
                <w:sz w:val="1"/>
                <w:szCs w:val="1"/>
                <w:color w:val="auto"/>
              </w:rPr>
            </w:pPr>
          </w:p>
        </w:tc>
      </w:tr>
      <w:tr>
        <w:trPr>
          <w:trHeight w:val="270"/>
        </w:trPr>
        <w:tc>
          <w:tcPr>
            <w:tcW w:w="8300" w:type="dxa"/>
            <w:vAlign w:val="bottom"/>
          </w:tcPr>
          <w:p>
            <w:pPr>
              <w:ind w:left="460"/>
              <w:spacing w:after="0"/>
              <w:rPr>
                <w:sz w:val="20"/>
                <w:szCs w:val="20"/>
                <w:color w:val="auto"/>
              </w:rPr>
            </w:pPr>
            <w:r>
              <w:rPr>
                <w:rFonts w:ascii="Arial" w:cs="Arial" w:eastAsia="Arial" w:hAnsi="Arial"/>
                <w:sz w:val="16"/>
                <w:szCs w:val="16"/>
                <w:color w:val="auto"/>
              </w:rPr>
              <w:t>Income taxes, net of excess tax benefit from stock compensation</w:t>
            </w:r>
          </w:p>
        </w:tc>
        <w:tc>
          <w:tcPr>
            <w:tcW w:w="3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(3,176)</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3,937</w:t>
            </w:r>
          </w:p>
        </w:tc>
        <w:tc>
          <w:tcPr>
            <w:tcW w:w="0" w:type="dxa"/>
            <w:vAlign w:val="bottom"/>
          </w:tcPr>
          <w:p>
            <w:pPr>
              <w:spacing w:after="0"/>
              <w:rPr>
                <w:sz w:val="1"/>
                <w:szCs w:val="1"/>
                <w:color w:val="auto"/>
              </w:rPr>
            </w:pPr>
          </w:p>
        </w:tc>
      </w:tr>
      <w:tr>
        <w:trPr>
          <w:trHeight w:val="33"/>
        </w:trPr>
        <w:tc>
          <w:tcPr>
            <w:tcW w:w="83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8300" w:type="dxa"/>
            <w:vAlign w:val="bottom"/>
          </w:tcPr>
          <w:p>
            <w:pPr>
              <w:ind w:left="780"/>
              <w:spacing w:after="0"/>
              <w:rPr>
                <w:sz w:val="20"/>
                <w:szCs w:val="20"/>
                <w:color w:val="auto"/>
              </w:rPr>
            </w:pPr>
            <w:r>
              <w:rPr>
                <w:rFonts w:ascii="Arial" w:cs="Arial" w:eastAsia="Arial" w:hAnsi="Arial"/>
                <w:sz w:val="16"/>
                <w:szCs w:val="16"/>
                <w:color w:val="auto"/>
              </w:rPr>
              <w:t>Net cash provided by operating activities</w:t>
            </w:r>
          </w:p>
        </w:tc>
        <w:tc>
          <w:tcPr>
            <w:tcW w:w="360" w:type="dxa"/>
            <w:vAlign w:val="bottom"/>
          </w:tcPr>
          <w:p>
            <w:pPr>
              <w:spacing w:after="0"/>
              <w:rPr>
                <w:sz w:val="18"/>
                <w:szCs w:val="18"/>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50,623</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45,644</w:t>
            </w:r>
          </w:p>
        </w:tc>
        <w:tc>
          <w:tcPr>
            <w:tcW w:w="0" w:type="dxa"/>
            <w:vAlign w:val="bottom"/>
          </w:tcPr>
          <w:p>
            <w:pPr>
              <w:spacing w:after="0"/>
              <w:rPr>
                <w:sz w:val="1"/>
                <w:szCs w:val="1"/>
                <w:color w:val="auto"/>
              </w:rPr>
            </w:pPr>
          </w:p>
        </w:tc>
      </w:tr>
      <w:tr>
        <w:trPr>
          <w:trHeight w:val="270"/>
        </w:trPr>
        <w:tc>
          <w:tcPr>
            <w:tcW w:w="8300" w:type="dxa"/>
            <w:vAlign w:val="bottom"/>
          </w:tcPr>
          <w:p>
            <w:pPr>
              <w:spacing w:after="0"/>
              <w:rPr>
                <w:sz w:val="20"/>
                <w:szCs w:val="20"/>
                <w:color w:val="auto"/>
              </w:rPr>
            </w:pPr>
            <w:r>
              <w:rPr>
                <w:rFonts w:ascii="Arial" w:cs="Arial" w:eastAsia="Arial" w:hAnsi="Arial"/>
                <w:sz w:val="16"/>
                <w:szCs w:val="16"/>
                <w:color w:val="auto"/>
              </w:rPr>
              <w:t>Investing activities:</w:t>
            </w:r>
          </w:p>
        </w:tc>
        <w:tc>
          <w:tcPr>
            <w:tcW w:w="3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300" w:type="dxa"/>
            <w:vAlign w:val="bottom"/>
          </w:tcPr>
          <w:p>
            <w:pPr>
              <w:ind w:left="240"/>
              <w:spacing w:after="0"/>
              <w:rPr>
                <w:sz w:val="20"/>
                <w:szCs w:val="20"/>
                <w:color w:val="auto"/>
              </w:rPr>
            </w:pPr>
            <w:r>
              <w:rPr>
                <w:rFonts w:ascii="Arial" w:cs="Arial" w:eastAsia="Arial" w:hAnsi="Arial"/>
                <w:sz w:val="16"/>
                <w:szCs w:val="16"/>
                <w:color w:val="auto"/>
              </w:rPr>
              <w:t>Loans made</w:t>
            </w:r>
          </w:p>
        </w:tc>
        <w:tc>
          <w:tcPr>
            <w:tcW w:w="3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(353,537)</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(330,732)</w:t>
            </w:r>
          </w:p>
        </w:tc>
        <w:tc>
          <w:tcPr>
            <w:tcW w:w="0" w:type="dxa"/>
            <w:vAlign w:val="bottom"/>
          </w:tcPr>
          <w:p>
            <w:pPr>
              <w:spacing w:after="0"/>
              <w:rPr>
                <w:sz w:val="1"/>
                <w:szCs w:val="1"/>
                <w:color w:val="auto"/>
              </w:rPr>
            </w:pPr>
          </w:p>
        </w:tc>
      </w:tr>
      <w:tr>
        <w:trPr>
          <w:trHeight w:val="270"/>
        </w:trPr>
        <w:tc>
          <w:tcPr>
            <w:tcW w:w="8300" w:type="dxa"/>
            <w:vAlign w:val="bottom"/>
          </w:tcPr>
          <w:p>
            <w:pPr>
              <w:ind w:left="240"/>
              <w:spacing w:after="0"/>
              <w:rPr>
                <w:sz w:val="20"/>
                <w:szCs w:val="20"/>
                <w:color w:val="auto"/>
              </w:rPr>
            </w:pPr>
            <w:r>
              <w:rPr>
                <w:rFonts w:ascii="Arial" w:cs="Arial" w:eastAsia="Arial" w:hAnsi="Arial"/>
                <w:sz w:val="16"/>
                <w:szCs w:val="16"/>
                <w:color w:val="auto"/>
              </w:rPr>
              <w:t>Loans repaid</w:t>
            </w:r>
          </w:p>
        </w:tc>
        <w:tc>
          <w:tcPr>
            <w:tcW w:w="360" w:type="dxa"/>
            <w:vAlign w:val="bottom"/>
          </w:tcPr>
          <w:p>
            <w:pPr>
              <w:spacing w:after="0"/>
              <w:rPr>
                <w:sz w:val="23"/>
                <w:szCs w:val="23"/>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225,695</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220,267</w:t>
            </w:r>
          </w:p>
        </w:tc>
        <w:tc>
          <w:tcPr>
            <w:tcW w:w="0" w:type="dxa"/>
            <w:vAlign w:val="bottom"/>
          </w:tcPr>
          <w:p>
            <w:pPr>
              <w:spacing w:after="0"/>
              <w:rPr>
                <w:sz w:val="1"/>
                <w:szCs w:val="1"/>
                <w:color w:val="auto"/>
              </w:rPr>
            </w:pPr>
          </w:p>
        </w:tc>
      </w:tr>
      <w:tr>
        <w:trPr>
          <w:trHeight w:val="270"/>
        </w:trPr>
        <w:tc>
          <w:tcPr>
            <w:tcW w:w="8300" w:type="dxa"/>
            <w:vAlign w:val="bottom"/>
          </w:tcPr>
          <w:p>
            <w:pPr>
              <w:ind w:left="240"/>
              <w:spacing w:after="0"/>
              <w:rPr>
                <w:sz w:val="20"/>
                <w:szCs w:val="20"/>
                <w:color w:val="auto"/>
              </w:rPr>
            </w:pPr>
            <w:r>
              <w:rPr>
                <w:rFonts w:ascii="Arial" w:cs="Arial" w:eastAsia="Arial" w:hAnsi="Arial"/>
                <w:sz w:val="16"/>
                <w:szCs w:val="16"/>
                <w:color w:val="auto"/>
              </w:rPr>
              <w:t>Recovery of pawn loan principal through sale of forfeited collateral</w:t>
            </w:r>
          </w:p>
        </w:tc>
        <w:tc>
          <w:tcPr>
            <w:tcW w:w="360" w:type="dxa"/>
            <w:vAlign w:val="bottom"/>
          </w:tcPr>
          <w:p>
            <w:pPr>
              <w:spacing w:after="0"/>
              <w:rPr>
                <w:sz w:val="23"/>
                <w:szCs w:val="23"/>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142,656</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134,870</w:t>
            </w:r>
          </w:p>
        </w:tc>
        <w:tc>
          <w:tcPr>
            <w:tcW w:w="0" w:type="dxa"/>
            <w:vAlign w:val="bottom"/>
          </w:tcPr>
          <w:p>
            <w:pPr>
              <w:spacing w:after="0"/>
              <w:rPr>
                <w:sz w:val="1"/>
                <w:szCs w:val="1"/>
                <w:color w:val="auto"/>
              </w:rPr>
            </w:pPr>
          </w:p>
        </w:tc>
      </w:tr>
      <w:tr>
        <w:trPr>
          <w:trHeight w:val="270"/>
        </w:trPr>
        <w:tc>
          <w:tcPr>
            <w:tcW w:w="8300" w:type="dxa"/>
            <w:vAlign w:val="bottom"/>
          </w:tcPr>
          <w:p>
            <w:pPr>
              <w:ind w:left="240"/>
              <w:spacing w:after="0"/>
              <w:rPr>
                <w:sz w:val="20"/>
                <w:szCs w:val="20"/>
                <w:color w:val="auto"/>
              </w:rPr>
            </w:pPr>
            <w:r>
              <w:rPr>
                <w:rFonts w:ascii="Arial" w:cs="Arial" w:eastAsia="Arial" w:hAnsi="Arial"/>
                <w:sz w:val="16"/>
                <w:szCs w:val="16"/>
                <w:color w:val="auto"/>
              </w:rPr>
              <w:t>Additions to property and equipment, net</w:t>
            </w:r>
          </w:p>
        </w:tc>
        <w:tc>
          <w:tcPr>
            <w:tcW w:w="3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(13,863)</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(19,251)</w:t>
            </w:r>
          </w:p>
        </w:tc>
        <w:tc>
          <w:tcPr>
            <w:tcW w:w="0" w:type="dxa"/>
            <w:vAlign w:val="bottom"/>
          </w:tcPr>
          <w:p>
            <w:pPr>
              <w:spacing w:after="0"/>
              <w:rPr>
                <w:sz w:val="1"/>
                <w:szCs w:val="1"/>
                <w:color w:val="auto"/>
              </w:rPr>
            </w:pPr>
          </w:p>
        </w:tc>
      </w:tr>
      <w:tr>
        <w:trPr>
          <w:trHeight w:val="270"/>
        </w:trPr>
        <w:tc>
          <w:tcPr>
            <w:tcW w:w="8300" w:type="dxa"/>
            <w:vAlign w:val="bottom"/>
          </w:tcPr>
          <w:p>
            <w:pPr>
              <w:ind w:left="240"/>
              <w:spacing w:after="0"/>
              <w:rPr>
                <w:sz w:val="20"/>
                <w:szCs w:val="20"/>
                <w:color w:val="auto"/>
              </w:rPr>
            </w:pPr>
            <w:r>
              <w:rPr>
                <w:rFonts w:ascii="Arial" w:cs="Arial" w:eastAsia="Arial" w:hAnsi="Arial"/>
                <w:sz w:val="16"/>
                <w:szCs w:val="16"/>
                <w:color w:val="auto"/>
              </w:rPr>
              <w:t>Acquisitions, net of cash acquired</w:t>
            </w:r>
          </w:p>
        </w:tc>
        <w:tc>
          <w:tcPr>
            <w:tcW w:w="3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(627)</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(63,780)</w:t>
            </w:r>
          </w:p>
        </w:tc>
        <w:tc>
          <w:tcPr>
            <w:tcW w:w="0" w:type="dxa"/>
            <w:vAlign w:val="bottom"/>
          </w:tcPr>
          <w:p>
            <w:pPr>
              <w:spacing w:after="0"/>
              <w:rPr>
                <w:sz w:val="1"/>
                <w:szCs w:val="1"/>
                <w:color w:val="auto"/>
              </w:rPr>
            </w:pPr>
          </w:p>
        </w:tc>
      </w:tr>
      <w:tr>
        <w:trPr>
          <w:trHeight w:val="270"/>
        </w:trPr>
        <w:tc>
          <w:tcPr>
            <w:tcW w:w="8300" w:type="dxa"/>
            <w:vAlign w:val="bottom"/>
          </w:tcPr>
          <w:p>
            <w:pPr>
              <w:ind w:left="240"/>
              <w:spacing w:after="0"/>
              <w:rPr>
                <w:sz w:val="20"/>
                <w:szCs w:val="20"/>
                <w:color w:val="auto"/>
              </w:rPr>
            </w:pPr>
            <w:r>
              <w:rPr>
                <w:rFonts w:ascii="Arial" w:cs="Arial" w:eastAsia="Arial" w:hAnsi="Arial"/>
                <w:sz w:val="16"/>
                <w:szCs w:val="16"/>
                <w:color w:val="auto"/>
              </w:rPr>
              <w:t>Principal collections on notes receivable</w:t>
            </w:r>
          </w:p>
        </w:tc>
        <w:tc>
          <w:tcPr>
            <w:tcW w:w="360" w:type="dxa"/>
            <w:vAlign w:val="bottom"/>
          </w:tcPr>
          <w:p>
            <w:pPr>
              <w:spacing w:after="0"/>
              <w:rPr>
                <w:sz w:val="23"/>
                <w:szCs w:val="23"/>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14,591</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9,152</w:t>
            </w:r>
          </w:p>
        </w:tc>
        <w:tc>
          <w:tcPr>
            <w:tcW w:w="0" w:type="dxa"/>
            <w:vAlign w:val="bottom"/>
          </w:tcPr>
          <w:p>
            <w:pPr>
              <w:spacing w:after="0"/>
              <w:rPr>
                <w:sz w:val="1"/>
                <w:szCs w:val="1"/>
                <w:color w:val="auto"/>
              </w:rPr>
            </w:pPr>
          </w:p>
        </w:tc>
      </w:tr>
      <w:tr>
        <w:trPr>
          <w:trHeight w:val="33"/>
        </w:trPr>
        <w:tc>
          <w:tcPr>
            <w:tcW w:w="83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8300" w:type="dxa"/>
            <w:vAlign w:val="bottom"/>
          </w:tcPr>
          <w:p>
            <w:pPr>
              <w:ind w:left="780"/>
              <w:spacing w:after="0"/>
              <w:rPr>
                <w:sz w:val="20"/>
                <w:szCs w:val="20"/>
                <w:color w:val="auto"/>
              </w:rPr>
            </w:pPr>
            <w:r>
              <w:rPr>
                <w:rFonts w:ascii="Arial" w:cs="Arial" w:eastAsia="Arial" w:hAnsi="Arial"/>
                <w:sz w:val="16"/>
                <w:szCs w:val="16"/>
                <w:color w:val="auto"/>
              </w:rPr>
              <w:t>Net cash provided by (used in) investing activities</w:t>
            </w:r>
          </w:p>
        </w:tc>
        <w:tc>
          <w:tcPr>
            <w:tcW w:w="360" w:type="dxa"/>
            <w:vAlign w:val="bottom"/>
          </w:tcPr>
          <w:p>
            <w:pPr>
              <w:spacing w:after="0"/>
              <w:rPr>
                <w:sz w:val="18"/>
                <w:szCs w:val="18"/>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14,915</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(49,474)</w:t>
            </w:r>
          </w:p>
        </w:tc>
        <w:tc>
          <w:tcPr>
            <w:tcW w:w="0" w:type="dxa"/>
            <w:vAlign w:val="bottom"/>
          </w:tcPr>
          <w:p>
            <w:pPr>
              <w:spacing w:after="0"/>
              <w:rPr>
                <w:sz w:val="1"/>
                <w:szCs w:val="1"/>
                <w:color w:val="auto"/>
              </w:rPr>
            </w:pPr>
          </w:p>
        </w:tc>
      </w:tr>
      <w:tr>
        <w:trPr>
          <w:trHeight w:val="270"/>
        </w:trPr>
        <w:tc>
          <w:tcPr>
            <w:tcW w:w="8300" w:type="dxa"/>
            <w:vAlign w:val="bottom"/>
          </w:tcPr>
          <w:p>
            <w:pPr>
              <w:spacing w:after="0"/>
              <w:rPr>
                <w:sz w:val="20"/>
                <w:szCs w:val="20"/>
                <w:color w:val="auto"/>
              </w:rPr>
            </w:pPr>
            <w:r>
              <w:rPr>
                <w:rFonts w:ascii="Arial" w:cs="Arial" w:eastAsia="Arial" w:hAnsi="Arial"/>
                <w:sz w:val="16"/>
                <w:szCs w:val="16"/>
                <w:color w:val="auto"/>
              </w:rPr>
              <w:t>Financing activities:</w:t>
            </w:r>
          </w:p>
        </w:tc>
        <w:tc>
          <w:tcPr>
            <w:tcW w:w="3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300" w:type="dxa"/>
            <w:vAlign w:val="bottom"/>
          </w:tcPr>
          <w:p>
            <w:pPr>
              <w:ind w:left="240"/>
              <w:spacing w:after="0"/>
              <w:rPr>
                <w:sz w:val="20"/>
                <w:szCs w:val="20"/>
                <w:color w:val="auto"/>
              </w:rPr>
            </w:pPr>
            <w:r>
              <w:rPr>
                <w:rFonts w:ascii="Arial" w:cs="Arial" w:eastAsia="Arial" w:hAnsi="Arial"/>
                <w:sz w:val="16"/>
                <w:szCs w:val="16"/>
                <w:color w:val="auto"/>
              </w:rPr>
              <w:t>Taxes paid related to net share settlement of equity awards</w:t>
            </w:r>
          </w:p>
        </w:tc>
        <w:tc>
          <w:tcPr>
            <w:tcW w:w="3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(3,288)</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(311)</w:t>
            </w:r>
          </w:p>
        </w:tc>
        <w:tc>
          <w:tcPr>
            <w:tcW w:w="0" w:type="dxa"/>
            <w:vAlign w:val="bottom"/>
          </w:tcPr>
          <w:p>
            <w:pPr>
              <w:spacing w:after="0"/>
              <w:rPr>
                <w:sz w:val="1"/>
                <w:szCs w:val="1"/>
                <w:color w:val="auto"/>
              </w:rPr>
            </w:pPr>
          </w:p>
        </w:tc>
      </w:tr>
      <w:tr>
        <w:trPr>
          <w:trHeight w:val="270"/>
        </w:trPr>
        <w:tc>
          <w:tcPr>
            <w:tcW w:w="8300" w:type="dxa"/>
            <w:vAlign w:val="bottom"/>
          </w:tcPr>
          <w:p>
            <w:pPr>
              <w:ind w:left="240"/>
              <w:spacing w:after="0"/>
              <w:rPr>
                <w:sz w:val="20"/>
                <w:szCs w:val="20"/>
                <w:color w:val="auto"/>
              </w:rPr>
            </w:pPr>
            <w:r>
              <w:rPr>
                <w:rFonts w:ascii="Arial" w:cs="Arial" w:eastAsia="Arial" w:hAnsi="Arial"/>
                <w:sz w:val="16"/>
                <w:szCs w:val="16"/>
                <w:color w:val="auto"/>
              </w:rPr>
              <w:t>Proceeds from borrowings, net of issuance costs</w:t>
            </w:r>
          </w:p>
        </w:tc>
        <w:tc>
          <w:tcPr>
            <w:tcW w:w="360" w:type="dxa"/>
            <w:vAlign w:val="bottom"/>
          </w:tcPr>
          <w:p>
            <w:pPr>
              <w:spacing w:after="0"/>
              <w:rPr>
                <w:sz w:val="23"/>
                <w:szCs w:val="23"/>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1,066</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8300" w:type="dxa"/>
            <w:vAlign w:val="bottom"/>
          </w:tcPr>
          <w:p>
            <w:pPr>
              <w:ind w:left="240"/>
              <w:spacing w:after="0"/>
              <w:rPr>
                <w:sz w:val="20"/>
                <w:szCs w:val="20"/>
                <w:color w:val="auto"/>
              </w:rPr>
            </w:pPr>
            <w:r>
              <w:rPr>
                <w:rFonts w:ascii="Arial" w:cs="Arial" w:eastAsia="Arial" w:hAnsi="Arial"/>
                <w:sz w:val="16"/>
                <w:szCs w:val="16"/>
                <w:color w:val="auto"/>
              </w:rPr>
              <w:t>Payments on borrowings</w:t>
            </w:r>
          </w:p>
        </w:tc>
        <w:tc>
          <w:tcPr>
            <w:tcW w:w="3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(509)</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83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8300" w:type="dxa"/>
            <w:vAlign w:val="bottom"/>
          </w:tcPr>
          <w:p>
            <w:pPr>
              <w:ind w:left="780"/>
              <w:spacing w:after="0"/>
              <w:rPr>
                <w:sz w:val="20"/>
                <w:szCs w:val="20"/>
                <w:color w:val="auto"/>
              </w:rPr>
            </w:pPr>
            <w:r>
              <w:rPr>
                <w:rFonts w:ascii="Arial" w:cs="Arial" w:eastAsia="Arial" w:hAnsi="Arial"/>
                <w:sz w:val="16"/>
                <w:szCs w:val="16"/>
                <w:color w:val="auto"/>
              </w:rPr>
              <w:t>Net cash used in financing activities</w:t>
            </w: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(2,731)</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(311)</w:t>
            </w:r>
          </w:p>
        </w:tc>
        <w:tc>
          <w:tcPr>
            <w:tcW w:w="0" w:type="dxa"/>
            <w:vAlign w:val="bottom"/>
          </w:tcPr>
          <w:p>
            <w:pPr>
              <w:spacing w:after="0"/>
              <w:rPr>
                <w:sz w:val="1"/>
                <w:szCs w:val="1"/>
                <w:color w:val="auto"/>
              </w:rPr>
            </w:pPr>
          </w:p>
        </w:tc>
      </w:tr>
      <w:tr>
        <w:trPr>
          <w:trHeight w:val="270"/>
        </w:trPr>
        <w:tc>
          <w:tcPr>
            <w:tcW w:w="8300" w:type="dxa"/>
            <w:vAlign w:val="bottom"/>
          </w:tcPr>
          <w:p>
            <w:pPr>
              <w:spacing w:after="0"/>
              <w:rPr>
                <w:sz w:val="20"/>
                <w:szCs w:val="20"/>
                <w:color w:val="auto"/>
              </w:rPr>
            </w:pPr>
            <w:r>
              <w:rPr>
                <w:rFonts w:ascii="Arial" w:cs="Arial" w:eastAsia="Arial" w:hAnsi="Arial"/>
                <w:sz w:val="16"/>
                <w:szCs w:val="16"/>
                <w:color w:val="auto"/>
              </w:rPr>
              <w:t>Effect of exchange rate changes on cash and cash equivalents and restricted cash</w:t>
            </w:r>
          </w:p>
        </w:tc>
        <w:tc>
          <w:tcPr>
            <w:tcW w:w="3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(599)</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(238)</w:t>
            </w:r>
          </w:p>
        </w:tc>
        <w:tc>
          <w:tcPr>
            <w:tcW w:w="0" w:type="dxa"/>
            <w:vAlign w:val="bottom"/>
          </w:tcPr>
          <w:p>
            <w:pPr>
              <w:spacing w:after="0"/>
              <w:rPr>
                <w:sz w:val="1"/>
                <w:szCs w:val="1"/>
                <w:color w:val="auto"/>
              </w:rPr>
            </w:pPr>
          </w:p>
        </w:tc>
      </w:tr>
      <w:tr>
        <w:trPr>
          <w:trHeight w:val="33"/>
        </w:trPr>
        <w:tc>
          <w:tcPr>
            <w:tcW w:w="83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8300" w:type="dxa"/>
            <w:vAlign w:val="bottom"/>
          </w:tcPr>
          <w:p>
            <w:pPr>
              <w:spacing w:after="0"/>
              <w:rPr>
                <w:sz w:val="20"/>
                <w:szCs w:val="20"/>
                <w:color w:val="auto"/>
              </w:rPr>
            </w:pPr>
            <w:r>
              <w:rPr>
                <w:rFonts w:ascii="Arial" w:cs="Arial" w:eastAsia="Arial" w:hAnsi="Arial"/>
                <w:sz w:val="16"/>
                <w:szCs w:val="16"/>
                <w:color w:val="auto"/>
              </w:rPr>
              <w:t>Net increase (decrease) in cash, cash equivalents and restricted cash</w:t>
            </w:r>
          </w:p>
        </w:tc>
        <w:tc>
          <w:tcPr>
            <w:tcW w:w="360" w:type="dxa"/>
            <w:vAlign w:val="bottom"/>
          </w:tcPr>
          <w:p>
            <w:pPr>
              <w:spacing w:after="0"/>
              <w:rPr>
                <w:sz w:val="18"/>
                <w:szCs w:val="18"/>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62,208</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(4,379)</w:t>
            </w:r>
          </w:p>
        </w:tc>
        <w:tc>
          <w:tcPr>
            <w:tcW w:w="0" w:type="dxa"/>
            <w:vAlign w:val="bottom"/>
          </w:tcPr>
          <w:p>
            <w:pPr>
              <w:spacing w:after="0"/>
              <w:rPr>
                <w:sz w:val="1"/>
                <w:szCs w:val="1"/>
                <w:color w:val="auto"/>
              </w:rPr>
            </w:pPr>
          </w:p>
        </w:tc>
      </w:tr>
      <w:tr>
        <w:trPr>
          <w:trHeight w:val="270"/>
        </w:trPr>
        <w:tc>
          <w:tcPr>
            <w:tcW w:w="8300" w:type="dxa"/>
            <w:vAlign w:val="bottom"/>
          </w:tcPr>
          <w:p>
            <w:pPr>
              <w:spacing w:after="0"/>
              <w:rPr>
                <w:sz w:val="20"/>
                <w:szCs w:val="20"/>
                <w:color w:val="auto"/>
              </w:rPr>
            </w:pPr>
            <w:r>
              <w:rPr>
                <w:rFonts w:ascii="Arial" w:cs="Arial" w:eastAsia="Arial" w:hAnsi="Arial"/>
                <w:sz w:val="16"/>
                <w:szCs w:val="16"/>
                <w:color w:val="auto"/>
              </w:rPr>
              <w:t>Cash, cash equivalents and restricted cash at beginning of period</w:t>
            </w:r>
          </w:p>
        </w:tc>
        <w:tc>
          <w:tcPr>
            <w:tcW w:w="360" w:type="dxa"/>
            <w:vAlign w:val="bottom"/>
          </w:tcPr>
          <w:p>
            <w:pPr>
              <w:spacing w:after="0"/>
              <w:rPr>
                <w:sz w:val="23"/>
                <w:szCs w:val="23"/>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285,578</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163,868</w:t>
            </w:r>
          </w:p>
        </w:tc>
        <w:tc>
          <w:tcPr>
            <w:tcW w:w="0" w:type="dxa"/>
            <w:vAlign w:val="bottom"/>
          </w:tcPr>
          <w:p>
            <w:pPr>
              <w:spacing w:after="0"/>
              <w:rPr>
                <w:sz w:val="1"/>
                <w:szCs w:val="1"/>
                <w:color w:val="auto"/>
              </w:rPr>
            </w:pPr>
          </w:p>
        </w:tc>
      </w:tr>
      <w:tr>
        <w:trPr>
          <w:trHeight w:val="33"/>
        </w:trPr>
        <w:tc>
          <w:tcPr>
            <w:tcW w:w="83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00" w:type="dxa"/>
            <w:vAlign w:val="bottom"/>
          </w:tcPr>
          <w:p>
            <w:pPr>
              <w:spacing w:after="0"/>
              <w:rPr>
                <w:sz w:val="20"/>
                <w:szCs w:val="20"/>
                <w:color w:val="auto"/>
              </w:rPr>
            </w:pPr>
            <w:r>
              <w:rPr>
                <w:rFonts w:ascii="Arial" w:cs="Arial" w:eastAsia="Arial" w:hAnsi="Arial"/>
                <w:sz w:val="16"/>
                <w:szCs w:val="16"/>
                <w:color w:val="auto"/>
              </w:rPr>
              <w:t>Cash, cash equivalents and restricted cash at end of period</w:t>
            </w: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347,786</w:t>
            </w:r>
          </w:p>
        </w:tc>
        <w:tc>
          <w:tcPr>
            <w:tcW w:w="120" w:type="dxa"/>
            <w:vAlign w:val="bottom"/>
          </w:tcPr>
          <w:p>
            <w:pPr>
              <w:spacing w:after="0"/>
              <w:rPr>
                <w:sz w:val="21"/>
                <w:szCs w:val="21"/>
                <w:color w:val="auto"/>
              </w:rPr>
            </w:pPr>
          </w:p>
        </w:tc>
        <w:tc>
          <w:tcPr>
            <w:tcW w:w="4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159,489</w:t>
            </w:r>
          </w:p>
        </w:tc>
        <w:tc>
          <w:tcPr>
            <w:tcW w:w="0" w:type="dxa"/>
            <w:vAlign w:val="bottom"/>
          </w:tcPr>
          <w:p>
            <w:pPr>
              <w:spacing w:after="0"/>
              <w:rPr>
                <w:sz w:val="1"/>
                <w:szCs w:val="1"/>
                <w:color w:val="auto"/>
              </w:rPr>
            </w:pPr>
          </w:p>
        </w:tc>
      </w:tr>
      <w:tr>
        <w:trPr>
          <w:trHeight w:val="20"/>
        </w:trPr>
        <w:tc>
          <w:tcPr>
            <w:tcW w:w="8300" w:type="dxa"/>
            <w:vAlign w:val="bottom"/>
            <w:vMerge w:val="restart"/>
          </w:tcPr>
          <w:p>
            <w:pPr>
              <w:spacing w:after="0"/>
              <w:rPr>
                <w:sz w:val="20"/>
                <w:szCs w:val="20"/>
                <w:color w:val="auto"/>
              </w:rPr>
            </w:pPr>
            <w:r>
              <w:rPr>
                <w:rFonts w:ascii="Arial" w:cs="Arial" w:eastAsia="Arial" w:hAnsi="Arial"/>
                <w:sz w:val="16"/>
                <w:szCs w:val="16"/>
                <w:color w:val="auto"/>
              </w:rPr>
              <w:t>Non-cash investing and financing activities:</w:t>
            </w: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830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8300" w:type="dxa"/>
            <w:vAlign w:val="bottom"/>
          </w:tcPr>
          <w:p>
            <w:pPr>
              <w:ind w:left="240"/>
              <w:spacing w:after="0"/>
              <w:rPr>
                <w:sz w:val="20"/>
                <w:szCs w:val="20"/>
                <w:color w:val="auto"/>
              </w:rPr>
            </w:pPr>
            <w:r>
              <w:rPr>
                <w:rFonts w:ascii="Arial" w:cs="Arial" w:eastAsia="Arial" w:hAnsi="Arial"/>
                <w:sz w:val="16"/>
                <w:szCs w:val="16"/>
                <w:color w:val="auto"/>
              </w:rPr>
              <w:t>Pawn loans forfeited and transferred to inventory</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151,211</w:t>
            </w:r>
          </w:p>
        </w:tc>
        <w:tc>
          <w:tcPr>
            <w:tcW w:w="120" w:type="dxa"/>
            <w:vAlign w:val="bottom"/>
          </w:tcPr>
          <w:p>
            <w:pPr>
              <w:spacing w:after="0"/>
              <w:rPr>
                <w:sz w:val="23"/>
                <w:szCs w:val="23"/>
                <w:color w:val="auto"/>
              </w:rPr>
            </w:pP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134,952</w:t>
            </w:r>
          </w:p>
        </w:tc>
        <w:tc>
          <w:tcPr>
            <w:tcW w:w="0" w:type="dxa"/>
            <w:vAlign w:val="bottom"/>
          </w:tcPr>
          <w:p>
            <w:pPr>
              <w:spacing w:after="0"/>
              <w:rPr>
                <w:sz w:val="1"/>
                <w:szCs w:val="1"/>
                <w:color w:val="auto"/>
              </w:rPr>
            </w:pPr>
          </w:p>
        </w:tc>
      </w:tr>
    </w:tbl>
    <w:p>
      <w:pPr>
        <w:sectPr>
          <w:pgSz w:w="11900" w:h="16838" w:orient="portrait"/>
          <w:cols w:equalWidth="0" w:num="1">
            <w:col w:w="11380"/>
          </w:cols>
          <w:pgMar w:left="280" w:top="936" w:right="239" w:bottom="1440" w:gutter="0" w:footer="0" w:header="0"/>
        </w:sectPr>
      </w:pPr>
    </w:p>
    <w:bookmarkStart w:id="10" w:name="page11"/>
    <w:bookmarkEnd w:id="10"/>
    <w:p>
      <w:pPr>
        <w:jc w:val="center"/>
        <w:ind w:right="40"/>
        <w:spacing w:after="0"/>
        <w:rPr>
          <w:sz w:val="20"/>
          <w:szCs w:val="20"/>
          <w:color w:val="auto"/>
        </w:rPr>
      </w:pPr>
      <w:r>
        <w:rPr>
          <w:rFonts w:ascii="Arial" w:cs="Arial" w:eastAsia="Arial" w:hAnsi="Arial"/>
          <w:sz w:val="16"/>
          <w:szCs w:val="16"/>
          <w:b w:val="1"/>
          <w:bCs w:val="1"/>
          <w:color w:val="auto"/>
        </w:rPr>
        <w:t>EZCORP, Inc.</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OPERATING SEGMENT RESULTS</w:t>
      </w:r>
    </w:p>
    <w:p>
      <w:pPr>
        <w:spacing w:after="0" w:line="8" w:lineRule="exact"/>
        <w:rPr>
          <w:sz w:val="20"/>
          <w:szCs w:val="20"/>
          <w:color w:val="auto"/>
        </w:rPr>
      </w:pPr>
    </w:p>
    <w:p>
      <w:pPr>
        <w:jc w:val="center"/>
        <w:ind w:right="40"/>
        <w:spacing w:after="0"/>
        <w:rPr>
          <w:sz w:val="20"/>
          <w:szCs w:val="20"/>
          <w:color w:val="auto"/>
        </w:rPr>
      </w:pPr>
      <w:r>
        <w:rPr>
          <w:rFonts w:ascii="Arial" w:cs="Arial" w:eastAsia="Arial" w:hAnsi="Arial"/>
          <w:sz w:val="16"/>
          <w:szCs w:val="16"/>
          <w:i w:val="1"/>
          <w:iCs w:val="1"/>
          <w:color w:val="auto"/>
        </w:rPr>
        <w:t>(Unaudited and in thousands)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5"/>
          </w:tcPr>
          <w:p>
            <w:pPr>
              <w:ind w:left="60"/>
              <w:spacing w:after="0"/>
              <w:rPr>
                <w:sz w:val="20"/>
                <w:szCs w:val="20"/>
                <w:color w:val="auto"/>
              </w:rPr>
            </w:pPr>
            <w:r>
              <w:rPr>
                <w:rFonts w:ascii="Arial" w:cs="Arial" w:eastAsia="Arial" w:hAnsi="Arial"/>
                <w:sz w:val="14"/>
                <w:szCs w:val="14"/>
                <w:b w:val="1"/>
                <w:bCs w:val="1"/>
                <w:color w:val="auto"/>
              </w:rPr>
              <w:t>Three Months Ended March 31, 2019</w:t>
            </w: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rPr>
              <w:t>Latin</w:t>
            </w:r>
          </w:p>
        </w:tc>
        <w:tc>
          <w:tcPr>
            <w:tcW w:w="200" w:type="dxa"/>
            <w:vAlign w:val="bottom"/>
          </w:tcPr>
          <w:p>
            <w:pPr>
              <w:spacing w:after="0"/>
              <w:rPr>
                <w:sz w:val="13"/>
                <w:szCs w:val="13"/>
                <w:color w:val="auto"/>
              </w:rPr>
            </w:pPr>
          </w:p>
        </w:tc>
        <w:tc>
          <w:tcPr>
            <w:tcW w:w="128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Other</w:t>
            </w: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5"/>
              </w:rPr>
              <w:t>Corporate</w:t>
            </w: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U.S. Pawn</w:t>
            </w:r>
          </w:p>
        </w:tc>
        <w:tc>
          <w:tcPr>
            <w:tcW w:w="140" w:type="dxa"/>
            <w:vAlign w:val="bottom"/>
          </w:tcPr>
          <w:p>
            <w:pPr>
              <w:spacing w:after="0"/>
              <w:rPr>
                <w:sz w:val="12"/>
                <w:szCs w:val="12"/>
                <w:color w:val="auto"/>
              </w:rPr>
            </w:pPr>
          </w:p>
        </w:tc>
        <w:tc>
          <w:tcPr>
            <w:tcW w:w="8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America</w:t>
            </w:r>
          </w:p>
        </w:tc>
        <w:tc>
          <w:tcPr>
            <w:tcW w:w="20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24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Total Segments</w:t>
            </w:r>
          </w:p>
        </w:tc>
        <w:tc>
          <w:tcPr>
            <w:tcW w:w="14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vMerge w:val="restart"/>
          </w:tcPr>
          <w:p>
            <w:pPr>
              <w:jc w:val="right"/>
              <w:ind w:right="91"/>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92"/>
        </w:trPr>
        <w:tc>
          <w:tcPr>
            <w:tcW w:w="4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Pawn</w:t>
            </w:r>
          </w:p>
        </w:tc>
        <w:tc>
          <w:tcPr>
            <w:tcW w:w="200" w:type="dxa"/>
            <w:vAlign w:val="bottom"/>
          </w:tcPr>
          <w:p>
            <w:pPr>
              <w:spacing w:after="0"/>
              <w:rPr>
                <w:sz w:val="16"/>
                <w:szCs w:val="16"/>
                <w:color w:val="auto"/>
              </w:rPr>
            </w:pPr>
          </w:p>
        </w:tc>
        <w:tc>
          <w:tcPr>
            <w:tcW w:w="1280" w:type="dxa"/>
            <w:vAlign w:val="bottom"/>
            <w:gridSpan w:val="2"/>
          </w:tcPr>
          <w:p>
            <w:pPr>
              <w:ind w:left="80"/>
              <w:spacing w:after="0"/>
              <w:rPr>
                <w:sz w:val="20"/>
                <w:szCs w:val="20"/>
                <w:color w:val="auto"/>
              </w:rPr>
            </w:pPr>
            <w:r>
              <w:rPr>
                <w:rFonts w:ascii="Arial" w:cs="Arial" w:eastAsia="Arial" w:hAnsi="Arial"/>
                <w:sz w:val="14"/>
                <w:szCs w:val="14"/>
                <w:b w:val="1"/>
                <w:bCs w:val="1"/>
                <w:color w:val="auto"/>
              </w:rPr>
              <w:t>International</w:t>
            </w:r>
          </w:p>
        </w:tc>
        <w:tc>
          <w:tcPr>
            <w:tcW w:w="124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Items</w:t>
            </w:r>
          </w:p>
        </w:tc>
        <w:tc>
          <w:tcPr>
            <w:tcW w:w="14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65"/>
        </w:trPr>
        <w:tc>
          <w:tcPr>
            <w:tcW w:w="4180" w:type="dxa"/>
            <w:vAlign w:val="bottom"/>
          </w:tcPr>
          <w:p>
            <w:pPr>
              <w:spacing w:after="0"/>
              <w:rPr>
                <w:sz w:val="20"/>
                <w:szCs w:val="20"/>
                <w:color w:val="auto"/>
              </w:rPr>
            </w:pPr>
            <w:r>
              <w:rPr>
                <w:rFonts w:ascii="Arial" w:cs="Arial" w:eastAsia="Arial" w:hAnsi="Arial"/>
                <w:sz w:val="18"/>
                <w:szCs w:val="18"/>
                <w:color w:val="auto"/>
              </w:rPr>
              <w:t>Revenues:</w:t>
            </w:r>
          </w:p>
        </w:tc>
        <w:tc>
          <w:tcPr>
            <w:tcW w:w="18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180" w:type="dxa"/>
            <w:vAlign w:val="bottom"/>
          </w:tcPr>
          <w:p>
            <w:pPr>
              <w:ind w:left="240"/>
              <w:spacing w:after="0"/>
              <w:rPr>
                <w:sz w:val="20"/>
                <w:szCs w:val="20"/>
                <w:color w:val="auto"/>
              </w:rPr>
            </w:pPr>
            <w:r>
              <w:rPr>
                <w:rFonts w:ascii="Arial" w:cs="Arial" w:eastAsia="Arial" w:hAnsi="Arial"/>
                <w:sz w:val="18"/>
                <w:szCs w:val="18"/>
                <w:color w:val="auto"/>
              </w:rPr>
              <w:t>Merchandise sales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96,632</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24,628</w:t>
            </w:r>
          </w:p>
        </w:tc>
        <w:tc>
          <w:tcPr>
            <w:tcW w:w="10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4"/>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121,260</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121,260</w:t>
            </w:r>
          </w:p>
        </w:tc>
        <w:tc>
          <w:tcPr>
            <w:tcW w:w="0" w:type="dxa"/>
            <w:vAlign w:val="bottom"/>
          </w:tcPr>
          <w:p>
            <w:pPr>
              <w:spacing w:after="0"/>
              <w:rPr>
                <w:sz w:val="1"/>
                <w:szCs w:val="1"/>
                <w:color w:val="auto"/>
              </w:rPr>
            </w:pPr>
          </w:p>
        </w:tc>
      </w:tr>
      <w:tr>
        <w:trPr>
          <w:trHeight w:val="270"/>
        </w:trPr>
        <w:tc>
          <w:tcPr>
            <w:tcW w:w="4180" w:type="dxa"/>
            <w:vAlign w:val="bottom"/>
          </w:tcPr>
          <w:p>
            <w:pPr>
              <w:ind w:left="240"/>
              <w:spacing w:after="0"/>
              <w:rPr>
                <w:sz w:val="20"/>
                <w:szCs w:val="20"/>
                <w:color w:val="auto"/>
              </w:rPr>
            </w:pPr>
            <w:r>
              <w:rPr>
                <w:rFonts w:ascii="Arial" w:cs="Arial" w:eastAsia="Arial" w:hAnsi="Arial"/>
                <w:sz w:val="18"/>
                <w:szCs w:val="18"/>
                <w:color w:val="auto"/>
              </w:rPr>
              <w:t>Jewelry scrapping sales</w:t>
            </w:r>
          </w:p>
        </w:tc>
        <w:tc>
          <w:tcPr>
            <w:tcW w:w="180" w:type="dxa"/>
            <w:vAlign w:val="bottom"/>
          </w:tcPr>
          <w:p>
            <w:pPr>
              <w:spacing w:after="0"/>
              <w:rPr>
                <w:sz w:val="23"/>
                <w:szCs w:val="23"/>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7,916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2,464</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10,380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10,380</w:t>
            </w:r>
          </w:p>
        </w:tc>
        <w:tc>
          <w:tcPr>
            <w:tcW w:w="0" w:type="dxa"/>
            <w:vAlign w:val="bottom"/>
          </w:tcPr>
          <w:p>
            <w:pPr>
              <w:spacing w:after="0"/>
              <w:rPr>
                <w:sz w:val="1"/>
                <w:szCs w:val="1"/>
                <w:color w:val="auto"/>
              </w:rPr>
            </w:pPr>
          </w:p>
        </w:tc>
      </w:tr>
      <w:tr>
        <w:trPr>
          <w:trHeight w:val="270"/>
        </w:trPr>
        <w:tc>
          <w:tcPr>
            <w:tcW w:w="4180" w:type="dxa"/>
            <w:vAlign w:val="bottom"/>
          </w:tcPr>
          <w:p>
            <w:pPr>
              <w:ind w:left="240"/>
              <w:spacing w:after="0"/>
              <w:rPr>
                <w:sz w:val="20"/>
                <w:szCs w:val="20"/>
                <w:color w:val="auto"/>
              </w:rPr>
            </w:pPr>
            <w:r>
              <w:rPr>
                <w:rFonts w:ascii="Arial" w:cs="Arial" w:eastAsia="Arial" w:hAnsi="Arial"/>
                <w:sz w:val="18"/>
                <w:szCs w:val="18"/>
                <w:color w:val="auto"/>
              </w:rPr>
              <w:t>Pawn service charges</w:t>
            </w:r>
          </w:p>
        </w:tc>
        <w:tc>
          <w:tcPr>
            <w:tcW w:w="180" w:type="dxa"/>
            <w:vAlign w:val="bottom"/>
          </w:tcPr>
          <w:p>
            <w:pPr>
              <w:spacing w:after="0"/>
              <w:rPr>
                <w:sz w:val="23"/>
                <w:szCs w:val="23"/>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61,798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20,001</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81,799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81,799</w:t>
            </w:r>
          </w:p>
        </w:tc>
        <w:tc>
          <w:tcPr>
            <w:tcW w:w="0" w:type="dxa"/>
            <w:vAlign w:val="bottom"/>
          </w:tcPr>
          <w:p>
            <w:pPr>
              <w:spacing w:after="0"/>
              <w:rPr>
                <w:sz w:val="1"/>
                <w:szCs w:val="1"/>
                <w:color w:val="auto"/>
              </w:rPr>
            </w:pPr>
          </w:p>
        </w:tc>
      </w:tr>
      <w:tr>
        <w:trPr>
          <w:trHeight w:val="270"/>
        </w:trPr>
        <w:tc>
          <w:tcPr>
            <w:tcW w:w="4180" w:type="dxa"/>
            <w:vAlign w:val="bottom"/>
          </w:tcPr>
          <w:p>
            <w:pPr>
              <w:ind w:left="240"/>
              <w:spacing w:after="0"/>
              <w:rPr>
                <w:sz w:val="20"/>
                <w:szCs w:val="20"/>
                <w:color w:val="auto"/>
              </w:rPr>
            </w:pPr>
            <w:r>
              <w:rPr>
                <w:rFonts w:ascii="Arial" w:cs="Arial" w:eastAsia="Arial" w:hAnsi="Arial"/>
                <w:sz w:val="18"/>
                <w:szCs w:val="18"/>
                <w:color w:val="auto"/>
              </w:rPr>
              <w:t>Other revenues</w:t>
            </w:r>
          </w:p>
        </w:tc>
        <w:tc>
          <w:tcPr>
            <w:tcW w:w="180" w:type="dxa"/>
            <w:vAlign w:val="bottom"/>
          </w:tcPr>
          <w:p>
            <w:pPr>
              <w:spacing w:after="0"/>
              <w:rPr>
                <w:sz w:val="23"/>
                <w:szCs w:val="23"/>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1,223</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1,291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1,291</w:t>
            </w:r>
          </w:p>
        </w:tc>
        <w:tc>
          <w:tcPr>
            <w:tcW w:w="0" w:type="dxa"/>
            <w:vAlign w:val="bottom"/>
          </w:tcPr>
          <w:p>
            <w:pPr>
              <w:spacing w:after="0"/>
              <w:rPr>
                <w:sz w:val="1"/>
                <w:szCs w:val="1"/>
                <w:color w:val="auto"/>
              </w:rPr>
            </w:pPr>
          </w:p>
        </w:tc>
      </w:tr>
      <w:tr>
        <w:trPr>
          <w:trHeight w:val="27"/>
        </w:trPr>
        <w:tc>
          <w:tcPr>
            <w:tcW w:w="41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180" w:type="dxa"/>
            <w:vAlign w:val="bottom"/>
          </w:tcPr>
          <w:p>
            <w:pPr>
              <w:ind w:left="460"/>
              <w:spacing w:after="0"/>
              <w:rPr>
                <w:sz w:val="20"/>
                <w:szCs w:val="20"/>
                <w:color w:val="auto"/>
              </w:rPr>
            </w:pPr>
            <w:r>
              <w:rPr>
                <w:rFonts w:ascii="Arial" w:cs="Arial" w:eastAsia="Arial" w:hAnsi="Arial"/>
                <w:sz w:val="18"/>
                <w:szCs w:val="18"/>
                <w:color w:val="auto"/>
              </w:rPr>
              <w:t>Total revenues</w:t>
            </w:r>
          </w:p>
        </w:tc>
        <w:tc>
          <w:tcPr>
            <w:tcW w:w="180" w:type="dxa"/>
            <w:vAlign w:val="bottom"/>
          </w:tcPr>
          <w:p>
            <w:pPr>
              <w:spacing w:after="0"/>
              <w:rPr>
                <w:sz w:val="20"/>
                <w:szCs w:val="20"/>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166,389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47,118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1,223</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214,730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214,730</w:t>
            </w:r>
          </w:p>
        </w:tc>
        <w:tc>
          <w:tcPr>
            <w:tcW w:w="0" w:type="dxa"/>
            <w:vAlign w:val="bottom"/>
          </w:tcPr>
          <w:p>
            <w:pPr>
              <w:spacing w:after="0"/>
              <w:rPr>
                <w:sz w:val="1"/>
                <w:szCs w:val="1"/>
                <w:color w:val="auto"/>
              </w:rPr>
            </w:pPr>
          </w:p>
        </w:tc>
      </w:tr>
      <w:tr>
        <w:trPr>
          <w:trHeight w:val="270"/>
        </w:trPr>
        <w:tc>
          <w:tcPr>
            <w:tcW w:w="4180" w:type="dxa"/>
            <w:vAlign w:val="bottom"/>
          </w:tcPr>
          <w:p>
            <w:pPr>
              <w:spacing w:after="0"/>
              <w:rPr>
                <w:sz w:val="20"/>
                <w:szCs w:val="20"/>
                <w:color w:val="auto"/>
              </w:rPr>
            </w:pPr>
            <w:r>
              <w:rPr>
                <w:rFonts w:ascii="Arial" w:cs="Arial" w:eastAsia="Arial" w:hAnsi="Arial"/>
                <w:sz w:val="18"/>
                <w:szCs w:val="18"/>
                <w:color w:val="auto"/>
              </w:rPr>
              <w:t>Merchandise cost of goods sold</w:t>
            </w:r>
          </w:p>
        </w:tc>
        <w:tc>
          <w:tcPr>
            <w:tcW w:w="180" w:type="dxa"/>
            <w:vAlign w:val="bottom"/>
          </w:tcPr>
          <w:p>
            <w:pPr>
              <w:spacing w:after="0"/>
              <w:rPr>
                <w:sz w:val="23"/>
                <w:szCs w:val="23"/>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60,928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16,872</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77,800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77,800</w:t>
            </w:r>
          </w:p>
        </w:tc>
        <w:tc>
          <w:tcPr>
            <w:tcW w:w="0" w:type="dxa"/>
            <w:vAlign w:val="bottom"/>
          </w:tcPr>
          <w:p>
            <w:pPr>
              <w:spacing w:after="0"/>
              <w:rPr>
                <w:sz w:val="1"/>
                <w:szCs w:val="1"/>
                <w:color w:val="auto"/>
              </w:rPr>
            </w:pPr>
          </w:p>
        </w:tc>
      </w:tr>
      <w:tr>
        <w:trPr>
          <w:trHeight w:val="270"/>
        </w:trPr>
        <w:tc>
          <w:tcPr>
            <w:tcW w:w="4180" w:type="dxa"/>
            <w:vAlign w:val="bottom"/>
          </w:tcPr>
          <w:p>
            <w:pPr>
              <w:spacing w:after="0"/>
              <w:rPr>
                <w:sz w:val="20"/>
                <w:szCs w:val="20"/>
                <w:color w:val="auto"/>
              </w:rPr>
            </w:pPr>
            <w:r>
              <w:rPr>
                <w:rFonts w:ascii="Arial" w:cs="Arial" w:eastAsia="Arial" w:hAnsi="Arial"/>
                <w:sz w:val="18"/>
                <w:szCs w:val="18"/>
                <w:color w:val="auto"/>
              </w:rPr>
              <w:t>Jewelry scrapping cost of goods sold</w:t>
            </w:r>
          </w:p>
        </w:tc>
        <w:tc>
          <w:tcPr>
            <w:tcW w:w="180" w:type="dxa"/>
            <w:vAlign w:val="bottom"/>
          </w:tcPr>
          <w:p>
            <w:pPr>
              <w:spacing w:after="0"/>
              <w:rPr>
                <w:sz w:val="23"/>
                <w:szCs w:val="23"/>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6,571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2,262</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8,833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8,833</w:t>
            </w:r>
          </w:p>
        </w:tc>
        <w:tc>
          <w:tcPr>
            <w:tcW w:w="0" w:type="dxa"/>
            <w:vAlign w:val="bottom"/>
          </w:tcPr>
          <w:p>
            <w:pPr>
              <w:spacing w:after="0"/>
              <w:rPr>
                <w:sz w:val="1"/>
                <w:szCs w:val="1"/>
                <w:color w:val="auto"/>
              </w:rPr>
            </w:pPr>
          </w:p>
        </w:tc>
      </w:tr>
      <w:tr>
        <w:trPr>
          <w:trHeight w:val="270"/>
        </w:trPr>
        <w:tc>
          <w:tcPr>
            <w:tcW w:w="4180" w:type="dxa"/>
            <w:vAlign w:val="bottom"/>
          </w:tcPr>
          <w:p>
            <w:pPr>
              <w:spacing w:after="0"/>
              <w:rPr>
                <w:sz w:val="20"/>
                <w:szCs w:val="20"/>
                <w:color w:val="auto"/>
              </w:rPr>
            </w:pPr>
            <w:r>
              <w:rPr>
                <w:rFonts w:ascii="Arial" w:cs="Arial" w:eastAsia="Arial" w:hAnsi="Arial"/>
                <w:sz w:val="18"/>
                <w:szCs w:val="18"/>
                <w:color w:val="auto"/>
              </w:rPr>
              <w:t>Other cost of revenues</w:t>
            </w:r>
          </w:p>
        </w:tc>
        <w:tc>
          <w:tcPr>
            <w:tcW w:w="180" w:type="dxa"/>
            <w:vAlign w:val="bottom"/>
          </w:tcPr>
          <w:p>
            <w:pPr>
              <w:spacing w:after="0"/>
              <w:rPr>
                <w:sz w:val="23"/>
                <w:szCs w:val="23"/>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407</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407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407</w:t>
            </w:r>
          </w:p>
        </w:tc>
        <w:tc>
          <w:tcPr>
            <w:tcW w:w="0" w:type="dxa"/>
            <w:vAlign w:val="bottom"/>
          </w:tcPr>
          <w:p>
            <w:pPr>
              <w:spacing w:after="0"/>
              <w:rPr>
                <w:sz w:val="1"/>
                <w:szCs w:val="1"/>
                <w:color w:val="auto"/>
              </w:rPr>
            </w:pPr>
          </w:p>
        </w:tc>
      </w:tr>
      <w:tr>
        <w:trPr>
          <w:trHeight w:val="27"/>
        </w:trPr>
        <w:tc>
          <w:tcPr>
            <w:tcW w:w="41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180" w:type="dxa"/>
            <w:vAlign w:val="bottom"/>
          </w:tcPr>
          <w:p>
            <w:pPr>
              <w:ind w:left="460"/>
              <w:spacing w:after="0"/>
              <w:rPr>
                <w:sz w:val="20"/>
                <w:szCs w:val="20"/>
                <w:color w:val="auto"/>
              </w:rPr>
            </w:pPr>
            <w:r>
              <w:rPr>
                <w:rFonts w:ascii="Arial" w:cs="Arial" w:eastAsia="Arial" w:hAnsi="Arial"/>
                <w:sz w:val="18"/>
                <w:szCs w:val="18"/>
                <w:color w:val="auto"/>
              </w:rPr>
              <w:t>Net revenues</w:t>
            </w:r>
          </w:p>
        </w:tc>
        <w:tc>
          <w:tcPr>
            <w:tcW w:w="180" w:type="dxa"/>
            <w:vAlign w:val="bottom"/>
          </w:tcPr>
          <w:p>
            <w:pPr>
              <w:spacing w:after="0"/>
              <w:rPr>
                <w:sz w:val="20"/>
                <w:szCs w:val="20"/>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98,890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27,984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816</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127,690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127,690</w:t>
            </w:r>
          </w:p>
        </w:tc>
        <w:tc>
          <w:tcPr>
            <w:tcW w:w="0" w:type="dxa"/>
            <w:vAlign w:val="bottom"/>
          </w:tcPr>
          <w:p>
            <w:pPr>
              <w:spacing w:after="0"/>
              <w:rPr>
                <w:sz w:val="1"/>
                <w:szCs w:val="1"/>
                <w:color w:val="auto"/>
              </w:rPr>
            </w:pPr>
          </w:p>
        </w:tc>
      </w:tr>
      <w:tr>
        <w:trPr>
          <w:trHeight w:val="270"/>
        </w:trPr>
        <w:tc>
          <w:tcPr>
            <w:tcW w:w="4180" w:type="dxa"/>
            <w:vAlign w:val="bottom"/>
          </w:tcPr>
          <w:p>
            <w:pPr>
              <w:spacing w:after="0"/>
              <w:rPr>
                <w:sz w:val="20"/>
                <w:szCs w:val="20"/>
                <w:color w:val="auto"/>
              </w:rPr>
            </w:pPr>
            <w:r>
              <w:rPr>
                <w:rFonts w:ascii="Arial" w:cs="Arial" w:eastAsia="Arial" w:hAnsi="Arial"/>
                <w:sz w:val="18"/>
                <w:szCs w:val="18"/>
                <w:color w:val="auto"/>
              </w:rPr>
              <w:t>Segment and corporate expenses (income):</w:t>
            </w:r>
          </w:p>
        </w:tc>
        <w:tc>
          <w:tcPr>
            <w:tcW w:w="1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180" w:type="dxa"/>
            <w:vAlign w:val="bottom"/>
          </w:tcPr>
          <w:p>
            <w:pPr>
              <w:ind w:left="240"/>
              <w:spacing w:after="0"/>
              <w:rPr>
                <w:sz w:val="20"/>
                <w:szCs w:val="20"/>
                <w:color w:val="auto"/>
              </w:rPr>
            </w:pPr>
            <w:r>
              <w:rPr>
                <w:rFonts w:ascii="Arial" w:cs="Arial" w:eastAsia="Arial" w:hAnsi="Arial"/>
                <w:sz w:val="18"/>
                <w:szCs w:val="18"/>
                <w:color w:val="auto"/>
              </w:rPr>
              <w:t>Operations</w:t>
            </w:r>
          </w:p>
        </w:tc>
        <w:tc>
          <w:tcPr>
            <w:tcW w:w="180" w:type="dxa"/>
            <w:vAlign w:val="bottom"/>
          </w:tcPr>
          <w:p>
            <w:pPr>
              <w:spacing w:after="0"/>
              <w:rPr>
                <w:sz w:val="23"/>
                <w:szCs w:val="23"/>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67,475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18,223</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2,545</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88,243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88,243</w:t>
            </w:r>
          </w:p>
        </w:tc>
        <w:tc>
          <w:tcPr>
            <w:tcW w:w="0" w:type="dxa"/>
            <w:vAlign w:val="bottom"/>
          </w:tcPr>
          <w:p>
            <w:pPr>
              <w:spacing w:after="0"/>
              <w:rPr>
                <w:sz w:val="1"/>
                <w:szCs w:val="1"/>
                <w:color w:val="auto"/>
              </w:rPr>
            </w:pPr>
          </w:p>
        </w:tc>
      </w:tr>
      <w:tr>
        <w:trPr>
          <w:trHeight w:val="270"/>
        </w:trPr>
        <w:tc>
          <w:tcPr>
            <w:tcW w:w="4180" w:type="dxa"/>
            <w:vAlign w:val="bottom"/>
          </w:tcPr>
          <w:p>
            <w:pPr>
              <w:ind w:left="240"/>
              <w:spacing w:after="0"/>
              <w:rPr>
                <w:sz w:val="20"/>
                <w:szCs w:val="20"/>
                <w:color w:val="auto"/>
              </w:rPr>
            </w:pPr>
            <w:r>
              <w:rPr>
                <w:rFonts w:ascii="Arial" w:cs="Arial" w:eastAsia="Arial" w:hAnsi="Arial"/>
                <w:sz w:val="18"/>
                <w:szCs w:val="18"/>
                <w:color w:val="auto"/>
              </w:rPr>
              <w:t>Administrative</w:t>
            </w:r>
          </w:p>
        </w:tc>
        <w:tc>
          <w:tcPr>
            <w:tcW w:w="180" w:type="dxa"/>
            <w:vAlign w:val="bottom"/>
          </w:tcPr>
          <w:p>
            <w:pPr>
              <w:spacing w:after="0"/>
              <w:rPr>
                <w:sz w:val="23"/>
                <w:szCs w:val="23"/>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16,487</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16,487</w:t>
            </w:r>
          </w:p>
        </w:tc>
        <w:tc>
          <w:tcPr>
            <w:tcW w:w="0" w:type="dxa"/>
            <w:vAlign w:val="bottom"/>
          </w:tcPr>
          <w:p>
            <w:pPr>
              <w:spacing w:after="0"/>
              <w:rPr>
                <w:sz w:val="1"/>
                <w:szCs w:val="1"/>
                <w:color w:val="auto"/>
              </w:rPr>
            </w:pPr>
          </w:p>
        </w:tc>
      </w:tr>
      <w:tr>
        <w:trPr>
          <w:trHeight w:val="270"/>
        </w:trPr>
        <w:tc>
          <w:tcPr>
            <w:tcW w:w="4180" w:type="dxa"/>
            <w:vAlign w:val="bottom"/>
          </w:tcPr>
          <w:p>
            <w:pPr>
              <w:ind w:left="240"/>
              <w:spacing w:after="0"/>
              <w:rPr>
                <w:sz w:val="20"/>
                <w:szCs w:val="20"/>
                <w:color w:val="auto"/>
              </w:rPr>
            </w:pPr>
            <w:r>
              <w:rPr>
                <w:rFonts w:ascii="Arial" w:cs="Arial" w:eastAsia="Arial" w:hAnsi="Arial"/>
                <w:sz w:val="18"/>
                <w:szCs w:val="18"/>
                <w:color w:val="auto"/>
              </w:rPr>
              <w:t>Depreciation and amortization</w:t>
            </w:r>
          </w:p>
        </w:tc>
        <w:tc>
          <w:tcPr>
            <w:tcW w:w="180" w:type="dxa"/>
            <w:vAlign w:val="bottom"/>
          </w:tcPr>
          <w:p>
            <w:pPr>
              <w:spacing w:after="0"/>
              <w:rPr>
                <w:sz w:val="23"/>
                <w:szCs w:val="23"/>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2,982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1,495</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77</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4,554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2,458</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7,012</w:t>
            </w:r>
          </w:p>
        </w:tc>
        <w:tc>
          <w:tcPr>
            <w:tcW w:w="0" w:type="dxa"/>
            <w:vAlign w:val="bottom"/>
          </w:tcPr>
          <w:p>
            <w:pPr>
              <w:spacing w:after="0"/>
              <w:rPr>
                <w:sz w:val="1"/>
                <w:szCs w:val="1"/>
                <w:color w:val="auto"/>
              </w:rPr>
            </w:pPr>
          </w:p>
        </w:tc>
      </w:tr>
      <w:tr>
        <w:trPr>
          <w:trHeight w:val="270"/>
        </w:trPr>
        <w:tc>
          <w:tcPr>
            <w:tcW w:w="4180" w:type="dxa"/>
            <w:vAlign w:val="bottom"/>
          </w:tcPr>
          <w:p>
            <w:pPr>
              <w:ind w:left="240"/>
              <w:spacing w:after="0"/>
              <w:rPr>
                <w:sz w:val="20"/>
                <w:szCs w:val="20"/>
                <w:color w:val="auto"/>
              </w:rPr>
            </w:pPr>
            <w:r>
              <w:rPr>
                <w:rFonts w:ascii="Arial" w:cs="Arial" w:eastAsia="Arial" w:hAnsi="Arial"/>
                <w:sz w:val="18"/>
                <w:szCs w:val="18"/>
                <w:color w:val="auto"/>
                <w:w w:val="97"/>
              </w:rPr>
              <w:t>(Gain) loss on sale or disposal of assets and other</w:t>
            </w:r>
          </w:p>
        </w:tc>
        <w:tc>
          <w:tcPr>
            <w:tcW w:w="180" w:type="dxa"/>
            <w:vAlign w:val="bottom"/>
          </w:tcPr>
          <w:p>
            <w:pPr>
              <w:spacing w:after="0"/>
              <w:rPr>
                <w:sz w:val="23"/>
                <w:szCs w:val="23"/>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(839)</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(823)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(823)</w:t>
            </w:r>
          </w:p>
        </w:tc>
        <w:tc>
          <w:tcPr>
            <w:tcW w:w="0" w:type="dxa"/>
            <w:vAlign w:val="bottom"/>
          </w:tcPr>
          <w:p>
            <w:pPr>
              <w:spacing w:after="0"/>
              <w:rPr>
                <w:sz w:val="1"/>
                <w:szCs w:val="1"/>
                <w:color w:val="auto"/>
              </w:rPr>
            </w:pPr>
          </w:p>
        </w:tc>
      </w:tr>
      <w:tr>
        <w:trPr>
          <w:trHeight w:val="270"/>
        </w:trPr>
        <w:tc>
          <w:tcPr>
            <w:tcW w:w="4180" w:type="dxa"/>
            <w:vAlign w:val="bottom"/>
          </w:tcPr>
          <w:p>
            <w:pPr>
              <w:ind w:left="240"/>
              <w:spacing w:after="0"/>
              <w:rPr>
                <w:sz w:val="20"/>
                <w:szCs w:val="20"/>
                <w:color w:val="auto"/>
              </w:rPr>
            </w:pPr>
            <w:r>
              <w:rPr>
                <w:rFonts w:ascii="Arial" w:cs="Arial" w:eastAsia="Arial" w:hAnsi="Arial"/>
                <w:sz w:val="18"/>
                <w:szCs w:val="18"/>
                <w:color w:val="auto"/>
              </w:rPr>
              <w:t>Interest expense</w:t>
            </w:r>
          </w:p>
        </w:tc>
        <w:tc>
          <w:tcPr>
            <w:tcW w:w="180" w:type="dxa"/>
            <w:vAlign w:val="bottom"/>
          </w:tcPr>
          <w:p>
            <w:pPr>
              <w:spacing w:after="0"/>
              <w:rPr>
                <w:sz w:val="23"/>
                <w:szCs w:val="23"/>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132</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182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8,407</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8,589</w:t>
            </w:r>
          </w:p>
        </w:tc>
        <w:tc>
          <w:tcPr>
            <w:tcW w:w="0" w:type="dxa"/>
            <w:vAlign w:val="bottom"/>
          </w:tcPr>
          <w:p>
            <w:pPr>
              <w:spacing w:after="0"/>
              <w:rPr>
                <w:sz w:val="1"/>
                <w:szCs w:val="1"/>
                <w:color w:val="auto"/>
              </w:rPr>
            </w:pPr>
          </w:p>
        </w:tc>
      </w:tr>
      <w:tr>
        <w:trPr>
          <w:trHeight w:val="270"/>
        </w:trPr>
        <w:tc>
          <w:tcPr>
            <w:tcW w:w="4180" w:type="dxa"/>
            <w:vAlign w:val="bottom"/>
          </w:tcPr>
          <w:p>
            <w:pPr>
              <w:ind w:left="240"/>
              <w:spacing w:after="0"/>
              <w:rPr>
                <w:sz w:val="20"/>
                <w:szCs w:val="20"/>
                <w:color w:val="auto"/>
              </w:rPr>
            </w:pPr>
            <w:r>
              <w:rPr>
                <w:rFonts w:ascii="Arial" w:cs="Arial" w:eastAsia="Arial" w:hAnsi="Arial"/>
                <w:sz w:val="18"/>
                <w:szCs w:val="18"/>
                <w:color w:val="auto"/>
              </w:rPr>
              <w:t>Interest income</w:t>
            </w:r>
          </w:p>
        </w:tc>
        <w:tc>
          <w:tcPr>
            <w:tcW w:w="180" w:type="dxa"/>
            <w:vAlign w:val="bottom"/>
          </w:tcPr>
          <w:p>
            <w:pPr>
              <w:spacing w:after="0"/>
              <w:rPr>
                <w:sz w:val="23"/>
                <w:szCs w:val="23"/>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(431)</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(431)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(2,695)</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(3,126)</w:t>
            </w:r>
          </w:p>
        </w:tc>
        <w:tc>
          <w:tcPr>
            <w:tcW w:w="0" w:type="dxa"/>
            <w:vAlign w:val="bottom"/>
          </w:tcPr>
          <w:p>
            <w:pPr>
              <w:spacing w:after="0"/>
              <w:rPr>
                <w:sz w:val="1"/>
                <w:szCs w:val="1"/>
                <w:color w:val="auto"/>
              </w:rPr>
            </w:pPr>
          </w:p>
        </w:tc>
      </w:tr>
      <w:tr>
        <w:trPr>
          <w:trHeight w:val="270"/>
        </w:trPr>
        <w:tc>
          <w:tcPr>
            <w:tcW w:w="4180" w:type="dxa"/>
            <w:vAlign w:val="bottom"/>
          </w:tcPr>
          <w:p>
            <w:pPr>
              <w:ind w:left="240"/>
              <w:spacing w:after="0"/>
              <w:rPr>
                <w:sz w:val="20"/>
                <w:szCs w:val="20"/>
                <w:color w:val="auto"/>
              </w:rPr>
            </w:pPr>
            <w:r>
              <w:rPr>
                <w:rFonts w:ascii="Arial" w:cs="Arial" w:eastAsia="Arial" w:hAnsi="Arial"/>
                <w:sz w:val="18"/>
                <w:szCs w:val="18"/>
                <w:color w:val="auto"/>
              </w:rPr>
              <w:t>Equity in net income of unconsolidated affiliates</w:t>
            </w:r>
          </w:p>
        </w:tc>
        <w:tc>
          <w:tcPr>
            <w:tcW w:w="180" w:type="dxa"/>
            <w:vAlign w:val="bottom"/>
          </w:tcPr>
          <w:p>
            <w:pPr>
              <w:spacing w:after="0"/>
              <w:rPr>
                <w:sz w:val="23"/>
                <w:szCs w:val="23"/>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(431)</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(431)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(431)</w:t>
            </w:r>
          </w:p>
        </w:tc>
        <w:tc>
          <w:tcPr>
            <w:tcW w:w="0" w:type="dxa"/>
            <w:vAlign w:val="bottom"/>
          </w:tcPr>
          <w:p>
            <w:pPr>
              <w:spacing w:after="0"/>
              <w:rPr>
                <w:sz w:val="1"/>
                <w:szCs w:val="1"/>
                <w:color w:val="auto"/>
              </w:rPr>
            </w:pPr>
          </w:p>
        </w:tc>
      </w:tr>
      <w:tr>
        <w:trPr>
          <w:trHeight w:val="270"/>
        </w:trPr>
        <w:tc>
          <w:tcPr>
            <w:tcW w:w="4180" w:type="dxa"/>
            <w:vAlign w:val="bottom"/>
          </w:tcPr>
          <w:p>
            <w:pPr>
              <w:ind w:left="240"/>
              <w:spacing w:after="0"/>
              <w:rPr>
                <w:sz w:val="20"/>
                <w:szCs w:val="20"/>
                <w:color w:val="auto"/>
              </w:rPr>
            </w:pPr>
            <w:r>
              <w:rPr>
                <w:rFonts w:ascii="Arial" w:cs="Arial" w:eastAsia="Arial" w:hAnsi="Arial"/>
                <w:sz w:val="18"/>
                <w:szCs w:val="18"/>
                <w:color w:val="auto"/>
                <w:w w:val="93"/>
              </w:rPr>
              <w:t>Impairment of investment in unconsolidated affiliates</w:t>
            </w:r>
          </w:p>
        </w:tc>
        <w:tc>
          <w:tcPr>
            <w:tcW w:w="180" w:type="dxa"/>
            <w:vAlign w:val="bottom"/>
          </w:tcPr>
          <w:p>
            <w:pPr>
              <w:spacing w:after="0"/>
              <w:rPr>
                <w:sz w:val="23"/>
                <w:szCs w:val="23"/>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6,451</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6,451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6,451</w:t>
            </w:r>
          </w:p>
        </w:tc>
        <w:tc>
          <w:tcPr>
            <w:tcW w:w="0" w:type="dxa"/>
            <w:vAlign w:val="bottom"/>
          </w:tcPr>
          <w:p>
            <w:pPr>
              <w:spacing w:after="0"/>
              <w:rPr>
                <w:sz w:val="1"/>
                <w:szCs w:val="1"/>
                <w:color w:val="auto"/>
              </w:rPr>
            </w:pPr>
          </w:p>
        </w:tc>
      </w:tr>
      <w:tr>
        <w:trPr>
          <w:trHeight w:val="270"/>
        </w:trPr>
        <w:tc>
          <w:tcPr>
            <w:tcW w:w="4180" w:type="dxa"/>
            <w:vAlign w:val="bottom"/>
          </w:tcPr>
          <w:p>
            <w:pPr>
              <w:ind w:left="240"/>
              <w:spacing w:after="0"/>
              <w:rPr>
                <w:sz w:val="20"/>
                <w:szCs w:val="20"/>
                <w:color w:val="auto"/>
              </w:rPr>
            </w:pPr>
            <w:r>
              <w:rPr>
                <w:rFonts w:ascii="Arial" w:cs="Arial" w:eastAsia="Arial" w:hAnsi="Arial"/>
                <w:sz w:val="18"/>
                <w:szCs w:val="18"/>
                <w:color w:val="auto"/>
              </w:rPr>
              <w:t>Other expense (income)</w:t>
            </w:r>
          </w:p>
        </w:tc>
        <w:tc>
          <w:tcPr>
            <w:tcW w:w="180" w:type="dxa"/>
            <w:vAlign w:val="bottom"/>
          </w:tcPr>
          <w:p>
            <w:pPr>
              <w:spacing w:after="0"/>
              <w:rPr>
                <w:sz w:val="23"/>
                <w:szCs w:val="23"/>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262</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291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r>
        <w:trPr>
          <w:trHeight w:val="27"/>
        </w:trPr>
        <w:tc>
          <w:tcPr>
            <w:tcW w:w="41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180" w:type="dxa"/>
            <w:vAlign w:val="bottom"/>
          </w:tcPr>
          <w:p>
            <w:pPr>
              <w:spacing w:after="0"/>
              <w:rPr>
                <w:sz w:val="20"/>
                <w:szCs w:val="20"/>
                <w:color w:val="auto"/>
              </w:rPr>
            </w:pPr>
            <w:r>
              <w:rPr>
                <w:rFonts w:ascii="Arial" w:cs="Arial" w:eastAsia="Arial" w:hAnsi="Arial"/>
                <w:sz w:val="18"/>
                <w:szCs w:val="18"/>
                <w:color w:val="auto"/>
              </w:rPr>
              <w:t>Segment contribution (loss)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28,433</w:t>
            </w:r>
          </w:p>
        </w:tc>
        <w:tc>
          <w:tcPr>
            <w:tcW w:w="12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9,457</w:t>
            </w:r>
          </w:p>
        </w:tc>
        <w:tc>
          <w:tcPr>
            <w:tcW w:w="10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(8,236)</w:t>
            </w:r>
          </w:p>
        </w:tc>
        <w:tc>
          <w:tcPr>
            <w:tcW w:w="120" w:type="dxa"/>
            <w:vAlign w:val="bottom"/>
          </w:tcPr>
          <w:p>
            <w:pPr>
              <w:spacing w:after="0"/>
              <w:rPr>
                <w:sz w:val="22"/>
                <w:szCs w:val="22"/>
                <w:color w:val="auto"/>
              </w:rPr>
            </w:pPr>
          </w:p>
        </w:tc>
        <w:tc>
          <w:tcPr>
            <w:tcW w:w="28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29,654</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4180" w:type="dxa"/>
            <w:vAlign w:val="bottom"/>
          </w:tcPr>
          <w:p>
            <w:pPr>
              <w:spacing w:after="0"/>
              <w:rPr>
                <w:sz w:val="20"/>
                <w:szCs w:val="20"/>
                <w:color w:val="auto"/>
              </w:rPr>
            </w:pPr>
            <w:r>
              <w:rPr>
                <w:rFonts w:ascii="Arial" w:cs="Arial" w:eastAsia="Arial" w:hAnsi="Arial"/>
                <w:sz w:val="18"/>
                <w:szCs w:val="18"/>
                <w:color w:val="auto"/>
                <w:w w:val="93"/>
              </w:rPr>
              <w:t>Income from continuing operations before income taxes</w:t>
            </w:r>
          </w:p>
        </w:tc>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29,654</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(24,635)</w:t>
            </w: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5,019</w:t>
            </w: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40"/>
          </w:cols>
          <w:pgMar w:left="300" w:top="585" w:right="259" w:bottom="1440" w:gutter="0" w:footer="0" w:header="0"/>
        </w:sectPr>
      </w:pPr>
    </w:p>
    <w:bookmarkStart w:id="11" w:name="page12"/>
    <w:bookmarkEnd w:id="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5"/>
          </w:tcPr>
          <w:p>
            <w:pPr>
              <w:ind w:left="60"/>
              <w:spacing w:after="0"/>
              <w:rPr>
                <w:sz w:val="20"/>
                <w:szCs w:val="20"/>
                <w:color w:val="auto"/>
              </w:rPr>
            </w:pPr>
            <w:r>
              <w:rPr>
                <w:rFonts w:ascii="Arial" w:cs="Arial" w:eastAsia="Arial" w:hAnsi="Arial"/>
                <w:sz w:val="14"/>
                <w:szCs w:val="14"/>
                <w:b w:val="1"/>
                <w:bCs w:val="1"/>
                <w:color w:val="auto"/>
              </w:rPr>
              <w:t>Three Months Ended March 31, 2018</w:t>
            </w: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rPr>
              <w:t>Latin</w:t>
            </w:r>
          </w:p>
        </w:tc>
        <w:tc>
          <w:tcPr>
            <w:tcW w:w="200" w:type="dxa"/>
            <w:vAlign w:val="bottom"/>
          </w:tcPr>
          <w:p>
            <w:pPr>
              <w:spacing w:after="0"/>
              <w:rPr>
                <w:sz w:val="13"/>
                <w:szCs w:val="13"/>
                <w:color w:val="auto"/>
              </w:rPr>
            </w:pPr>
          </w:p>
        </w:tc>
        <w:tc>
          <w:tcPr>
            <w:tcW w:w="128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Other</w:t>
            </w: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5"/>
              </w:rPr>
              <w:t>Corporate</w:t>
            </w: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U.S. Pawn</w:t>
            </w:r>
          </w:p>
        </w:tc>
        <w:tc>
          <w:tcPr>
            <w:tcW w:w="140" w:type="dxa"/>
            <w:vAlign w:val="bottom"/>
          </w:tcPr>
          <w:p>
            <w:pPr>
              <w:spacing w:after="0"/>
              <w:rPr>
                <w:sz w:val="12"/>
                <w:szCs w:val="12"/>
                <w:color w:val="auto"/>
              </w:rPr>
            </w:pPr>
          </w:p>
        </w:tc>
        <w:tc>
          <w:tcPr>
            <w:tcW w:w="8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America</w:t>
            </w:r>
          </w:p>
        </w:tc>
        <w:tc>
          <w:tcPr>
            <w:tcW w:w="20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24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Total Segments</w:t>
            </w:r>
          </w:p>
        </w:tc>
        <w:tc>
          <w:tcPr>
            <w:tcW w:w="14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vMerge w:val="restart"/>
          </w:tcPr>
          <w:p>
            <w:pPr>
              <w:jc w:val="right"/>
              <w:ind w:right="91"/>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92"/>
        </w:trPr>
        <w:tc>
          <w:tcPr>
            <w:tcW w:w="4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Pawn</w:t>
            </w:r>
          </w:p>
        </w:tc>
        <w:tc>
          <w:tcPr>
            <w:tcW w:w="200" w:type="dxa"/>
            <w:vAlign w:val="bottom"/>
          </w:tcPr>
          <w:p>
            <w:pPr>
              <w:spacing w:after="0"/>
              <w:rPr>
                <w:sz w:val="16"/>
                <w:szCs w:val="16"/>
                <w:color w:val="auto"/>
              </w:rPr>
            </w:pPr>
          </w:p>
        </w:tc>
        <w:tc>
          <w:tcPr>
            <w:tcW w:w="1280" w:type="dxa"/>
            <w:vAlign w:val="bottom"/>
            <w:gridSpan w:val="2"/>
          </w:tcPr>
          <w:p>
            <w:pPr>
              <w:ind w:left="80"/>
              <w:spacing w:after="0"/>
              <w:rPr>
                <w:sz w:val="20"/>
                <w:szCs w:val="20"/>
                <w:color w:val="auto"/>
              </w:rPr>
            </w:pPr>
            <w:r>
              <w:rPr>
                <w:rFonts w:ascii="Arial" w:cs="Arial" w:eastAsia="Arial" w:hAnsi="Arial"/>
                <w:sz w:val="14"/>
                <w:szCs w:val="14"/>
                <w:b w:val="1"/>
                <w:bCs w:val="1"/>
                <w:color w:val="auto"/>
              </w:rPr>
              <w:t>International</w:t>
            </w:r>
          </w:p>
        </w:tc>
        <w:tc>
          <w:tcPr>
            <w:tcW w:w="124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Items</w:t>
            </w:r>
          </w:p>
        </w:tc>
        <w:tc>
          <w:tcPr>
            <w:tcW w:w="14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65"/>
        </w:trPr>
        <w:tc>
          <w:tcPr>
            <w:tcW w:w="4180" w:type="dxa"/>
            <w:vAlign w:val="bottom"/>
          </w:tcPr>
          <w:p>
            <w:pPr>
              <w:spacing w:after="0"/>
              <w:rPr>
                <w:sz w:val="20"/>
                <w:szCs w:val="20"/>
                <w:color w:val="auto"/>
              </w:rPr>
            </w:pPr>
            <w:r>
              <w:rPr>
                <w:rFonts w:ascii="Arial" w:cs="Arial" w:eastAsia="Arial" w:hAnsi="Arial"/>
                <w:sz w:val="18"/>
                <w:szCs w:val="18"/>
                <w:color w:val="auto"/>
              </w:rPr>
              <w:t>Revenues:</w:t>
            </w:r>
          </w:p>
        </w:tc>
        <w:tc>
          <w:tcPr>
            <w:tcW w:w="18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180" w:type="dxa"/>
            <w:vAlign w:val="bottom"/>
          </w:tcPr>
          <w:p>
            <w:pPr>
              <w:ind w:left="240"/>
              <w:spacing w:after="0"/>
              <w:rPr>
                <w:sz w:val="20"/>
                <w:szCs w:val="20"/>
                <w:color w:val="auto"/>
              </w:rPr>
            </w:pPr>
            <w:r>
              <w:rPr>
                <w:rFonts w:ascii="Arial" w:cs="Arial" w:eastAsia="Arial" w:hAnsi="Arial"/>
                <w:sz w:val="18"/>
                <w:szCs w:val="18"/>
                <w:color w:val="auto"/>
              </w:rPr>
              <w:t>Merchandise sales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94,753</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ind w:right="33"/>
              <w:spacing w:after="0"/>
              <w:rPr>
                <w:sz w:val="20"/>
                <w:szCs w:val="20"/>
                <w:color w:val="auto"/>
              </w:rPr>
            </w:pPr>
            <w:r>
              <w:rPr>
                <w:rFonts w:ascii="Arial" w:cs="Arial" w:eastAsia="Arial" w:hAnsi="Arial"/>
                <w:sz w:val="18"/>
                <w:szCs w:val="18"/>
                <w:color w:val="auto"/>
              </w:rPr>
              <w:t>20,192</w:t>
            </w:r>
          </w:p>
        </w:tc>
        <w:tc>
          <w:tcPr>
            <w:tcW w:w="10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4"/>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114,945</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114,945</w:t>
            </w:r>
          </w:p>
        </w:tc>
        <w:tc>
          <w:tcPr>
            <w:tcW w:w="0" w:type="dxa"/>
            <w:vAlign w:val="bottom"/>
          </w:tcPr>
          <w:p>
            <w:pPr>
              <w:spacing w:after="0"/>
              <w:rPr>
                <w:sz w:val="1"/>
                <w:szCs w:val="1"/>
                <w:color w:val="auto"/>
              </w:rPr>
            </w:pPr>
          </w:p>
        </w:tc>
      </w:tr>
      <w:tr>
        <w:trPr>
          <w:trHeight w:val="270"/>
        </w:trPr>
        <w:tc>
          <w:tcPr>
            <w:tcW w:w="4180" w:type="dxa"/>
            <w:vAlign w:val="bottom"/>
          </w:tcPr>
          <w:p>
            <w:pPr>
              <w:ind w:left="240"/>
              <w:spacing w:after="0"/>
              <w:rPr>
                <w:sz w:val="20"/>
                <w:szCs w:val="20"/>
                <w:color w:val="auto"/>
              </w:rPr>
            </w:pPr>
            <w:r>
              <w:rPr>
                <w:rFonts w:ascii="Arial" w:cs="Arial" w:eastAsia="Arial" w:hAnsi="Arial"/>
                <w:sz w:val="18"/>
                <w:szCs w:val="18"/>
                <w:color w:val="auto"/>
              </w:rPr>
              <w:t>Jewelry scrapping sales</w:t>
            </w:r>
          </w:p>
        </w:tc>
        <w:tc>
          <w:tcPr>
            <w:tcW w:w="180" w:type="dxa"/>
            <w:vAlign w:val="bottom"/>
          </w:tcPr>
          <w:p>
            <w:pPr>
              <w:spacing w:after="0"/>
              <w:rPr>
                <w:sz w:val="23"/>
                <w:szCs w:val="23"/>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8,177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right"/>
              <w:ind w:right="33"/>
              <w:spacing w:after="0"/>
              <w:rPr>
                <w:sz w:val="20"/>
                <w:szCs w:val="20"/>
                <w:color w:val="auto"/>
              </w:rPr>
            </w:pPr>
            <w:r>
              <w:rPr>
                <w:rFonts w:ascii="Arial" w:cs="Arial" w:eastAsia="Arial" w:hAnsi="Arial"/>
                <w:sz w:val="18"/>
                <w:szCs w:val="18"/>
                <w:color w:val="auto"/>
              </w:rPr>
              <w:t>3,348</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11,525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11,525</w:t>
            </w:r>
          </w:p>
        </w:tc>
        <w:tc>
          <w:tcPr>
            <w:tcW w:w="0" w:type="dxa"/>
            <w:vAlign w:val="bottom"/>
          </w:tcPr>
          <w:p>
            <w:pPr>
              <w:spacing w:after="0"/>
              <w:rPr>
                <w:sz w:val="1"/>
                <w:szCs w:val="1"/>
                <w:color w:val="auto"/>
              </w:rPr>
            </w:pPr>
          </w:p>
        </w:tc>
      </w:tr>
      <w:tr>
        <w:trPr>
          <w:trHeight w:val="270"/>
        </w:trPr>
        <w:tc>
          <w:tcPr>
            <w:tcW w:w="4180" w:type="dxa"/>
            <w:vAlign w:val="bottom"/>
          </w:tcPr>
          <w:p>
            <w:pPr>
              <w:ind w:left="240"/>
              <w:spacing w:after="0"/>
              <w:rPr>
                <w:sz w:val="20"/>
                <w:szCs w:val="20"/>
                <w:color w:val="auto"/>
              </w:rPr>
            </w:pPr>
            <w:r>
              <w:rPr>
                <w:rFonts w:ascii="Arial" w:cs="Arial" w:eastAsia="Arial" w:hAnsi="Arial"/>
                <w:sz w:val="18"/>
                <w:szCs w:val="18"/>
                <w:color w:val="auto"/>
              </w:rPr>
              <w:t>Pawn service charges</w:t>
            </w:r>
          </w:p>
        </w:tc>
        <w:tc>
          <w:tcPr>
            <w:tcW w:w="180" w:type="dxa"/>
            <w:vAlign w:val="bottom"/>
          </w:tcPr>
          <w:p>
            <w:pPr>
              <w:spacing w:after="0"/>
              <w:rPr>
                <w:sz w:val="23"/>
                <w:szCs w:val="23"/>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59,027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right"/>
              <w:ind w:right="33"/>
              <w:spacing w:after="0"/>
              <w:rPr>
                <w:sz w:val="20"/>
                <w:szCs w:val="20"/>
                <w:color w:val="auto"/>
              </w:rPr>
            </w:pPr>
            <w:r>
              <w:rPr>
                <w:rFonts w:ascii="Arial" w:cs="Arial" w:eastAsia="Arial" w:hAnsi="Arial"/>
                <w:sz w:val="18"/>
                <w:szCs w:val="18"/>
                <w:color w:val="auto"/>
              </w:rPr>
              <w:t>15,004</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74,031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74,031</w:t>
            </w:r>
          </w:p>
        </w:tc>
        <w:tc>
          <w:tcPr>
            <w:tcW w:w="0" w:type="dxa"/>
            <w:vAlign w:val="bottom"/>
          </w:tcPr>
          <w:p>
            <w:pPr>
              <w:spacing w:after="0"/>
              <w:rPr>
                <w:sz w:val="1"/>
                <w:szCs w:val="1"/>
                <w:color w:val="auto"/>
              </w:rPr>
            </w:pPr>
          </w:p>
        </w:tc>
      </w:tr>
      <w:tr>
        <w:trPr>
          <w:trHeight w:val="270"/>
        </w:trPr>
        <w:tc>
          <w:tcPr>
            <w:tcW w:w="4180" w:type="dxa"/>
            <w:vAlign w:val="bottom"/>
          </w:tcPr>
          <w:p>
            <w:pPr>
              <w:ind w:left="240"/>
              <w:spacing w:after="0"/>
              <w:rPr>
                <w:sz w:val="20"/>
                <w:szCs w:val="20"/>
                <w:color w:val="auto"/>
              </w:rPr>
            </w:pPr>
            <w:r>
              <w:rPr>
                <w:rFonts w:ascii="Arial" w:cs="Arial" w:eastAsia="Arial" w:hAnsi="Arial"/>
                <w:sz w:val="18"/>
                <w:szCs w:val="18"/>
                <w:color w:val="auto"/>
              </w:rPr>
              <w:t>Other revenues</w:t>
            </w:r>
          </w:p>
        </w:tc>
        <w:tc>
          <w:tcPr>
            <w:tcW w:w="180" w:type="dxa"/>
            <w:vAlign w:val="bottom"/>
          </w:tcPr>
          <w:p>
            <w:pPr>
              <w:spacing w:after="0"/>
              <w:rPr>
                <w:sz w:val="23"/>
                <w:szCs w:val="23"/>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76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right"/>
              <w:ind w:right="33"/>
              <w:spacing w:after="0"/>
              <w:rPr>
                <w:sz w:val="20"/>
                <w:szCs w:val="20"/>
                <w:color w:val="auto"/>
              </w:rPr>
            </w:pPr>
            <w:r>
              <w:rPr>
                <w:rFonts w:ascii="Arial" w:cs="Arial" w:eastAsia="Arial" w:hAnsi="Arial"/>
                <w:sz w:val="18"/>
                <w:szCs w:val="18"/>
                <w:color w:val="auto"/>
              </w:rPr>
              <w:t>174</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1,647</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1,897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1,897</w:t>
            </w:r>
          </w:p>
        </w:tc>
        <w:tc>
          <w:tcPr>
            <w:tcW w:w="0" w:type="dxa"/>
            <w:vAlign w:val="bottom"/>
          </w:tcPr>
          <w:p>
            <w:pPr>
              <w:spacing w:after="0"/>
              <w:rPr>
                <w:sz w:val="1"/>
                <w:szCs w:val="1"/>
                <w:color w:val="auto"/>
              </w:rPr>
            </w:pPr>
          </w:p>
        </w:tc>
      </w:tr>
      <w:tr>
        <w:trPr>
          <w:trHeight w:val="27"/>
        </w:trPr>
        <w:tc>
          <w:tcPr>
            <w:tcW w:w="41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180" w:type="dxa"/>
            <w:vAlign w:val="bottom"/>
          </w:tcPr>
          <w:p>
            <w:pPr>
              <w:ind w:left="460"/>
              <w:spacing w:after="0"/>
              <w:rPr>
                <w:sz w:val="20"/>
                <w:szCs w:val="20"/>
                <w:color w:val="auto"/>
              </w:rPr>
            </w:pPr>
            <w:r>
              <w:rPr>
                <w:rFonts w:ascii="Arial" w:cs="Arial" w:eastAsia="Arial" w:hAnsi="Arial"/>
                <w:sz w:val="18"/>
                <w:szCs w:val="18"/>
                <w:color w:val="auto"/>
              </w:rPr>
              <w:t>Total revenues</w:t>
            </w:r>
          </w:p>
        </w:tc>
        <w:tc>
          <w:tcPr>
            <w:tcW w:w="180" w:type="dxa"/>
            <w:vAlign w:val="bottom"/>
          </w:tcPr>
          <w:p>
            <w:pPr>
              <w:spacing w:after="0"/>
              <w:rPr>
                <w:sz w:val="20"/>
                <w:szCs w:val="20"/>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162,033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ind w:right="33"/>
              <w:spacing w:after="0"/>
              <w:rPr>
                <w:sz w:val="20"/>
                <w:szCs w:val="20"/>
                <w:color w:val="auto"/>
              </w:rPr>
            </w:pPr>
            <w:r>
              <w:rPr>
                <w:rFonts w:ascii="Arial" w:cs="Arial" w:eastAsia="Arial" w:hAnsi="Arial"/>
                <w:sz w:val="18"/>
                <w:szCs w:val="18"/>
                <w:color w:val="auto"/>
              </w:rPr>
              <w:t>38,718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1,647</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202,398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202,398</w:t>
            </w:r>
          </w:p>
        </w:tc>
        <w:tc>
          <w:tcPr>
            <w:tcW w:w="0" w:type="dxa"/>
            <w:vAlign w:val="bottom"/>
          </w:tcPr>
          <w:p>
            <w:pPr>
              <w:spacing w:after="0"/>
              <w:rPr>
                <w:sz w:val="1"/>
                <w:szCs w:val="1"/>
                <w:color w:val="auto"/>
              </w:rPr>
            </w:pPr>
          </w:p>
        </w:tc>
      </w:tr>
      <w:tr>
        <w:trPr>
          <w:trHeight w:val="270"/>
        </w:trPr>
        <w:tc>
          <w:tcPr>
            <w:tcW w:w="4180" w:type="dxa"/>
            <w:vAlign w:val="bottom"/>
          </w:tcPr>
          <w:p>
            <w:pPr>
              <w:spacing w:after="0"/>
              <w:rPr>
                <w:sz w:val="20"/>
                <w:szCs w:val="20"/>
                <w:color w:val="auto"/>
              </w:rPr>
            </w:pPr>
            <w:r>
              <w:rPr>
                <w:rFonts w:ascii="Arial" w:cs="Arial" w:eastAsia="Arial" w:hAnsi="Arial"/>
                <w:sz w:val="18"/>
                <w:szCs w:val="18"/>
                <w:color w:val="auto"/>
              </w:rPr>
              <w:t>Merchandise cost of goods sold</w:t>
            </w:r>
          </w:p>
        </w:tc>
        <w:tc>
          <w:tcPr>
            <w:tcW w:w="180" w:type="dxa"/>
            <w:vAlign w:val="bottom"/>
          </w:tcPr>
          <w:p>
            <w:pPr>
              <w:spacing w:after="0"/>
              <w:rPr>
                <w:sz w:val="23"/>
                <w:szCs w:val="23"/>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58,537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right"/>
              <w:ind w:right="33"/>
              <w:spacing w:after="0"/>
              <w:rPr>
                <w:sz w:val="20"/>
                <w:szCs w:val="20"/>
                <w:color w:val="auto"/>
              </w:rPr>
            </w:pPr>
            <w:r>
              <w:rPr>
                <w:rFonts w:ascii="Arial" w:cs="Arial" w:eastAsia="Arial" w:hAnsi="Arial"/>
                <w:sz w:val="18"/>
                <w:szCs w:val="18"/>
                <w:color w:val="auto"/>
              </w:rPr>
              <w:t>13,683</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72,220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72,220</w:t>
            </w:r>
          </w:p>
        </w:tc>
        <w:tc>
          <w:tcPr>
            <w:tcW w:w="0" w:type="dxa"/>
            <w:vAlign w:val="bottom"/>
          </w:tcPr>
          <w:p>
            <w:pPr>
              <w:spacing w:after="0"/>
              <w:rPr>
                <w:sz w:val="1"/>
                <w:szCs w:val="1"/>
                <w:color w:val="auto"/>
              </w:rPr>
            </w:pPr>
          </w:p>
        </w:tc>
      </w:tr>
      <w:tr>
        <w:trPr>
          <w:trHeight w:val="270"/>
        </w:trPr>
        <w:tc>
          <w:tcPr>
            <w:tcW w:w="4180" w:type="dxa"/>
            <w:vAlign w:val="bottom"/>
          </w:tcPr>
          <w:p>
            <w:pPr>
              <w:spacing w:after="0"/>
              <w:rPr>
                <w:sz w:val="20"/>
                <w:szCs w:val="20"/>
                <w:color w:val="auto"/>
              </w:rPr>
            </w:pPr>
            <w:r>
              <w:rPr>
                <w:rFonts w:ascii="Arial" w:cs="Arial" w:eastAsia="Arial" w:hAnsi="Arial"/>
                <w:sz w:val="18"/>
                <w:szCs w:val="18"/>
                <w:color w:val="auto"/>
              </w:rPr>
              <w:t>Jewelry scrapping cost of goods sold</w:t>
            </w:r>
          </w:p>
        </w:tc>
        <w:tc>
          <w:tcPr>
            <w:tcW w:w="180" w:type="dxa"/>
            <w:vAlign w:val="bottom"/>
          </w:tcPr>
          <w:p>
            <w:pPr>
              <w:spacing w:after="0"/>
              <w:rPr>
                <w:sz w:val="23"/>
                <w:szCs w:val="23"/>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6,512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right"/>
              <w:ind w:right="33"/>
              <w:spacing w:after="0"/>
              <w:rPr>
                <w:sz w:val="20"/>
                <w:szCs w:val="20"/>
                <w:color w:val="auto"/>
              </w:rPr>
            </w:pPr>
            <w:r>
              <w:rPr>
                <w:rFonts w:ascii="Arial" w:cs="Arial" w:eastAsia="Arial" w:hAnsi="Arial"/>
                <w:sz w:val="18"/>
                <w:szCs w:val="18"/>
                <w:color w:val="auto"/>
              </w:rPr>
              <w:t>3,062</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9,574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9,574</w:t>
            </w:r>
          </w:p>
        </w:tc>
        <w:tc>
          <w:tcPr>
            <w:tcW w:w="0" w:type="dxa"/>
            <w:vAlign w:val="bottom"/>
          </w:tcPr>
          <w:p>
            <w:pPr>
              <w:spacing w:after="0"/>
              <w:rPr>
                <w:sz w:val="1"/>
                <w:szCs w:val="1"/>
                <w:color w:val="auto"/>
              </w:rPr>
            </w:pPr>
          </w:p>
        </w:tc>
      </w:tr>
      <w:tr>
        <w:trPr>
          <w:trHeight w:val="270"/>
        </w:trPr>
        <w:tc>
          <w:tcPr>
            <w:tcW w:w="4180" w:type="dxa"/>
            <w:vAlign w:val="bottom"/>
          </w:tcPr>
          <w:p>
            <w:pPr>
              <w:spacing w:after="0"/>
              <w:rPr>
                <w:sz w:val="20"/>
                <w:szCs w:val="20"/>
                <w:color w:val="auto"/>
              </w:rPr>
            </w:pPr>
            <w:r>
              <w:rPr>
                <w:rFonts w:ascii="Arial" w:cs="Arial" w:eastAsia="Arial" w:hAnsi="Arial"/>
                <w:sz w:val="18"/>
                <w:szCs w:val="18"/>
                <w:color w:val="auto"/>
              </w:rPr>
              <w:t>Other cost of revenues</w:t>
            </w:r>
          </w:p>
        </w:tc>
        <w:tc>
          <w:tcPr>
            <w:tcW w:w="180" w:type="dxa"/>
            <w:vAlign w:val="bottom"/>
          </w:tcPr>
          <w:p>
            <w:pPr>
              <w:spacing w:after="0"/>
              <w:rPr>
                <w:sz w:val="23"/>
                <w:szCs w:val="23"/>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347</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347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347</w:t>
            </w:r>
          </w:p>
        </w:tc>
        <w:tc>
          <w:tcPr>
            <w:tcW w:w="0" w:type="dxa"/>
            <w:vAlign w:val="bottom"/>
          </w:tcPr>
          <w:p>
            <w:pPr>
              <w:spacing w:after="0"/>
              <w:rPr>
                <w:sz w:val="1"/>
                <w:szCs w:val="1"/>
                <w:color w:val="auto"/>
              </w:rPr>
            </w:pPr>
          </w:p>
        </w:tc>
      </w:tr>
      <w:tr>
        <w:trPr>
          <w:trHeight w:val="27"/>
        </w:trPr>
        <w:tc>
          <w:tcPr>
            <w:tcW w:w="41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180" w:type="dxa"/>
            <w:vAlign w:val="bottom"/>
          </w:tcPr>
          <w:p>
            <w:pPr>
              <w:ind w:left="460"/>
              <w:spacing w:after="0"/>
              <w:rPr>
                <w:sz w:val="20"/>
                <w:szCs w:val="20"/>
                <w:color w:val="auto"/>
              </w:rPr>
            </w:pPr>
            <w:r>
              <w:rPr>
                <w:rFonts w:ascii="Arial" w:cs="Arial" w:eastAsia="Arial" w:hAnsi="Arial"/>
                <w:sz w:val="18"/>
                <w:szCs w:val="18"/>
                <w:color w:val="auto"/>
              </w:rPr>
              <w:t>Net revenues</w:t>
            </w:r>
          </w:p>
        </w:tc>
        <w:tc>
          <w:tcPr>
            <w:tcW w:w="180" w:type="dxa"/>
            <w:vAlign w:val="bottom"/>
          </w:tcPr>
          <w:p>
            <w:pPr>
              <w:spacing w:after="0"/>
              <w:rPr>
                <w:sz w:val="20"/>
                <w:szCs w:val="20"/>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96,984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ind w:right="33"/>
              <w:spacing w:after="0"/>
              <w:rPr>
                <w:sz w:val="20"/>
                <w:szCs w:val="20"/>
                <w:color w:val="auto"/>
              </w:rPr>
            </w:pPr>
            <w:r>
              <w:rPr>
                <w:rFonts w:ascii="Arial" w:cs="Arial" w:eastAsia="Arial" w:hAnsi="Arial"/>
                <w:sz w:val="18"/>
                <w:szCs w:val="18"/>
                <w:color w:val="auto"/>
              </w:rPr>
              <w:t>21,973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1,300</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120,257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120,257</w:t>
            </w:r>
          </w:p>
        </w:tc>
        <w:tc>
          <w:tcPr>
            <w:tcW w:w="0" w:type="dxa"/>
            <w:vAlign w:val="bottom"/>
          </w:tcPr>
          <w:p>
            <w:pPr>
              <w:spacing w:after="0"/>
              <w:rPr>
                <w:sz w:val="1"/>
                <w:szCs w:val="1"/>
                <w:color w:val="auto"/>
              </w:rPr>
            </w:pPr>
          </w:p>
        </w:tc>
      </w:tr>
      <w:tr>
        <w:trPr>
          <w:trHeight w:val="270"/>
        </w:trPr>
        <w:tc>
          <w:tcPr>
            <w:tcW w:w="4180" w:type="dxa"/>
            <w:vAlign w:val="bottom"/>
          </w:tcPr>
          <w:p>
            <w:pPr>
              <w:spacing w:after="0"/>
              <w:rPr>
                <w:sz w:val="20"/>
                <w:szCs w:val="20"/>
                <w:color w:val="auto"/>
              </w:rPr>
            </w:pPr>
            <w:r>
              <w:rPr>
                <w:rFonts w:ascii="Arial" w:cs="Arial" w:eastAsia="Arial" w:hAnsi="Arial"/>
                <w:sz w:val="18"/>
                <w:szCs w:val="18"/>
                <w:color w:val="auto"/>
              </w:rPr>
              <w:t>Segment and corporate expenses (income):</w:t>
            </w:r>
          </w:p>
        </w:tc>
        <w:tc>
          <w:tcPr>
            <w:tcW w:w="1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180" w:type="dxa"/>
            <w:vAlign w:val="bottom"/>
          </w:tcPr>
          <w:p>
            <w:pPr>
              <w:ind w:left="240"/>
              <w:spacing w:after="0"/>
              <w:rPr>
                <w:sz w:val="20"/>
                <w:szCs w:val="20"/>
                <w:color w:val="auto"/>
              </w:rPr>
            </w:pPr>
            <w:r>
              <w:rPr>
                <w:rFonts w:ascii="Arial" w:cs="Arial" w:eastAsia="Arial" w:hAnsi="Arial"/>
                <w:sz w:val="18"/>
                <w:szCs w:val="18"/>
                <w:color w:val="auto"/>
              </w:rPr>
              <w:t>Operations</w:t>
            </w:r>
          </w:p>
        </w:tc>
        <w:tc>
          <w:tcPr>
            <w:tcW w:w="180" w:type="dxa"/>
            <w:vAlign w:val="bottom"/>
          </w:tcPr>
          <w:p>
            <w:pPr>
              <w:spacing w:after="0"/>
              <w:rPr>
                <w:sz w:val="23"/>
                <w:szCs w:val="23"/>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65,190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right"/>
              <w:ind w:right="33"/>
              <w:spacing w:after="0"/>
              <w:rPr>
                <w:sz w:val="20"/>
                <w:szCs w:val="20"/>
                <w:color w:val="auto"/>
              </w:rPr>
            </w:pPr>
            <w:r>
              <w:rPr>
                <w:rFonts w:ascii="Arial" w:cs="Arial" w:eastAsia="Arial" w:hAnsi="Arial"/>
                <w:sz w:val="18"/>
                <w:szCs w:val="18"/>
                <w:color w:val="auto"/>
              </w:rPr>
              <w:t>15,015</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1,975</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82,180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82,180</w:t>
            </w:r>
          </w:p>
        </w:tc>
        <w:tc>
          <w:tcPr>
            <w:tcW w:w="0" w:type="dxa"/>
            <w:vAlign w:val="bottom"/>
          </w:tcPr>
          <w:p>
            <w:pPr>
              <w:spacing w:after="0"/>
              <w:rPr>
                <w:sz w:val="1"/>
                <w:szCs w:val="1"/>
                <w:color w:val="auto"/>
              </w:rPr>
            </w:pPr>
          </w:p>
        </w:tc>
      </w:tr>
      <w:tr>
        <w:trPr>
          <w:trHeight w:val="270"/>
        </w:trPr>
        <w:tc>
          <w:tcPr>
            <w:tcW w:w="4180" w:type="dxa"/>
            <w:vAlign w:val="bottom"/>
          </w:tcPr>
          <w:p>
            <w:pPr>
              <w:ind w:left="240"/>
              <w:spacing w:after="0"/>
              <w:rPr>
                <w:sz w:val="20"/>
                <w:szCs w:val="20"/>
                <w:color w:val="auto"/>
              </w:rPr>
            </w:pPr>
            <w:r>
              <w:rPr>
                <w:rFonts w:ascii="Arial" w:cs="Arial" w:eastAsia="Arial" w:hAnsi="Arial"/>
                <w:sz w:val="18"/>
                <w:szCs w:val="18"/>
                <w:color w:val="auto"/>
              </w:rPr>
              <w:t>Administrative</w:t>
            </w:r>
          </w:p>
        </w:tc>
        <w:tc>
          <w:tcPr>
            <w:tcW w:w="180" w:type="dxa"/>
            <w:vAlign w:val="bottom"/>
          </w:tcPr>
          <w:p>
            <w:pPr>
              <w:spacing w:after="0"/>
              <w:rPr>
                <w:sz w:val="23"/>
                <w:szCs w:val="23"/>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13,341</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13,341</w:t>
            </w:r>
          </w:p>
        </w:tc>
        <w:tc>
          <w:tcPr>
            <w:tcW w:w="0" w:type="dxa"/>
            <w:vAlign w:val="bottom"/>
          </w:tcPr>
          <w:p>
            <w:pPr>
              <w:spacing w:after="0"/>
              <w:rPr>
                <w:sz w:val="1"/>
                <w:szCs w:val="1"/>
                <w:color w:val="auto"/>
              </w:rPr>
            </w:pPr>
          </w:p>
        </w:tc>
      </w:tr>
      <w:tr>
        <w:trPr>
          <w:trHeight w:val="270"/>
        </w:trPr>
        <w:tc>
          <w:tcPr>
            <w:tcW w:w="4180" w:type="dxa"/>
            <w:vAlign w:val="bottom"/>
          </w:tcPr>
          <w:p>
            <w:pPr>
              <w:ind w:left="240"/>
              <w:spacing w:after="0"/>
              <w:rPr>
                <w:sz w:val="20"/>
                <w:szCs w:val="20"/>
                <w:color w:val="auto"/>
              </w:rPr>
            </w:pPr>
            <w:r>
              <w:rPr>
                <w:rFonts w:ascii="Arial" w:cs="Arial" w:eastAsia="Arial" w:hAnsi="Arial"/>
                <w:sz w:val="18"/>
                <w:szCs w:val="18"/>
                <w:color w:val="auto"/>
              </w:rPr>
              <w:t>Depreciation and amortization</w:t>
            </w:r>
          </w:p>
        </w:tc>
        <w:tc>
          <w:tcPr>
            <w:tcW w:w="180" w:type="dxa"/>
            <w:vAlign w:val="bottom"/>
          </w:tcPr>
          <w:p>
            <w:pPr>
              <w:spacing w:after="0"/>
              <w:rPr>
                <w:sz w:val="23"/>
                <w:szCs w:val="23"/>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3,531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right"/>
              <w:ind w:right="33"/>
              <w:spacing w:after="0"/>
              <w:rPr>
                <w:sz w:val="20"/>
                <w:szCs w:val="20"/>
                <w:color w:val="auto"/>
              </w:rPr>
            </w:pPr>
            <w:r>
              <w:rPr>
                <w:rFonts w:ascii="Arial" w:cs="Arial" w:eastAsia="Arial" w:hAnsi="Arial"/>
                <w:sz w:val="18"/>
                <w:szCs w:val="18"/>
                <w:color w:val="auto"/>
              </w:rPr>
              <w:t>916</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4,494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1,957</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6,451</w:t>
            </w:r>
          </w:p>
        </w:tc>
        <w:tc>
          <w:tcPr>
            <w:tcW w:w="0" w:type="dxa"/>
            <w:vAlign w:val="bottom"/>
          </w:tcPr>
          <w:p>
            <w:pPr>
              <w:spacing w:after="0"/>
              <w:rPr>
                <w:sz w:val="1"/>
                <w:szCs w:val="1"/>
                <w:color w:val="auto"/>
              </w:rPr>
            </w:pPr>
          </w:p>
        </w:tc>
      </w:tr>
      <w:tr>
        <w:trPr>
          <w:trHeight w:val="270"/>
        </w:trPr>
        <w:tc>
          <w:tcPr>
            <w:tcW w:w="4180" w:type="dxa"/>
            <w:vAlign w:val="bottom"/>
          </w:tcPr>
          <w:p>
            <w:pPr>
              <w:ind w:left="240"/>
              <w:spacing w:after="0"/>
              <w:rPr>
                <w:sz w:val="20"/>
                <w:szCs w:val="20"/>
                <w:color w:val="auto"/>
              </w:rPr>
            </w:pPr>
            <w:r>
              <w:rPr>
                <w:rFonts w:ascii="Arial" w:cs="Arial" w:eastAsia="Arial" w:hAnsi="Arial"/>
                <w:sz w:val="18"/>
                <w:szCs w:val="18"/>
                <w:color w:val="auto"/>
              </w:rPr>
              <w:t>Loss (gain) on sale or disposal of assets</w:t>
            </w:r>
          </w:p>
        </w:tc>
        <w:tc>
          <w:tcPr>
            <w:tcW w:w="180" w:type="dxa"/>
            <w:vAlign w:val="bottom"/>
          </w:tcPr>
          <w:p>
            <w:pPr>
              <w:spacing w:after="0"/>
              <w:rPr>
                <w:sz w:val="23"/>
                <w:szCs w:val="23"/>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70"/>
        </w:trPr>
        <w:tc>
          <w:tcPr>
            <w:tcW w:w="4180" w:type="dxa"/>
            <w:vAlign w:val="bottom"/>
          </w:tcPr>
          <w:p>
            <w:pPr>
              <w:ind w:left="240"/>
              <w:spacing w:after="0"/>
              <w:rPr>
                <w:sz w:val="20"/>
                <w:szCs w:val="20"/>
                <w:color w:val="auto"/>
              </w:rPr>
            </w:pPr>
            <w:r>
              <w:rPr>
                <w:rFonts w:ascii="Arial" w:cs="Arial" w:eastAsia="Arial" w:hAnsi="Arial"/>
                <w:sz w:val="18"/>
                <w:szCs w:val="18"/>
                <w:color w:val="auto"/>
              </w:rPr>
              <w:t>Interest expense</w:t>
            </w:r>
          </w:p>
        </w:tc>
        <w:tc>
          <w:tcPr>
            <w:tcW w:w="180" w:type="dxa"/>
            <w:vAlign w:val="bottom"/>
          </w:tcPr>
          <w:p>
            <w:pPr>
              <w:spacing w:after="0"/>
              <w:rPr>
                <w:sz w:val="23"/>
                <w:szCs w:val="23"/>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760" w:type="dxa"/>
            <w:vAlign w:val="bottom"/>
          </w:tcPr>
          <w:p>
            <w:pPr>
              <w:jc w:val="right"/>
              <w:ind w:right="33"/>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5,827</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5,829</w:t>
            </w:r>
          </w:p>
        </w:tc>
        <w:tc>
          <w:tcPr>
            <w:tcW w:w="0" w:type="dxa"/>
            <w:vAlign w:val="bottom"/>
          </w:tcPr>
          <w:p>
            <w:pPr>
              <w:spacing w:after="0"/>
              <w:rPr>
                <w:sz w:val="1"/>
                <w:szCs w:val="1"/>
                <w:color w:val="auto"/>
              </w:rPr>
            </w:pPr>
          </w:p>
        </w:tc>
      </w:tr>
      <w:tr>
        <w:trPr>
          <w:trHeight w:val="270"/>
        </w:trPr>
        <w:tc>
          <w:tcPr>
            <w:tcW w:w="4180" w:type="dxa"/>
            <w:vAlign w:val="bottom"/>
          </w:tcPr>
          <w:p>
            <w:pPr>
              <w:ind w:left="240"/>
              <w:spacing w:after="0"/>
              <w:rPr>
                <w:sz w:val="20"/>
                <w:szCs w:val="20"/>
                <w:color w:val="auto"/>
              </w:rPr>
            </w:pPr>
            <w:r>
              <w:rPr>
                <w:rFonts w:ascii="Arial" w:cs="Arial" w:eastAsia="Arial" w:hAnsi="Arial"/>
                <w:sz w:val="18"/>
                <w:szCs w:val="18"/>
                <w:color w:val="auto"/>
              </w:rPr>
              <w:t>Interest income</w:t>
            </w:r>
          </w:p>
        </w:tc>
        <w:tc>
          <w:tcPr>
            <w:tcW w:w="180" w:type="dxa"/>
            <w:vAlign w:val="bottom"/>
          </w:tcPr>
          <w:p>
            <w:pPr>
              <w:spacing w:after="0"/>
              <w:rPr>
                <w:sz w:val="23"/>
                <w:szCs w:val="23"/>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(763)</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(763)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(3,505)</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(4,268)</w:t>
            </w:r>
          </w:p>
        </w:tc>
        <w:tc>
          <w:tcPr>
            <w:tcW w:w="0" w:type="dxa"/>
            <w:vAlign w:val="bottom"/>
          </w:tcPr>
          <w:p>
            <w:pPr>
              <w:spacing w:after="0"/>
              <w:rPr>
                <w:sz w:val="1"/>
                <w:szCs w:val="1"/>
                <w:color w:val="auto"/>
              </w:rPr>
            </w:pPr>
          </w:p>
        </w:tc>
      </w:tr>
      <w:tr>
        <w:trPr>
          <w:trHeight w:val="270"/>
        </w:trPr>
        <w:tc>
          <w:tcPr>
            <w:tcW w:w="4180" w:type="dxa"/>
            <w:vAlign w:val="bottom"/>
          </w:tcPr>
          <w:p>
            <w:pPr>
              <w:ind w:left="240"/>
              <w:spacing w:after="0"/>
              <w:rPr>
                <w:sz w:val="20"/>
                <w:szCs w:val="20"/>
                <w:color w:val="auto"/>
              </w:rPr>
            </w:pPr>
            <w:r>
              <w:rPr>
                <w:rFonts w:ascii="Arial" w:cs="Arial" w:eastAsia="Arial" w:hAnsi="Arial"/>
                <w:sz w:val="18"/>
                <w:szCs w:val="18"/>
                <w:color w:val="auto"/>
              </w:rPr>
              <w:t>Equity in net income of unconsolidated affiliates</w:t>
            </w:r>
          </w:p>
        </w:tc>
        <w:tc>
          <w:tcPr>
            <w:tcW w:w="180" w:type="dxa"/>
            <w:vAlign w:val="bottom"/>
          </w:tcPr>
          <w:p>
            <w:pPr>
              <w:spacing w:after="0"/>
              <w:rPr>
                <w:sz w:val="23"/>
                <w:szCs w:val="23"/>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(876)</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(876)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(876)</w:t>
            </w:r>
          </w:p>
        </w:tc>
        <w:tc>
          <w:tcPr>
            <w:tcW w:w="0" w:type="dxa"/>
            <w:vAlign w:val="bottom"/>
          </w:tcPr>
          <w:p>
            <w:pPr>
              <w:spacing w:after="0"/>
              <w:rPr>
                <w:sz w:val="1"/>
                <w:szCs w:val="1"/>
                <w:color w:val="auto"/>
              </w:rPr>
            </w:pPr>
          </w:p>
        </w:tc>
      </w:tr>
      <w:tr>
        <w:trPr>
          <w:trHeight w:val="270"/>
        </w:trPr>
        <w:tc>
          <w:tcPr>
            <w:tcW w:w="4180" w:type="dxa"/>
            <w:vAlign w:val="bottom"/>
          </w:tcPr>
          <w:p>
            <w:pPr>
              <w:ind w:left="240"/>
              <w:spacing w:after="0"/>
              <w:rPr>
                <w:sz w:val="20"/>
                <w:szCs w:val="20"/>
                <w:color w:val="auto"/>
              </w:rPr>
            </w:pPr>
            <w:r>
              <w:rPr>
                <w:rFonts w:ascii="Arial" w:cs="Arial" w:eastAsia="Arial" w:hAnsi="Arial"/>
                <w:sz w:val="18"/>
                <w:szCs w:val="18"/>
                <w:color w:val="auto"/>
              </w:rPr>
              <w:t>Other (income) expense</w:t>
            </w:r>
          </w:p>
        </w:tc>
        <w:tc>
          <w:tcPr>
            <w:tcW w:w="180" w:type="dxa"/>
            <w:vAlign w:val="bottom"/>
          </w:tcPr>
          <w:p>
            <w:pPr>
              <w:spacing w:after="0"/>
              <w:rPr>
                <w:sz w:val="23"/>
                <w:szCs w:val="23"/>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41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180" w:type="dxa"/>
            <w:vAlign w:val="bottom"/>
          </w:tcPr>
          <w:p>
            <w:pPr>
              <w:spacing w:after="0"/>
              <w:rPr>
                <w:sz w:val="20"/>
                <w:szCs w:val="20"/>
                <w:color w:val="auto"/>
              </w:rPr>
            </w:pPr>
            <w:r>
              <w:rPr>
                <w:rFonts w:ascii="Arial" w:cs="Arial" w:eastAsia="Arial" w:hAnsi="Arial"/>
                <w:sz w:val="18"/>
                <w:szCs w:val="18"/>
                <w:color w:val="auto"/>
              </w:rPr>
              <w:t>Segment contribution</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28,155</w:t>
            </w:r>
          </w:p>
        </w:tc>
        <w:tc>
          <w:tcPr>
            <w:tcW w:w="12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6,809</w:t>
            </w:r>
          </w:p>
        </w:tc>
        <w:tc>
          <w:tcPr>
            <w:tcW w:w="10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189</w:t>
            </w:r>
          </w:p>
        </w:tc>
        <w:tc>
          <w:tcPr>
            <w:tcW w:w="120" w:type="dxa"/>
            <w:vAlign w:val="bottom"/>
          </w:tcPr>
          <w:p>
            <w:pPr>
              <w:spacing w:after="0"/>
              <w:rPr>
                <w:sz w:val="22"/>
                <w:szCs w:val="22"/>
                <w:color w:val="auto"/>
              </w:rPr>
            </w:pPr>
          </w:p>
        </w:tc>
        <w:tc>
          <w:tcPr>
            <w:tcW w:w="28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35,153</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4180" w:type="dxa"/>
            <w:vAlign w:val="bottom"/>
          </w:tcPr>
          <w:p>
            <w:pPr>
              <w:spacing w:after="0"/>
              <w:rPr>
                <w:sz w:val="20"/>
                <w:szCs w:val="20"/>
                <w:color w:val="auto"/>
              </w:rPr>
            </w:pPr>
            <w:r>
              <w:rPr>
                <w:rFonts w:ascii="Arial" w:cs="Arial" w:eastAsia="Arial" w:hAnsi="Arial"/>
                <w:sz w:val="18"/>
                <w:szCs w:val="18"/>
                <w:color w:val="auto"/>
                <w:w w:val="93"/>
              </w:rPr>
              <w:t>Income from continuing operations before income taxes</w:t>
            </w:r>
          </w:p>
        </w:tc>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35,153</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(17,649)</w:t>
            </w: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17,504</w:t>
            </w: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40"/>
          </w:cols>
          <w:pgMar w:left="300" w:top="738" w:right="259" w:bottom="1440" w:gutter="0" w:footer="0" w:header="0"/>
        </w:sectPr>
      </w:pPr>
    </w:p>
    <w:bookmarkStart w:id="12" w:name="page13"/>
    <w:bookmarkEnd w:id="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5"/>
          </w:tcPr>
          <w:p>
            <w:pPr>
              <w:ind w:left="160"/>
              <w:spacing w:after="0"/>
              <w:rPr>
                <w:sz w:val="20"/>
                <w:szCs w:val="20"/>
                <w:color w:val="auto"/>
              </w:rPr>
            </w:pPr>
            <w:r>
              <w:rPr>
                <w:rFonts w:ascii="Arial" w:cs="Arial" w:eastAsia="Arial" w:hAnsi="Arial"/>
                <w:sz w:val="14"/>
                <w:szCs w:val="14"/>
                <w:b w:val="1"/>
                <w:bCs w:val="1"/>
                <w:color w:val="auto"/>
              </w:rPr>
              <w:t>Six Months Ended March 31, 2019</w:t>
            </w:r>
          </w:p>
        </w:tc>
        <w:tc>
          <w:tcPr>
            <w:tcW w:w="3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U.S. Pawn</w:t>
            </w:r>
          </w:p>
        </w:tc>
        <w:tc>
          <w:tcPr>
            <w:tcW w:w="120" w:type="dxa"/>
            <w:vAlign w:val="bottom"/>
          </w:tcPr>
          <w:p>
            <w:pPr>
              <w:spacing w:after="0"/>
              <w:rPr>
                <w:sz w:val="13"/>
                <w:szCs w:val="13"/>
                <w:color w:val="auto"/>
              </w:rPr>
            </w:pPr>
          </w:p>
        </w:tc>
        <w:tc>
          <w:tcPr>
            <w:tcW w:w="112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7"/>
              </w:rPr>
              <w:t>Latin America</w:t>
            </w:r>
          </w:p>
        </w:tc>
        <w:tc>
          <w:tcPr>
            <w:tcW w:w="160" w:type="dxa"/>
            <w:vAlign w:val="bottom"/>
          </w:tcPr>
          <w:p>
            <w:pPr>
              <w:spacing w:after="0"/>
              <w:rPr>
                <w:sz w:val="13"/>
                <w:szCs w:val="13"/>
                <w:color w:val="auto"/>
              </w:rPr>
            </w:pPr>
          </w:p>
        </w:tc>
        <w:tc>
          <w:tcPr>
            <w:tcW w:w="118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6"/>
              </w:rPr>
              <w:t>Other</w:t>
            </w:r>
          </w:p>
        </w:tc>
        <w:tc>
          <w:tcPr>
            <w:tcW w:w="140" w:type="dxa"/>
            <w:vAlign w:val="bottom"/>
          </w:tcPr>
          <w:p>
            <w:pPr>
              <w:spacing w:after="0"/>
              <w:rPr>
                <w:sz w:val="13"/>
                <w:szCs w:val="13"/>
                <w:color w:val="auto"/>
              </w:rPr>
            </w:pPr>
          </w:p>
        </w:tc>
        <w:tc>
          <w:tcPr>
            <w:tcW w:w="12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Total Segments</w:t>
            </w:r>
          </w:p>
        </w:tc>
        <w:tc>
          <w:tcPr>
            <w:tcW w:w="1360" w:type="dxa"/>
            <w:vAlign w:val="bottom"/>
            <w:gridSpan w:val="3"/>
            <w:vMerge w:val="restart"/>
          </w:tcPr>
          <w:p>
            <w:pPr>
              <w:ind w:left="120"/>
              <w:spacing w:after="0"/>
              <w:rPr>
                <w:sz w:val="20"/>
                <w:szCs w:val="20"/>
                <w:color w:val="auto"/>
              </w:rPr>
            </w:pPr>
            <w:r>
              <w:rPr>
                <w:rFonts w:ascii="Arial" w:cs="Arial" w:eastAsia="Arial" w:hAnsi="Arial"/>
                <w:sz w:val="14"/>
                <w:szCs w:val="14"/>
                <w:b w:val="1"/>
                <w:bCs w:val="1"/>
                <w:color w:val="auto"/>
              </w:rPr>
              <w:t>Corporate Items</w:t>
            </w:r>
          </w:p>
        </w:tc>
        <w:tc>
          <w:tcPr>
            <w:tcW w:w="160" w:type="dxa"/>
            <w:vAlign w:val="bottom"/>
          </w:tcPr>
          <w:p>
            <w:pPr>
              <w:spacing w:after="0"/>
              <w:rPr>
                <w:sz w:val="13"/>
                <w:szCs w:val="13"/>
                <w:color w:val="auto"/>
              </w:rPr>
            </w:pPr>
          </w:p>
        </w:tc>
        <w:tc>
          <w:tcPr>
            <w:tcW w:w="108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3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Pawn</w:t>
            </w:r>
          </w:p>
        </w:tc>
        <w:tc>
          <w:tcPr>
            <w:tcW w:w="160" w:type="dxa"/>
            <w:vAlign w:val="bottom"/>
          </w:tcPr>
          <w:p>
            <w:pPr>
              <w:spacing w:after="0"/>
              <w:rPr>
                <w:sz w:val="16"/>
                <w:szCs w:val="16"/>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International</w:t>
            </w:r>
          </w:p>
        </w:tc>
        <w:tc>
          <w:tcPr>
            <w:tcW w:w="14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36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419"/>
        </w:trPr>
        <w:tc>
          <w:tcPr>
            <w:tcW w:w="3500" w:type="dxa"/>
            <w:vAlign w:val="bottom"/>
          </w:tcPr>
          <w:p>
            <w:pPr>
              <w:spacing w:after="0"/>
              <w:rPr>
                <w:sz w:val="20"/>
                <w:szCs w:val="20"/>
                <w:color w:val="auto"/>
              </w:rPr>
            </w:pPr>
            <w:r>
              <w:rPr>
                <w:rFonts w:ascii="Arial" w:cs="Arial" w:eastAsia="Arial" w:hAnsi="Arial"/>
                <w:sz w:val="18"/>
                <w:szCs w:val="18"/>
                <w:color w:val="auto"/>
              </w:rPr>
              <w:t>Revenues:</w:t>
            </w:r>
          </w:p>
        </w:tc>
        <w:tc>
          <w:tcPr>
            <w:tcW w:w="20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500" w:type="dxa"/>
            <w:vAlign w:val="bottom"/>
          </w:tcPr>
          <w:p>
            <w:pPr>
              <w:ind w:left="240"/>
              <w:spacing w:after="0"/>
              <w:rPr>
                <w:sz w:val="20"/>
                <w:szCs w:val="20"/>
                <w:color w:val="auto"/>
              </w:rPr>
            </w:pPr>
            <w:r>
              <w:rPr>
                <w:rFonts w:ascii="Arial" w:cs="Arial" w:eastAsia="Arial" w:hAnsi="Arial"/>
                <w:sz w:val="18"/>
                <w:szCs w:val="18"/>
                <w:color w:val="auto"/>
              </w:rPr>
              <w:t>Merchandise sales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191,735</w:t>
            </w:r>
          </w:p>
        </w:tc>
        <w:tc>
          <w:tcPr>
            <w:tcW w:w="12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50,549</w:t>
            </w:r>
          </w:p>
        </w:tc>
        <w:tc>
          <w:tcPr>
            <w:tcW w:w="1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242,284</w:t>
            </w:r>
          </w:p>
        </w:tc>
        <w:tc>
          <w:tcPr>
            <w:tcW w:w="100" w:type="dxa"/>
            <w:vAlign w:val="bottom"/>
          </w:tcPr>
          <w:p>
            <w:pPr>
              <w:spacing w:after="0"/>
              <w:rPr>
                <w:sz w:val="23"/>
                <w:szCs w:val="23"/>
                <w:color w:val="auto"/>
              </w:rPr>
            </w:pPr>
          </w:p>
        </w:tc>
        <w:tc>
          <w:tcPr>
            <w:tcW w:w="340" w:type="dxa"/>
            <w:vAlign w:val="bottom"/>
          </w:tcPr>
          <w:p>
            <w:pPr>
              <w:jc w:val="right"/>
              <w:ind w:right="136"/>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242,284</w:t>
            </w:r>
          </w:p>
        </w:tc>
        <w:tc>
          <w:tcPr>
            <w:tcW w:w="0" w:type="dxa"/>
            <w:vAlign w:val="bottom"/>
          </w:tcPr>
          <w:p>
            <w:pPr>
              <w:spacing w:after="0"/>
              <w:rPr>
                <w:sz w:val="1"/>
                <w:szCs w:val="1"/>
                <w:color w:val="auto"/>
              </w:rPr>
            </w:pPr>
          </w:p>
        </w:tc>
      </w:tr>
      <w:tr>
        <w:trPr>
          <w:trHeight w:val="270"/>
        </w:trPr>
        <w:tc>
          <w:tcPr>
            <w:tcW w:w="3500" w:type="dxa"/>
            <w:vAlign w:val="bottom"/>
          </w:tcPr>
          <w:p>
            <w:pPr>
              <w:ind w:left="240"/>
              <w:spacing w:after="0"/>
              <w:rPr>
                <w:sz w:val="20"/>
                <w:szCs w:val="20"/>
                <w:color w:val="auto"/>
              </w:rPr>
            </w:pPr>
            <w:r>
              <w:rPr>
                <w:rFonts w:ascii="Arial" w:cs="Arial" w:eastAsia="Arial" w:hAnsi="Arial"/>
                <w:sz w:val="18"/>
                <w:szCs w:val="18"/>
                <w:color w:val="auto"/>
              </w:rPr>
              <w:t>Jewelry scrapping sales</w:t>
            </w:r>
          </w:p>
        </w:tc>
        <w:tc>
          <w:tcPr>
            <w:tcW w:w="200" w:type="dxa"/>
            <w:vAlign w:val="bottom"/>
          </w:tcPr>
          <w:p>
            <w:pPr>
              <w:spacing w:after="0"/>
              <w:rPr>
                <w:sz w:val="23"/>
                <w:szCs w:val="23"/>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14,468</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5,193</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19,661</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19,661</w:t>
            </w:r>
          </w:p>
        </w:tc>
        <w:tc>
          <w:tcPr>
            <w:tcW w:w="0" w:type="dxa"/>
            <w:vAlign w:val="bottom"/>
          </w:tcPr>
          <w:p>
            <w:pPr>
              <w:spacing w:after="0"/>
              <w:rPr>
                <w:sz w:val="1"/>
                <w:szCs w:val="1"/>
                <w:color w:val="auto"/>
              </w:rPr>
            </w:pPr>
          </w:p>
        </w:tc>
      </w:tr>
      <w:tr>
        <w:trPr>
          <w:trHeight w:val="270"/>
        </w:trPr>
        <w:tc>
          <w:tcPr>
            <w:tcW w:w="3500" w:type="dxa"/>
            <w:vAlign w:val="bottom"/>
          </w:tcPr>
          <w:p>
            <w:pPr>
              <w:ind w:left="240"/>
              <w:spacing w:after="0"/>
              <w:rPr>
                <w:sz w:val="20"/>
                <w:szCs w:val="20"/>
                <w:color w:val="auto"/>
              </w:rPr>
            </w:pPr>
            <w:r>
              <w:rPr>
                <w:rFonts w:ascii="Arial" w:cs="Arial" w:eastAsia="Arial" w:hAnsi="Arial"/>
                <w:sz w:val="18"/>
                <w:szCs w:val="18"/>
                <w:color w:val="auto"/>
              </w:rPr>
              <w:t>Pawn service charges</w:t>
            </w:r>
          </w:p>
        </w:tc>
        <w:tc>
          <w:tcPr>
            <w:tcW w:w="200" w:type="dxa"/>
            <w:vAlign w:val="bottom"/>
          </w:tcPr>
          <w:p>
            <w:pPr>
              <w:spacing w:after="0"/>
              <w:rPr>
                <w:sz w:val="23"/>
                <w:szCs w:val="23"/>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126,023</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39,295</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165,318</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165,318</w:t>
            </w:r>
          </w:p>
        </w:tc>
        <w:tc>
          <w:tcPr>
            <w:tcW w:w="0" w:type="dxa"/>
            <w:vAlign w:val="bottom"/>
          </w:tcPr>
          <w:p>
            <w:pPr>
              <w:spacing w:after="0"/>
              <w:rPr>
                <w:sz w:val="1"/>
                <w:szCs w:val="1"/>
                <w:color w:val="auto"/>
              </w:rPr>
            </w:pPr>
          </w:p>
        </w:tc>
      </w:tr>
      <w:tr>
        <w:trPr>
          <w:trHeight w:val="270"/>
        </w:trPr>
        <w:tc>
          <w:tcPr>
            <w:tcW w:w="3500" w:type="dxa"/>
            <w:vAlign w:val="bottom"/>
          </w:tcPr>
          <w:p>
            <w:pPr>
              <w:ind w:left="240"/>
              <w:spacing w:after="0"/>
              <w:rPr>
                <w:sz w:val="20"/>
                <w:szCs w:val="20"/>
                <w:color w:val="auto"/>
              </w:rPr>
            </w:pPr>
            <w:r>
              <w:rPr>
                <w:rFonts w:ascii="Arial" w:cs="Arial" w:eastAsia="Arial" w:hAnsi="Arial"/>
                <w:sz w:val="18"/>
                <w:szCs w:val="18"/>
                <w:color w:val="auto"/>
              </w:rPr>
              <w:t>Other revenues</w:t>
            </w:r>
          </w:p>
        </w:tc>
        <w:tc>
          <w:tcPr>
            <w:tcW w:w="200" w:type="dxa"/>
            <w:vAlign w:val="bottom"/>
          </w:tcPr>
          <w:p>
            <w:pPr>
              <w:spacing w:after="0"/>
              <w:rPr>
                <w:sz w:val="23"/>
                <w:szCs w:val="23"/>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91</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3,004</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3,162</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3,162</w:t>
            </w: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500" w:type="dxa"/>
            <w:vAlign w:val="bottom"/>
          </w:tcPr>
          <w:p>
            <w:pPr>
              <w:ind w:left="460"/>
              <w:spacing w:after="0"/>
              <w:rPr>
                <w:sz w:val="20"/>
                <w:szCs w:val="20"/>
                <w:color w:val="auto"/>
              </w:rPr>
            </w:pPr>
            <w:r>
              <w:rPr>
                <w:rFonts w:ascii="Arial" w:cs="Arial" w:eastAsia="Arial" w:hAnsi="Arial"/>
                <w:sz w:val="18"/>
                <w:szCs w:val="18"/>
                <w:color w:val="auto"/>
              </w:rPr>
              <w:t>Total revenues</w:t>
            </w:r>
          </w:p>
        </w:tc>
        <w:tc>
          <w:tcPr>
            <w:tcW w:w="200" w:type="dxa"/>
            <w:vAlign w:val="bottom"/>
          </w:tcPr>
          <w:p>
            <w:pPr>
              <w:spacing w:after="0"/>
              <w:rPr>
                <w:sz w:val="20"/>
                <w:szCs w:val="20"/>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332,317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95,104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3,004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430,425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430,425</w:t>
            </w:r>
          </w:p>
        </w:tc>
        <w:tc>
          <w:tcPr>
            <w:tcW w:w="0" w:type="dxa"/>
            <w:vAlign w:val="bottom"/>
          </w:tcPr>
          <w:p>
            <w:pPr>
              <w:spacing w:after="0"/>
              <w:rPr>
                <w:sz w:val="1"/>
                <w:szCs w:val="1"/>
                <w:color w:val="auto"/>
              </w:rPr>
            </w:pPr>
          </w:p>
        </w:tc>
      </w:tr>
      <w:tr>
        <w:trPr>
          <w:trHeight w:val="270"/>
        </w:trPr>
        <w:tc>
          <w:tcPr>
            <w:tcW w:w="3500" w:type="dxa"/>
            <w:vAlign w:val="bottom"/>
          </w:tcPr>
          <w:p>
            <w:pPr>
              <w:spacing w:after="0"/>
              <w:rPr>
                <w:sz w:val="20"/>
                <w:szCs w:val="20"/>
                <w:color w:val="auto"/>
              </w:rPr>
            </w:pPr>
            <w:r>
              <w:rPr>
                <w:rFonts w:ascii="Arial" w:cs="Arial" w:eastAsia="Arial" w:hAnsi="Arial"/>
                <w:sz w:val="18"/>
                <w:szCs w:val="18"/>
                <w:color w:val="auto"/>
              </w:rPr>
              <w:t>Merchandise cost of goods sold</w:t>
            </w:r>
          </w:p>
        </w:tc>
        <w:tc>
          <w:tcPr>
            <w:tcW w:w="200" w:type="dxa"/>
            <w:vAlign w:val="bottom"/>
          </w:tcPr>
          <w:p>
            <w:pPr>
              <w:spacing w:after="0"/>
              <w:rPr>
                <w:sz w:val="23"/>
                <w:szCs w:val="23"/>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120,076</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34,836</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154,912</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154,912</w:t>
            </w:r>
          </w:p>
        </w:tc>
        <w:tc>
          <w:tcPr>
            <w:tcW w:w="0" w:type="dxa"/>
            <w:vAlign w:val="bottom"/>
          </w:tcPr>
          <w:p>
            <w:pPr>
              <w:spacing w:after="0"/>
              <w:rPr>
                <w:sz w:val="1"/>
                <w:szCs w:val="1"/>
                <w:color w:val="auto"/>
              </w:rPr>
            </w:pPr>
          </w:p>
        </w:tc>
      </w:tr>
      <w:tr>
        <w:trPr>
          <w:trHeight w:val="270"/>
        </w:trPr>
        <w:tc>
          <w:tcPr>
            <w:tcW w:w="3500" w:type="dxa"/>
            <w:vAlign w:val="bottom"/>
          </w:tcPr>
          <w:p>
            <w:pPr>
              <w:spacing w:after="0"/>
              <w:rPr>
                <w:sz w:val="20"/>
                <w:szCs w:val="20"/>
                <w:color w:val="auto"/>
              </w:rPr>
            </w:pPr>
            <w:r>
              <w:rPr>
                <w:rFonts w:ascii="Arial" w:cs="Arial" w:eastAsia="Arial" w:hAnsi="Arial"/>
                <w:sz w:val="18"/>
                <w:szCs w:val="18"/>
                <w:color w:val="auto"/>
              </w:rPr>
              <w:t>Jewelry scrapping cost of goods sold</w:t>
            </w:r>
          </w:p>
        </w:tc>
        <w:tc>
          <w:tcPr>
            <w:tcW w:w="200" w:type="dxa"/>
            <w:vAlign w:val="bottom"/>
          </w:tcPr>
          <w:p>
            <w:pPr>
              <w:spacing w:after="0"/>
              <w:rPr>
                <w:sz w:val="23"/>
                <w:szCs w:val="23"/>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12,081</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4,802</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16,883</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16,883</w:t>
            </w:r>
          </w:p>
        </w:tc>
        <w:tc>
          <w:tcPr>
            <w:tcW w:w="0" w:type="dxa"/>
            <w:vAlign w:val="bottom"/>
          </w:tcPr>
          <w:p>
            <w:pPr>
              <w:spacing w:after="0"/>
              <w:rPr>
                <w:sz w:val="1"/>
                <w:szCs w:val="1"/>
                <w:color w:val="auto"/>
              </w:rPr>
            </w:pPr>
          </w:p>
        </w:tc>
      </w:tr>
      <w:tr>
        <w:trPr>
          <w:trHeight w:val="270"/>
        </w:trPr>
        <w:tc>
          <w:tcPr>
            <w:tcW w:w="3500" w:type="dxa"/>
            <w:vAlign w:val="bottom"/>
          </w:tcPr>
          <w:p>
            <w:pPr>
              <w:spacing w:after="0"/>
              <w:rPr>
                <w:sz w:val="20"/>
                <w:szCs w:val="20"/>
                <w:color w:val="auto"/>
              </w:rPr>
            </w:pPr>
            <w:r>
              <w:rPr>
                <w:rFonts w:ascii="Arial" w:cs="Arial" w:eastAsia="Arial" w:hAnsi="Arial"/>
                <w:sz w:val="18"/>
                <w:szCs w:val="18"/>
                <w:color w:val="auto"/>
              </w:rPr>
              <w:t>Other cost of revenues</w:t>
            </w:r>
          </w:p>
        </w:tc>
        <w:tc>
          <w:tcPr>
            <w:tcW w:w="200" w:type="dxa"/>
            <w:vAlign w:val="bottom"/>
          </w:tcPr>
          <w:p>
            <w:pPr>
              <w:spacing w:after="0"/>
              <w:rPr>
                <w:sz w:val="23"/>
                <w:szCs w:val="23"/>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891</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891</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891</w:t>
            </w: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500" w:type="dxa"/>
            <w:vAlign w:val="bottom"/>
          </w:tcPr>
          <w:p>
            <w:pPr>
              <w:ind w:left="460"/>
              <w:spacing w:after="0"/>
              <w:rPr>
                <w:sz w:val="20"/>
                <w:szCs w:val="20"/>
                <w:color w:val="auto"/>
              </w:rPr>
            </w:pPr>
            <w:r>
              <w:rPr>
                <w:rFonts w:ascii="Arial" w:cs="Arial" w:eastAsia="Arial" w:hAnsi="Arial"/>
                <w:sz w:val="18"/>
                <w:szCs w:val="18"/>
                <w:color w:val="auto"/>
              </w:rPr>
              <w:t>Net revenues</w:t>
            </w:r>
          </w:p>
        </w:tc>
        <w:tc>
          <w:tcPr>
            <w:tcW w:w="200" w:type="dxa"/>
            <w:vAlign w:val="bottom"/>
          </w:tcPr>
          <w:p>
            <w:pPr>
              <w:spacing w:after="0"/>
              <w:rPr>
                <w:sz w:val="20"/>
                <w:szCs w:val="20"/>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200,160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55,466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2,113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257,739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257,739</w:t>
            </w:r>
          </w:p>
        </w:tc>
        <w:tc>
          <w:tcPr>
            <w:tcW w:w="0" w:type="dxa"/>
            <w:vAlign w:val="bottom"/>
          </w:tcPr>
          <w:p>
            <w:pPr>
              <w:spacing w:after="0"/>
              <w:rPr>
                <w:sz w:val="1"/>
                <w:szCs w:val="1"/>
                <w:color w:val="auto"/>
              </w:rPr>
            </w:pPr>
          </w:p>
        </w:tc>
      </w:tr>
      <w:tr>
        <w:trPr>
          <w:trHeight w:val="270"/>
        </w:trPr>
        <w:tc>
          <w:tcPr>
            <w:tcW w:w="3500" w:type="dxa"/>
            <w:vAlign w:val="bottom"/>
          </w:tcPr>
          <w:p>
            <w:pPr>
              <w:spacing w:after="0"/>
              <w:rPr>
                <w:sz w:val="20"/>
                <w:szCs w:val="20"/>
                <w:color w:val="auto"/>
              </w:rPr>
            </w:pPr>
            <w:r>
              <w:rPr>
                <w:rFonts w:ascii="Arial" w:cs="Arial" w:eastAsia="Arial" w:hAnsi="Arial"/>
                <w:sz w:val="18"/>
                <w:szCs w:val="18"/>
                <w:color w:val="auto"/>
                <w:w w:val="99"/>
              </w:rPr>
              <w:t>Segment and corporate expenses (income):</w:t>
            </w:r>
          </w:p>
        </w:tc>
        <w:tc>
          <w:tcPr>
            <w:tcW w:w="2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500" w:type="dxa"/>
            <w:vAlign w:val="bottom"/>
          </w:tcPr>
          <w:p>
            <w:pPr>
              <w:ind w:left="240"/>
              <w:spacing w:after="0"/>
              <w:rPr>
                <w:sz w:val="20"/>
                <w:szCs w:val="20"/>
                <w:color w:val="auto"/>
              </w:rPr>
            </w:pPr>
            <w:r>
              <w:rPr>
                <w:rFonts w:ascii="Arial" w:cs="Arial" w:eastAsia="Arial" w:hAnsi="Arial"/>
                <w:sz w:val="18"/>
                <w:szCs w:val="18"/>
                <w:color w:val="auto"/>
              </w:rPr>
              <w:t>Operations</w:t>
            </w:r>
          </w:p>
        </w:tc>
        <w:tc>
          <w:tcPr>
            <w:tcW w:w="200" w:type="dxa"/>
            <w:vAlign w:val="bottom"/>
          </w:tcPr>
          <w:p>
            <w:pPr>
              <w:spacing w:after="0"/>
              <w:rPr>
                <w:sz w:val="23"/>
                <w:szCs w:val="23"/>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135,435</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36,419</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5,175</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177,029</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177,029</w:t>
            </w:r>
          </w:p>
        </w:tc>
        <w:tc>
          <w:tcPr>
            <w:tcW w:w="0" w:type="dxa"/>
            <w:vAlign w:val="bottom"/>
          </w:tcPr>
          <w:p>
            <w:pPr>
              <w:spacing w:after="0"/>
              <w:rPr>
                <w:sz w:val="1"/>
                <w:szCs w:val="1"/>
                <w:color w:val="auto"/>
              </w:rPr>
            </w:pPr>
          </w:p>
        </w:tc>
      </w:tr>
      <w:tr>
        <w:trPr>
          <w:trHeight w:val="270"/>
        </w:trPr>
        <w:tc>
          <w:tcPr>
            <w:tcW w:w="3500" w:type="dxa"/>
            <w:vAlign w:val="bottom"/>
          </w:tcPr>
          <w:p>
            <w:pPr>
              <w:ind w:left="240"/>
              <w:spacing w:after="0"/>
              <w:rPr>
                <w:sz w:val="20"/>
                <w:szCs w:val="20"/>
                <w:color w:val="auto"/>
              </w:rPr>
            </w:pPr>
            <w:r>
              <w:rPr>
                <w:rFonts w:ascii="Arial" w:cs="Arial" w:eastAsia="Arial" w:hAnsi="Arial"/>
                <w:sz w:val="18"/>
                <w:szCs w:val="18"/>
                <w:color w:val="auto"/>
              </w:rPr>
              <w:t>Administrative</w:t>
            </w:r>
          </w:p>
        </w:tc>
        <w:tc>
          <w:tcPr>
            <w:tcW w:w="200" w:type="dxa"/>
            <w:vAlign w:val="bottom"/>
          </w:tcPr>
          <w:p>
            <w:pPr>
              <w:spacing w:after="0"/>
              <w:rPr>
                <w:sz w:val="23"/>
                <w:szCs w:val="23"/>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31,742</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31,742</w:t>
            </w:r>
          </w:p>
        </w:tc>
        <w:tc>
          <w:tcPr>
            <w:tcW w:w="0" w:type="dxa"/>
            <w:vAlign w:val="bottom"/>
          </w:tcPr>
          <w:p>
            <w:pPr>
              <w:spacing w:after="0"/>
              <w:rPr>
                <w:sz w:val="1"/>
                <w:szCs w:val="1"/>
                <w:color w:val="auto"/>
              </w:rPr>
            </w:pPr>
          </w:p>
        </w:tc>
      </w:tr>
      <w:tr>
        <w:trPr>
          <w:trHeight w:val="270"/>
        </w:trPr>
        <w:tc>
          <w:tcPr>
            <w:tcW w:w="3500" w:type="dxa"/>
            <w:vAlign w:val="bottom"/>
          </w:tcPr>
          <w:p>
            <w:pPr>
              <w:ind w:left="240"/>
              <w:spacing w:after="0"/>
              <w:rPr>
                <w:sz w:val="20"/>
                <w:szCs w:val="20"/>
                <w:color w:val="auto"/>
              </w:rPr>
            </w:pPr>
            <w:r>
              <w:rPr>
                <w:rFonts w:ascii="Arial" w:cs="Arial" w:eastAsia="Arial" w:hAnsi="Arial"/>
                <w:sz w:val="18"/>
                <w:szCs w:val="18"/>
                <w:color w:val="auto"/>
              </w:rPr>
              <w:t>Depreciation and amortization</w:t>
            </w:r>
          </w:p>
        </w:tc>
        <w:tc>
          <w:tcPr>
            <w:tcW w:w="200" w:type="dxa"/>
            <w:vAlign w:val="bottom"/>
          </w:tcPr>
          <w:p>
            <w:pPr>
              <w:spacing w:after="0"/>
              <w:rPr>
                <w:sz w:val="23"/>
                <w:szCs w:val="23"/>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6,017</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2,917</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9,052</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4,808</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13,860</w:t>
            </w:r>
          </w:p>
        </w:tc>
        <w:tc>
          <w:tcPr>
            <w:tcW w:w="0" w:type="dxa"/>
            <w:vAlign w:val="bottom"/>
          </w:tcPr>
          <w:p>
            <w:pPr>
              <w:spacing w:after="0"/>
              <w:rPr>
                <w:sz w:val="1"/>
                <w:szCs w:val="1"/>
                <w:color w:val="auto"/>
              </w:rPr>
            </w:pPr>
          </w:p>
        </w:tc>
      </w:tr>
      <w:tr>
        <w:trPr>
          <w:trHeight w:val="270"/>
        </w:trPr>
        <w:tc>
          <w:tcPr>
            <w:tcW w:w="3500" w:type="dxa"/>
            <w:vAlign w:val="bottom"/>
          </w:tcPr>
          <w:p>
            <w:pPr>
              <w:ind w:left="240"/>
              <w:spacing w:after="0"/>
              <w:rPr>
                <w:sz w:val="20"/>
                <w:szCs w:val="20"/>
                <w:color w:val="auto"/>
              </w:rPr>
            </w:pPr>
            <w:r>
              <w:rPr>
                <w:rFonts w:ascii="Arial" w:cs="Arial" w:eastAsia="Arial" w:hAnsi="Arial"/>
                <w:sz w:val="18"/>
                <w:szCs w:val="18"/>
                <w:color w:val="auto"/>
                <w:w w:val="92"/>
              </w:rPr>
              <w:t>Loss on sale or disposal of assets and other</w:t>
            </w:r>
          </w:p>
        </w:tc>
        <w:tc>
          <w:tcPr>
            <w:tcW w:w="200" w:type="dxa"/>
            <w:vAlign w:val="bottom"/>
          </w:tcPr>
          <w:p>
            <w:pPr>
              <w:spacing w:after="0"/>
              <w:rPr>
                <w:sz w:val="23"/>
                <w:szCs w:val="23"/>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2,852</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751</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3,619</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3,619</w:t>
            </w:r>
          </w:p>
        </w:tc>
        <w:tc>
          <w:tcPr>
            <w:tcW w:w="0" w:type="dxa"/>
            <w:vAlign w:val="bottom"/>
          </w:tcPr>
          <w:p>
            <w:pPr>
              <w:spacing w:after="0"/>
              <w:rPr>
                <w:sz w:val="1"/>
                <w:szCs w:val="1"/>
                <w:color w:val="auto"/>
              </w:rPr>
            </w:pPr>
          </w:p>
        </w:tc>
      </w:tr>
      <w:tr>
        <w:trPr>
          <w:trHeight w:val="270"/>
        </w:trPr>
        <w:tc>
          <w:tcPr>
            <w:tcW w:w="3500" w:type="dxa"/>
            <w:vAlign w:val="bottom"/>
          </w:tcPr>
          <w:p>
            <w:pPr>
              <w:ind w:left="240"/>
              <w:spacing w:after="0"/>
              <w:rPr>
                <w:sz w:val="20"/>
                <w:szCs w:val="20"/>
                <w:color w:val="auto"/>
              </w:rPr>
            </w:pPr>
            <w:r>
              <w:rPr>
                <w:rFonts w:ascii="Arial" w:cs="Arial" w:eastAsia="Arial" w:hAnsi="Arial"/>
                <w:sz w:val="18"/>
                <w:szCs w:val="18"/>
                <w:color w:val="auto"/>
              </w:rPr>
              <w:t>Interest expense</w:t>
            </w:r>
          </w:p>
        </w:tc>
        <w:tc>
          <w:tcPr>
            <w:tcW w:w="200" w:type="dxa"/>
            <w:vAlign w:val="bottom"/>
          </w:tcPr>
          <w:p>
            <w:pPr>
              <w:spacing w:after="0"/>
              <w:rPr>
                <w:sz w:val="23"/>
                <w:szCs w:val="23"/>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204</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283</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17,097</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17,380</w:t>
            </w:r>
          </w:p>
        </w:tc>
        <w:tc>
          <w:tcPr>
            <w:tcW w:w="0" w:type="dxa"/>
            <w:vAlign w:val="bottom"/>
          </w:tcPr>
          <w:p>
            <w:pPr>
              <w:spacing w:after="0"/>
              <w:rPr>
                <w:sz w:val="1"/>
                <w:szCs w:val="1"/>
                <w:color w:val="auto"/>
              </w:rPr>
            </w:pPr>
          </w:p>
        </w:tc>
      </w:tr>
      <w:tr>
        <w:trPr>
          <w:trHeight w:val="270"/>
        </w:trPr>
        <w:tc>
          <w:tcPr>
            <w:tcW w:w="3500" w:type="dxa"/>
            <w:vAlign w:val="bottom"/>
          </w:tcPr>
          <w:p>
            <w:pPr>
              <w:ind w:left="240"/>
              <w:spacing w:after="0"/>
              <w:rPr>
                <w:sz w:val="20"/>
                <w:szCs w:val="20"/>
                <w:color w:val="auto"/>
              </w:rPr>
            </w:pPr>
            <w:r>
              <w:rPr>
                <w:rFonts w:ascii="Arial" w:cs="Arial" w:eastAsia="Arial" w:hAnsi="Arial"/>
                <w:sz w:val="18"/>
                <w:szCs w:val="18"/>
                <w:color w:val="auto"/>
              </w:rPr>
              <w:t>Interest income</w:t>
            </w:r>
          </w:p>
        </w:tc>
        <w:tc>
          <w:tcPr>
            <w:tcW w:w="200" w:type="dxa"/>
            <w:vAlign w:val="bottom"/>
          </w:tcPr>
          <w:p>
            <w:pPr>
              <w:spacing w:after="0"/>
              <w:rPr>
                <w:sz w:val="23"/>
                <w:szCs w:val="23"/>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(850)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(850)</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(5,615)</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(6,465)</w:t>
            </w:r>
          </w:p>
        </w:tc>
        <w:tc>
          <w:tcPr>
            <w:tcW w:w="0" w:type="dxa"/>
            <w:vAlign w:val="bottom"/>
          </w:tcPr>
          <w:p>
            <w:pPr>
              <w:spacing w:after="0"/>
              <w:rPr>
                <w:sz w:val="1"/>
                <w:szCs w:val="1"/>
                <w:color w:val="auto"/>
              </w:rPr>
            </w:pPr>
          </w:p>
        </w:tc>
      </w:tr>
      <w:tr>
        <w:trPr>
          <w:trHeight w:val="256"/>
        </w:trPr>
        <w:tc>
          <w:tcPr>
            <w:tcW w:w="3500" w:type="dxa"/>
            <w:vAlign w:val="bottom"/>
          </w:tcPr>
          <w:p>
            <w:pPr>
              <w:ind w:left="240"/>
              <w:spacing w:after="0"/>
              <w:rPr>
                <w:sz w:val="20"/>
                <w:szCs w:val="20"/>
                <w:color w:val="auto"/>
              </w:rPr>
            </w:pPr>
            <w:r>
              <w:rPr>
                <w:rFonts w:ascii="Arial" w:cs="Arial" w:eastAsia="Arial" w:hAnsi="Arial"/>
                <w:sz w:val="18"/>
                <w:szCs w:val="18"/>
                <w:color w:val="auto"/>
              </w:rPr>
              <w:t>Equity in net loss of unconsolidated</w:t>
            </w:r>
          </w:p>
        </w:tc>
        <w:tc>
          <w:tcPr>
            <w:tcW w:w="2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3500" w:type="dxa"/>
            <w:vAlign w:val="bottom"/>
          </w:tcPr>
          <w:p>
            <w:pPr>
              <w:ind w:left="240"/>
              <w:spacing w:after="0"/>
              <w:rPr>
                <w:sz w:val="20"/>
                <w:szCs w:val="20"/>
                <w:color w:val="auto"/>
              </w:rPr>
            </w:pPr>
            <w:r>
              <w:rPr>
                <w:rFonts w:ascii="Arial" w:cs="Arial" w:eastAsia="Arial" w:hAnsi="Arial"/>
                <w:sz w:val="18"/>
                <w:szCs w:val="18"/>
                <w:color w:val="auto"/>
              </w:rPr>
              <w:t>affiliates</w:t>
            </w:r>
          </w:p>
        </w:tc>
        <w:tc>
          <w:tcPr>
            <w:tcW w:w="20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688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688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688</w:t>
            </w:r>
          </w:p>
        </w:tc>
        <w:tc>
          <w:tcPr>
            <w:tcW w:w="0" w:type="dxa"/>
            <w:vAlign w:val="bottom"/>
          </w:tcPr>
          <w:p>
            <w:pPr>
              <w:spacing w:after="0"/>
              <w:rPr>
                <w:sz w:val="1"/>
                <w:szCs w:val="1"/>
                <w:color w:val="auto"/>
              </w:rPr>
            </w:pPr>
          </w:p>
        </w:tc>
      </w:tr>
      <w:tr>
        <w:trPr>
          <w:trHeight w:val="256"/>
        </w:trPr>
        <w:tc>
          <w:tcPr>
            <w:tcW w:w="3500" w:type="dxa"/>
            <w:vAlign w:val="bottom"/>
          </w:tcPr>
          <w:p>
            <w:pPr>
              <w:ind w:left="240"/>
              <w:spacing w:after="0"/>
              <w:rPr>
                <w:sz w:val="20"/>
                <w:szCs w:val="20"/>
                <w:color w:val="auto"/>
              </w:rPr>
            </w:pPr>
            <w:r>
              <w:rPr>
                <w:rFonts w:ascii="Arial" w:cs="Arial" w:eastAsia="Arial" w:hAnsi="Arial"/>
                <w:sz w:val="18"/>
                <w:szCs w:val="18"/>
                <w:color w:val="auto"/>
                <w:w w:val="93"/>
              </w:rPr>
              <w:t>Impairment of investment in unconsolidated</w:t>
            </w:r>
          </w:p>
        </w:tc>
        <w:tc>
          <w:tcPr>
            <w:tcW w:w="2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3500" w:type="dxa"/>
            <w:vAlign w:val="bottom"/>
          </w:tcPr>
          <w:p>
            <w:pPr>
              <w:ind w:left="240"/>
              <w:spacing w:after="0"/>
              <w:rPr>
                <w:sz w:val="20"/>
                <w:szCs w:val="20"/>
                <w:color w:val="auto"/>
              </w:rPr>
            </w:pPr>
            <w:r>
              <w:rPr>
                <w:rFonts w:ascii="Arial" w:cs="Arial" w:eastAsia="Arial" w:hAnsi="Arial"/>
                <w:sz w:val="18"/>
                <w:szCs w:val="18"/>
                <w:color w:val="auto"/>
              </w:rPr>
              <w:t>affiliates</w:t>
            </w:r>
          </w:p>
        </w:tc>
        <w:tc>
          <w:tcPr>
            <w:tcW w:w="20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19,725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19,725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19,725</w:t>
            </w:r>
          </w:p>
        </w:tc>
        <w:tc>
          <w:tcPr>
            <w:tcW w:w="0" w:type="dxa"/>
            <w:vAlign w:val="bottom"/>
          </w:tcPr>
          <w:p>
            <w:pPr>
              <w:spacing w:after="0"/>
              <w:rPr>
                <w:sz w:val="1"/>
                <w:szCs w:val="1"/>
                <w:color w:val="auto"/>
              </w:rPr>
            </w:pPr>
          </w:p>
        </w:tc>
      </w:tr>
      <w:tr>
        <w:trPr>
          <w:trHeight w:val="270"/>
        </w:trPr>
        <w:tc>
          <w:tcPr>
            <w:tcW w:w="3500" w:type="dxa"/>
            <w:vAlign w:val="bottom"/>
          </w:tcPr>
          <w:p>
            <w:pPr>
              <w:ind w:left="240"/>
              <w:spacing w:after="0"/>
              <w:rPr>
                <w:sz w:val="20"/>
                <w:szCs w:val="20"/>
                <w:color w:val="auto"/>
              </w:rPr>
            </w:pPr>
            <w:r>
              <w:rPr>
                <w:rFonts w:ascii="Arial" w:cs="Arial" w:eastAsia="Arial" w:hAnsi="Arial"/>
                <w:sz w:val="18"/>
                <w:szCs w:val="18"/>
                <w:color w:val="auto"/>
              </w:rPr>
              <w:t>Other (income) expense</w:t>
            </w:r>
          </w:p>
        </w:tc>
        <w:tc>
          <w:tcPr>
            <w:tcW w:w="200" w:type="dxa"/>
            <w:vAlign w:val="bottom"/>
          </w:tcPr>
          <w:p>
            <w:pPr>
              <w:spacing w:after="0"/>
              <w:rPr>
                <w:sz w:val="23"/>
                <w:szCs w:val="23"/>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284</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187</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(304)</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500" w:type="dxa"/>
            <w:vAlign w:val="bottom"/>
          </w:tcPr>
          <w:p>
            <w:pPr>
              <w:spacing w:after="0"/>
              <w:rPr>
                <w:sz w:val="20"/>
                <w:szCs w:val="20"/>
                <w:color w:val="auto"/>
              </w:rPr>
            </w:pPr>
            <w:r>
              <w:rPr>
                <w:rFonts w:ascii="Arial" w:cs="Arial" w:eastAsia="Arial" w:hAnsi="Arial"/>
                <w:sz w:val="18"/>
                <w:szCs w:val="18"/>
                <w:color w:val="auto"/>
              </w:rPr>
              <w:t>Segment contribution (loss)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55,856</w:t>
            </w:r>
          </w:p>
        </w:tc>
        <w:tc>
          <w:tcPr>
            <w:tcW w:w="12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16,247</w:t>
            </w:r>
          </w:p>
        </w:tc>
        <w:tc>
          <w:tcPr>
            <w:tcW w:w="10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(24,097)</w:t>
            </w:r>
          </w:p>
        </w:tc>
        <w:tc>
          <w:tcPr>
            <w:tcW w:w="10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48,006</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500" w:type="dxa"/>
            <w:vAlign w:val="bottom"/>
            <w:vMerge w:val="restart"/>
          </w:tcPr>
          <w:p>
            <w:pPr>
              <w:spacing w:after="0"/>
              <w:rPr>
                <w:sz w:val="20"/>
                <w:szCs w:val="20"/>
                <w:color w:val="auto"/>
              </w:rPr>
            </w:pPr>
            <w:r>
              <w:rPr>
                <w:rFonts w:ascii="Arial" w:cs="Arial" w:eastAsia="Arial" w:hAnsi="Arial"/>
                <w:sz w:val="18"/>
                <w:szCs w:val="18"/>
                <w:color w:val="auto"/>
              </w:rPr>
              <w:t>Income from continuing operations before</w:t>
            </w: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350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vMerge w:val="restart"/>
          </w:tcPr>
          <w:p>
            <w:pPr>
              <w:jc w:val="right"/>
              <w:ind w:right="31"/>
              <w:spacing w:after="0"/>
              <w:rPr>
                <w:sz w:val="20"/>
                <w:szCs w:val="20"/>
                <w:color w:val="auto"/>
              </w:rPr>
            </w:pPr>
            <w:r>
              <w:rPr>
                <w:rFonts w:ascii="Arial" w:cs="Arial" w:eastAsia="Arial" w:hAnsi="Arial"/>
                <w:sz w:val="18"/>
                <w:szCs w:val="18"/>
                <w:color w:val="auto"/>
              </w:rPr>
              <w:t>48,006</w:t>
            </w:r>
          </w:p>
        </w:tc>
        <w:tc>
          <w:tcPr>
            <w:tcW w:w="100" w:type="dxa"/>
            <w:vAlign w:val="bottom"/>
          </w:tcPr>
          <w:p>
            <w:pPr>
              <w:spacing w:after="0"/>
              <w:rPr>
                <w:sz w:val="16"/>
                <w:szCs w:val="16"/>
                <w:color w:val="auto"/>
              </w:rPr>
            </w:pPr>
          </w:p>
        </w:tc>
        <w:tc>
          <w:tcPr>
            <w:tcW w:w="340" w:type="dxa"/>
            <w:vAlign w:val="bottom"/>
            <w:vMerge w:val="restart"/>
          </w:tcPr>
          <w:p>
            <w:pPr>
              <w:jc w:val="right"/>
              <w:ind w:right="136"/>
              <w:spacing w:after="0"/>
              <w:rPr>
                <w:sz w:val="20"/>
                <w:szCs w:val="20"/>
                <w:color w:val="auto"/>
              </w:rPr>
            </w:pPr>
            <w:r>
              <w:rPr>
                <w:rFonts w:ascii="Arial" w:cs="Arial" w:eastAsia="Arial" w:hAnsi="Arial"/>
                <w:sz w:val="18"/>
                <w:szCs w:val="18"/>
                <w:color w:val="auto"/>
                <w:w w:val="99"/>
              </w:rPr>
              <w:t>$</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(47,728)</w:t>
            </w:r>
          </w:p>
        </w:tc>
        <w:tc>
          <w:tcPr>
            <w:tcW w:w="120" w:type="dxa"/>
            <w:vAlign w:val="bottom"/>
          </w:tcPr>
          <w:p>
            <w:pPr>
              <w:spacing w:after="0"/>
              <w:rPr>
                <w:sz w:val="16"/>
                <w:szCs w:val="16"/>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vMerge w:val="restart"/>
          </w:tcPr>
          <w:p>
            <w:pPr>
              <w:jc w:val="right"/>
              <w:ind w:right="31"/>
              <w:spacing w:after="0"/>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r>
        <w:trPr>
          <w:trHeight w:val="242"/>
        </w:trPr>
        <w:tc>
          <w:tcPr>
            <w:tcW w:w="3500" w:type="dxa"/>
            <w:vAlign w:val="bottom"/>
          </w:tcPr>
          <w:p>
            <w:pPr>
              <w:spacing w:after="0"/>
              <w:rPr>
                <w:sz w:val="20"/>
                <w:szCs w:val="20"/>
                <w:color w:val="auto"/>
              </w:rPr>
            </w:pPr>
            <w:r>
              <w:rPr>
                <w:rFonts w:ascii="Arial" w:cs="Arial" w:eastAsia="Arial" w:hAnsi="Arial"/>
                <w:sz w:val="18"/>
                <w:szCs w:val="18"/>
                <w:color w:val="auto"/>
              </w:rPr>
              <w:t>income taxes</w:t>
            </w: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vMerge w:val="continue"/>
          </w:tcPr>
          <w:p>
            <w:pPr>
              <w:spacing w:after="0"/>
              <w:rPr>
                <w:sz w:val="20"/>
                <w:szCs w:val="20"/>
                <w:color w:val="auto"/>
              </w:rPr>
            </w:pPr>
          </w:p>
        </w:tc>
        <w:tc>
          <w:tcPr>
            <w:tcW w:w="112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bottom w:val="single" w:sz="8" w:color="auto"/>
            </w:tcBorders>
            <w:vMerge w:val="continue"/>
          </w:tcPr>
          <w:p>
            <w:pPr>
              <w:spacing w:after="0"/>
              <w:rPr>
                <w:sz w:val="20"/>
                <w:szCs w:val="20"/>
                <w:color w:val="auto"/>
              </w:rPr>
            </w:pPr>
          </w:p>
        </w:tc>
        <w:tc>
          <w:tcPr>
            <w:tcW w:w="90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vMerge w:val="continue"/>
          </w:tcPr>
          <w:p>
            <w:pPr>
              <w:spacing w:after="0"/>
              <w:rPr>
                <w:sz w:val="20"/>
                <w:szCs w:val="20"/>
                <w:color w:val="auto"/>
              </w:rPr>
            </w:pPr>
          </w:p>
        </w:tc>
        <w:tc>
          <w:tcPr>
            <w:tcW w:w="10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40"/>
          </w:cols>
          <w:pgMar w:left="300" w:top="738" w:right="259" w:bottom="1440" w:gutter="0" w:footer="0" w:header="0"/>
        </w:sectPr>
      </w:pPr>
    </w:p>
    <w:bookmarkStart w:id="13" w:name="page14"/>
    <w:bookmarkEnd w:id="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6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5"/>
          </w:tcPr>
          <w:p>
            <w:pPr>
              <w:ind w:left="100"/>
              <w:spacing w:after="0"/>
              <w:rPr>
                <w:sz w:val="20"/>
                <w:szCs w:val="20"/>
                <w:color w:val="auto"/>
              </w:rPr>
            </w:pPr>
            <w:r>
              <w:rPr>
                <w:rFonts w:ascii="Arial" w:cs="Arial" w:eastAsia="Arial" w:hAnsi="Arial"/>
                <w:sz w:val="14"/>
                <w:szCs w:val="14"/>
                <w:b w:val="1"/>
                <w:bCs w:val="1"/>
                <w:color w:val="auto"/>
              </w:rPr>
              <w:t>Six Months Ended March 31, 2018</w:t>
            </w:r>
          </w:p>
        </w:tc>
        <w:tc>
          <w:tcPr>
            <w:tcW w:w="3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U.S. Pawn</w:t>
            </w:r>
          </w:p>
        </w:tc>
        <w:tc>
          <w:tcPr>
            <w:tcW w:w="120" w:type="dxa"/>
            <w:vAlign w:val="bottom"/>
          </w:tcPr>
          <w:p>
            <w:pPr>
              <w:spacing w:after="0"/>
              <w:rPr>
                <w:sz w:val="13"/>
                <w:szCs w:val="13"/>
                <w:color w:val="auto"/>
              </w:rPr>
            </w:pPr>
          </w:p>
        </w:tc>
        <w:tc>
          <w:tcPr>
            <w:tcW w:w="112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7"/>
              </w:rPr>
              <w:t>Latin America</w:t>
            </w:r>
          </w:p>
        </w:tc>
        <w:tc>
          <w:tcPr>
            <w:tcW w:w="180" w:type="dxa"/>
            <w:vAlign w:val="bottom"/>
          </w:tcPr>
          <w:p>
            <w:pPr>
              <w:spacing w:after="0"/>
              <w:rPr>
                <w:sz w:val="13"/>
                <w:szCs w:val="13"/>
                <w:color w:val="auto"/>
              </w:rPr>
            </w:pPr>
          </w:p>
        </w:tc>
        <w:tc>
          <w:tcPr>
            <w:tcW w:w="118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rPr>
              <w:t>Other</w:t>
            </w:r>
          </w:p>
        </w:tc>
        <w:tc>
          <w:tcPr>
            <w:tcW w:w="124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Total Segments</w:t>
            </w:r>
          </w:p>
        </w:tc>
        <w:tc>
          <w:tcPr>
            <w:tcW w:w="1360" w:type="dxa"/>
            <w:vAlign w:val="bottom"/>
            <w:gridSpan w:val="3"/>
            <w:vMerge w:val="restart"/>
          </w:tcPr>
          <w:p>
            <w:pPr>
              <w:ind w:left="120"/>
              <w:spacing w:after="0"/>
              <w:rPr>
                <w:sz w:val="20"/>
                <w:szCs w:val="20"/>
                <w:color w:val="auto"/>
              </w:rPr>
            </w:pPr>
            <w:r>
              <w:rPr>
                <w:rFonts w:ascii="Arial" w:cs="Arial" w:eastAsia="Arial" w:hAnsi="Arial"/>
                <w:sz w:val="14"/>
                <w:szCs w:val="14"/>
                <w:b w:val="1"/>
                <w:bCs w:val="1"/>
                <w:color w:val="auto"/>
              </w:rPr>
              <w:t>Corporate Items</w:t>
            </w:r>
          </w:p>
        </w:tc>
        <w:tc>
          <w:tcPr>
            <w:tcW w:w="160" w:type="dxa"/>
            <w:vAlign w:val="bottom"/>
          </w:tcPr>
          <w:p>
            <w:pPr>
              <w:spacing w:after="0"/>
              <w:rPr>
                <w:sz w:val="13"/>
                <w:szCs w:val="13"/>
                <w:color w:val="auto"/>
              </w:rPr>
            </w:pPr>
          </w:p>
        </w:tc>
        <w:tc>
          <w:tcPr>
            <w:tcW w:w="108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3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Pawn</w:t>
            </w:r>
          </w:p>
        </w:tc>
        <w:tc>
          <w:tcPr>
            <w:tcW w:w="180" w:type="dxa"/>
            <w:vAlign w:val="bottom"/>
          </w:tcPr>
          <w:p>
            <w:pPr>
              <w:spacing w:after="0"/>
              <w:rPr>
                <w:sz w:val="16"/>
                <w:szCs w:val="16"/>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7"/>
              </w:rPr>
              <w:t>International</w:t>
            </w:r>
          </w:p>
        </w:tc>
        <w:tc>
          <w:tcPr>
            <w:tcW w:w="1240" w:type="dxa"/>
            <w:vAlign w:val="bottom"/>
            <w:gridSpan w:val="3"/>
            <w:vMerge w:val="continue"/>
          </w:tcPr>
          <w:p>
            <w:pPr>
              <w:spacing w:after="0"/>
              <w:rPr>
                <w:sz w:val="16"/>
                <w:szCs w:val="16"/>
                <w:color w:val="auto"/>
              </w:rPr>
            </w:pPr>
          </w:p>
        </w:tc>
        <w:tc>
          <w:tcPr>
            <w:tcW w:w="136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419"/>
        </w:trPr>
        <w:tc>
          <w:tcPr>
            <w:tcW w:w="3620" w:type="dxa"/>
            <w:vAlign w:val="bottom"/>
          </w:tcPr>
          <w:p>
            <w:pPr>
              <w:spacing w:after="0"/>
              <w:rPr>
                <w:sz w:val="20"/>
                <w:szCs w:val="20"/>
                <w:color w:val="auto"/>
              </w:rPr>
            </w:pPr>
            <w:r>
              <w:rPr>
                <w:rFonts w:ascii="Arial" w:cs="Arial" w:eastAsia="Arial" w:hAnsi="Arial"/>
                <w:sz w:val="18"/>
                <w:szCs w:val="18"/>
                <w:color w:val="auto"/>
              </w:rPr>
              <w:t>Revenues:</w:t>
            </w:r>
          </w:p>
        </w:tc>
        <w:tc>
          <w:tcPr>
            <w:tcW w:w="20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620" w:type="dxa"/>
            <w:vAlign w:val="bottom"/>
          </w:tcPr>
          <w:p>
            <w:pPr>
              <w:ind w:left="240"/>
              <w:spacing w:after="0"/>
              <w:rPr>
                <w:sz w:val="20"/>
                <w:szCs w:val="20"/>
                <w:color w:val="auto"/>
              </w:rPr>
            </w:pPr>
            <w:r>
              <w:rPr>
                <w:rFonts w:ascii="Arial" w:cs="Arial" w:eastAsia="Arial" w:hAnsi="Arial"/>
                <w:sz w:val="18"/>
                <w:szCs w:val="18"/>
                <w:color w:val="auto"/>
              </w:rPr>
              <w:t>Merchandise sales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186,247</w:t>
            </w:r>
          </w:p>
        </w:tc>
        <w:tc>
          <w:tcPr>
            <w:tcW w:w="1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42,286</w:t>
            </w:r>
          </w:p>
        </w:tc>
        <w:tc>
          <w:tcPr>
            <w:tcW w:w="10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4"/>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228,533</w:t>
            </w:r>
          </w:p>
        </w:tc>
        <w:tc>
          <w:tcPr>
            <w:tcW w:w="100" w:type="dxa"/>
            <w:vAlign w:val="bottom"/>
          </w:tcPr>
          <w:p>
            <w:pPr>
              <w:spacing w:after="0"/>
              <w:rPr>
                <w:sz w:val="23"/>
                <w:szCs w:val="23"/>
                <w:color w:val="auto"/>
              </w:rPr>
            </w:pPr>
          </w:p>
        </w:tc>
        <w:tc>
          <w:tcPr>
            <w:tcW w:w="340" w:type="dxa"/>
            <w:vAlign w:val="bottom"/>
          </w:tcPr>
          <w:p>
            <w:pPr>
              <w:jc w:val="right"/>
              <w:ind w:right="136"/>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228,533</w:t>
            </w:r>
          </w:p>
        </w:tc>
        <w:tc>
          <w:tcPr>
            <w:tcW w:w="0" w:type="dxa"/>
            <w:vAlign w:val="bottom"/>
          </w:tcPr>
          <w:p>
            <w:pPr>
              <w:spacing w:after="0"/>
              <w:rPr>
                <w:sz w:val="1"/>
                <w:szCs w:val="1"/>
                <w:color w:val="auto"/>
              </w:rPr>
            </w:pPr>
          </w:p>
        </w:tc>
      </w:tr>
      <w:tr>
        <w:trPr>
          <w:trHeight w:val="270"/>
        </w:trPr>
        <w:tc>
          <w:tcPr>
            <w:tcW w:w="3620" w:type="dxa"/>
            <w:vAlign w:val="bottom"/>
          </w:tcPr>
          <w:p>
            <w:pPr>
              <w:ind w:left="240"/>
              <w:spacing w:after="0"/>
              <w:rPr>
                <w:sz w:val="20"/>
                <w:szCs w:val="20"/>
                <w:color w:val="auto"/>
              </w:rPr>
            </w:pPr>
            <w:r>
              <w:rPr>
                <w:rFonts w:ascii="Arial" w:cs="Arial" w:eastAsia="Arial" w:hAnsi="Arial"/>
                <w:sz w:val="18"/>
                <w:szCs w:val="18"/>
                <w:color w:val="auto"/>
              </w:rPr>
              <w:t>Jewelry scrapping sales</w:t>
            </w:r>
          </w:p>
        </w:tc>
        <w:tc>
          <w:tcPr>
            <w:tcW w:w="200" w:type="dxa"/>
            <w:vAlign w:val="bottom"/>
          </w:tcPr>
          <w:p>
            <w:pPr>
              <w:spacing w:after="0"/>
              <w:rPr>
                <w:sz w:val="23"/>
                <w:szCs w:val="23"/>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16,702</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7,036</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23,738</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23,738</w:t>
            </w:r>
          </w:p>
        </w:tc>
        <w:tc>
          <w:tcPr>
            <w:tcW w:w="0" w:type="dxa"/>
            <w:vAlign w:val="bottom"/>
          </w:tcPr>
          <w:p>
            <w:pPr>
              <w:spacing w:after="0"/>
              <w:rPr>
                <w:sz w:val="1"/>
                <w:szCs w:val="1"/>
                <w:color w:val="auto"/>
              </w:rPr>
            </w:pPr>
          </w:p>
        </w:tc>
      </w:tr>
      <w:tr>
        <w:trPr>
          <w:trHeight w:val="270"/>
        </w:trPr>
        <w:tc>
          <w:tcPr>
            <w:tcW w:w="3620" w:type="dxa"/>
            <w:vAlign w:val="bottom"/>
          </w:tcPr>
          <w:p>
            <w:pPr>
              <w:ind w:left="240"/>
              <w:spacing w:after="0"/>
              <w:rPr>
                <w:sz w:val="20"/>
                <w:szCs w:val="20"/>
                <w:color w:val="auto"/>
              </w:rPr>
            </w:pPr>
            <w:r>
              <w:rPr>
                <w:rFonts w:ascii="Arial" w:cs="Arial" w:eastAsia="Arial" w:hAnsi="Arial"/>
                <w:sz w:val="18"/>
                <w:szCs w:val="18"/>
                <w:color w:val="auto"/>
              </w:rPr>
              <w:t>Pawn service charges</w:t>
            </w:r>
          </w:p>
        </w:tc>
        <w:tc>
          <w:tcPr>
            <w:tcW w:w="200" w:type="dxa"/>
            <w:vAlign w:val="bottom"/>
          </w:tcPr>
          <w:p>
            <w:pPr>
              <w:spacing w:after="0"/>
              <w:rPr>
                <w:sz w:val="23"/>
                <w:szCs w:val="23"/>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118,644</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31,409</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150,053</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150,053</w:t>
            </w:r>
          </w:p>
        </w:tc>
        <w:tc>
          <w:tcPr>
            <w:tcW w:w="0" w:type="dxa"/>
            <w:vAlign w:val="bottom"/>
          </w:tcPr>
          <w:p>
            <w:pPr>
              <w:spacing w:after="0"/>
              <w:rPr>
                <w:sz w:val="1"/>
                <w:szCs w:val="1"/>
                <w:color w:val="auto"/>
              </w:rPr>
            </w:pPr>
          </w:p>
        </w:tc>
      </w:tr>
      <w:tr>
        <w:trPr>
          <w:trHeight w:val="270"/>
        </w:trPr>
        <w:tc>
          <w:tcPr>
            <w:tcW w:w="3620" w:type="dxa"/>
            <w:vAlign w:val="bottom"/>
          </w:tcPr>
          <w:p>
            <w:pPr>
              <w:ind w:left="240"/>
              <w:spacing w:after="0"/>
              <w:rPr>
                <w:sz w:val="20"/>
                <w:szCs w:val="20"/>
                <w:color w:val="auto"/>
              </w:rPr>
            </w:pPr>
            <w:r>
              <w:rPr>
                <w:rFonts w:ascii="Arial" w:cs="Arial" w:eastAsia="Arial" w:hAnsi="Arial"/>
                <w:sz w:val="18"/>
                <w:szCs w:val="18"/>
                <w:color w:val="auto"/>
              </w:rPr>
              <w:t>Other revenues</w:t>
            </w:r>
          </w:p>
        </w:tc>
        <w:tc>
          <w:tcPr>
            <w:tcW w:w="200" w:type="dxa"/>
            <w:vAlign w:val="bottom"/>
          </w:tcPr>
          <w:p>
            <w:pPr>
              <w:spacing w:after="0"/>
              <w:rPr>
                <w:sz w:val="23"/>
                <w:szCs w:val="23"/>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343</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3,751</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4,244</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4,244</w:t>
            </w:r>
          </w:p>
        </w:tc>
        <w:tc>
          <w:tcPr>
            <w:tcW w:w="0" w:type="dxa"/>
            <w:vAlign w:val="bottom"/>
          </w:tcPr>
          <w:p>
            <w:pPr>
              <w:spacing w:after="0"/>
              <w:rPr>
                <w:sz w:val="1"/>
                <w:szCs w:val="1"/>
                <w:color w:val="auto"/>
              </w:rPr>
            </w:pPr>
          </w:p>
        </w:tc>
      </w:tr>
      <w:tr>
        <w:trPr>
          <w:trHeight w:val="27"/>
        </w:trPr>
        <w:tc>
          <w:tcPr>
            <w:tcW w:w="36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620" w:type="dxa"/>
            <w:vAlign w:val="bottom"/>
          </w:tcPr>
          <w:p>
            <w:pPr>
              <w:ind w:left="460"/>
              <w:spacing w:after="0"/>
              <w:rPr>
                <w:sz w:val="20"/>
                <w:szCs w:val="20"/>
                <w:color w:val="auto"/>
              </w:rPr>
            </w:pPr>
            <w:r>
              <w:rPr>
                <w:rFonts w:ascii="Arial" w:cs="Arial" w:eastAsia="Arial" w:hAnsi="Arial"/>
                <w:sz w:val="18"/>
                <w:szCs w:val="18"/>
                <w:color w:val="auto"/>
              </w:rPr>
              <w:t>Total revenues</w:t>
            </w:r>
          </w:p>
        </w:tc>
        <w:tc>
          <w:tcPr>
            <w:tcW w:w="200" w:type="dxa"/>
            <w:vAlign w:val="bottom"/>
          </w:tcPr>
          <w:p>
            <w:pPr>
              <w:spacing w:after="0"/>
              <w:rPr>
                <w:sz w:val="20"/>
                <w:szCs w:val="20"/>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321,743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81,074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3,751</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406,568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406,568</w:t>
            </w:r>
          </w:p>
        </w:tc>
        <w:tc>
          <w:tcPr>
            <w:tcW w:w="0" w:type="dxa"/>
            <w:vAlign w:val="bottom"/>
          </w:tcPr>
          <w:p>
            <w:pPr>
              <w:spacing w:after="0"/>
              <w:rPr>
                <w:sz w:val="1"/>
                <w:szCs w:val="1"/>
                <w:color w:val="auto"/>
              </w:rPr>
            </w:pPr>
          </w:p>
        </w:tc>
      </w:tr>
      <w:tr>
        <w:trPr>
          <w:trHeight w:val="270"/>
        </w:trPr>
        <w:tc>
          <w:tcPr>
            <w:tcW w:w="3620" w:type="dxa"/>
            <w:vAlign w:val="bottom"/>
          </w:tcPr>
          <w:p>
            <w:pPr>
              <w:spacing w:after="0"/>
              <w:rPr>
                <w:sz w:val="20"/>
                <w:szCs w:val="20"/>
                <w:color w:val="auto"/>
              </w:rPr>
            </w:pPr>
            <w:r>
              <w:rPr>
                <w:rFonts w:ascii="Arial" w:cs="Arial" w:eastAsia="Arial" w:hAnsi="Arial"/>
                <w:sz w:val="18"/>
                <w:szCs w:val="18"/>
                <w:color w:val="auto"/>
              </w:rPr>
              <w:t>Merchandise cost of goods sold</w:t>
            </w:r>
          </w:p>
        </w:tc>
        <w:tc>
          <w:tcPr>
            <w:tcW w:w="200" w:type="dxa"/>
            <w:vAlign w:val="bottom"/>
          </w:tcPr>
          <w:p>
            <w:pPr>
              <w:spacing w:after="0"/>
              <w:rPr>
                <w:sz w:val="23"/>
                <w:szCs w:val="23"/>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114,625</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28,762</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143,387</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143,387</w:t>
            </w:r>
          </w:p>
        </w:tc>
        <w:tc>
          <w:tcPr>
            <w:tcW w:w="0" w:type="dxa"/>
            <w:vAlign w:val="bottom"/>
          </w:tcPr>
          <w:p>
            <w:pPr>
              <w:spacing w:after="0"/>
              <w:rPr>
                <w:sz w:val="1"/>
                <w:szCs w:val="1"/>
                <w:color w:val="auto"/>
              </w:rPr>
            </w:pPr>
          </w:p>
        </w:tc>
      </w:tr>
      <w:tr>
        <w:trPr>
          <w:trHeight w:val="270"/>
        </w:trPr>
        <w:tc>
          <w:tcPr>
            <w:tcW w:w="3620" w:type="dxa"/>
            <w:vAlign w:val="bottom"/>
          </w:tcPr>
          <w:p>
            <w:pPr>
              <w:spacing w:after="0"/>
              <w:rPr>
                <w:sz w:val="20"/>
                <w:szCs w:val="20"/>
                <w:color w:val="auto"/>
              </w:rPr>
            </w:pPr>
            <w:r>
              <w:rPr>
                <w:rFonts w:ascii="Arial" w:cs="Arial" w:eastAsia="Arial" w:hAnsi="Arial"/>
                <w:sz w:val="18"/>
                <w:szCs w:val="18"/>
                <w:color w:val="auto"/>
              </w:rPr>
              <w:t>Jewelry scrapping cost of goods sold</w:t>
            </w:r>
          </w:p>
        </w:tc>
        <w:tc>
          <w:tcPr>
            <w:tcW w:w="200" w:type="dxa"/>
            <w:vAlign w:val="bottom"/>
          </w:tcPr>
          <w:p>
            <w:pPr>
              <w:spacing w:after="0"/>
              <w:rPr>
                <w:sz w:val="23"/>
                <w:szCs w:val="23"/>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13,354</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6,557</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19,911</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19,911</w:t>
            </w:r>
          </w:p>
        </w:tc>
        <w:tc>
          <w:tcPr>
            <w:tcW w:w="0" w:type="dxa"/>
            <w:vAlign w:val="bottom"/>
          </w:tcPr>
          <w:p>
            <w:pPr>
              <w:spacing w:after="0"/>
              <w:rPr>
                <w:sz w:val="1"/>
                <w:szCs w:val="1"/>
                <w:color w:val="auto"/>
              </w:rPr>
            </w:pPr>
          </w:p>
        </w:tc>
      </w:tr>
      <w:tr>
        <w:trPr>
          <w:trHeight w:val="270"/>
        </w:trPr>
        <w:tc>
          <w:tcPr>
            <w:tcW w:w="3620" w:type="dxa"/>
            <w:vAlign w:val="bottom"/>
          </w:tcPr>
          <w:p>
            <w:pPr>
              <w:spacing w:after="0"/>
              <w:rPr>
                <w:sz w:val="20"/>
                <w:szCs w:val="20"/>
                <w:color w:val="auto"/>
              </w:rPr>
            </w:pPr>
            <w:r>
              <w:rPr>
                <w:rFonts w:ascii="Arial" w:cs="Arial" w:eastAsia="Arial" w:hAnsi="Arial"/>
                <w:sz w:val="18"/>
                <w:szCs w:val="18"/>
                <w:color w:val="auto"/>
              </w:rPr>
              <w:t>Other cost of revenues</w:t>
            </w:r>
          </w:p>
        </w:tc>
        <w:tc>
          <w:tcPr>
            <w:tcW w:w="20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924</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924</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924</w:t>
            </w:r>
          </w:p>
        </w:tc>
        <w:tc>
          <w:tcPr>
            <w:tcW w:w="0" w:type="dxa"/>
            <w:vAlign w:val="bottom"/>
          </w:tcPr>
          <w:p>
            <w:pPr>
              <w:spacing w:after="0"/>
              <w:rPr>
                <w:sz w:val="1"/>
                <w:szCs w:val="1"/>
                <w:color w:val="auto"/>
              </w:rPr>
            </w:pPr>
          </w:p>
        </w:tc>
      </w:tr>
      <w:tr>
        <w:trPr>
          <w:trHeight w:val="27"/>
        </w:trPr>
        <w:tc>
          <w:tcPr>
            <w:tcW w:w="36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620" w:type="dxa"/>
            <w:vAlign w:val="bottom"/>
          </w:tcPr>
          <w:p>
            <w:pPr>
              <w:ind w:left="460"/>
              <w:spacing w:after="0"/>
              <w:rPr>
                <w:sz w:val="20"/>
                <w:szCs w:val="20"/>
                <w:color w:val="auto"/>
              </w:rPr>
            </w:pPr>
            <w:r>
              <w:rPr>
                <w:rFonts w:ascii="Arial" w:cs="Arial" w:eastAsia="Arial" w:hAnsi="Arial"/>
                <w:sz w:val="18"/>
                <w:szCs w:val="18"/>
                <w:color w:val="auto"/>
              </w:rPr>
              <w:t>Net revenues</w:t>
            </w:r>
          </w:p>
        </w:tc>
        <w:tc>
          <w:tcPr>
            <w:tcW w:w="200" w:type="dxa"/>
            <w:vAlign w:val="bottom"/>
          </w:tcPr>
          <w:p>
            <w:pPr>
              <w:spacing w:after="0"/>
              <w:rPr>
                <w:sz w:val="20"/>
                <w:szCs w:val="20"/>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193,764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45,755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2,827</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242,346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242,346</w:t>
            </w:r>
          </w:p>
        </w:tc>
        <w:tc>
          <w:tcPr>
            <w:tcW w:w="0" w:type="dxa"/>
            <w:vAlign w:val="bottom"/>
          </w:tcPr>
          <w:p>
            <w:pPr>
              <w:spacing w:after="0"/>
              <w:rPr>
                <w:sz w:val="1"/>
                <w:szCs w:val="1"/>
                <w:color w:val="auto"/>
              </w:rPr>
            </w:pPr>
          </w:p>
        </w:tc>
      </w:tr>
      <w:tr>
        <w:trPr>
          <w:trHeight w:val="270"/>
        </w:trPr>
        <w:tc>
          <w:tcPr>
            <w:tcW w:w="3620" w:type="dxa"/>
            <w:vAlign w:val="bottom"/>
          </w:tcPr>
          <w:p>
            <w:pPr>
              <w:spacing w:after="0"/>
              <w:rPr>
                <w:sz w:val="20"/>
                <w:szCs w:val="20"/>
                <w:color w:val="auto"/>
              </w:rPr>
            </w:pPr>
            <w:r>
              <w:rPr>
                <w:rFonts w:ascii="Arial" w:cs="Arial" w:eastAsia="Arial" w:hAnsi="Arial"/>
                <w:sz w:val="18"/>
                <w:szCs w:val="18"/>
                <w:color w:val="auto"/>
              </w:rPr>
              <w:t>Segment and corporate expenses (income):</w:t>
            </w:r>
          </w:p>
        </w:tc>
        <w:tc>
          <w:tcPr>
            <w:tcW w:w="2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620" w:type="dxa"/>
            <w:vAlign w:val="bottom"/>
          </w:tcPr>
          <w:p>
            <w:pPr>
              <w:ind w:left="240"/>
              <w:spacing w:after="0"/>
              <w:rPr>
                <w:sz w:val="20"/>
                <w:szCs w:val="20"/>
                <w:color w:val="auto"/>
              </w:rPr>
            </w:pPr>
            <w:r>
              <w:rPr>
                <w:rFonts w:ascii="Arial" w:cs="Arial" w:eastAsia="Arial" w:hAnsi="Arial"/>
                <w:sz w:val="18"/>
                <w:szCs w:val="18"/>
                <w:color w:val="auto"/>
              </w:rPr>
              <w:t>Operations</w:t>
            </w:r>
          </w:p>
        </w:tc>
        <w:tc>
          <w:tcPr>
            <w:tcW w:w="200" w:type="dxa"/>
            <w:vAlign w:val="bottom"/>
          </w:tcPr>
          <w:p>
            <w:pPr>
              <w:spacing w:after="0"/>
              <w:rPr>
                <w:sz w:val="23"/>
                <w:szCs w:val="23"/>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131,378</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29,850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4,598</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165,826</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165,826</w:t>
            </w:r>
          </w:p>
        </w:tc>
        <w:tc>
          <w:tcPr>
            <w:tcW w:w="0" w:type="dxa"/>
            <w:vAlign w:val="bottom"/>
          </w:tcPr>
          <w:p>
            <w:pPr>
              <w:spacing w:after="0"/>
              <w:rPr>
                <w:sz w:val="1"/>
                <w:szCs w:val="1"/>
                <w:color w:val="auto"/>
              </w:rPr>
            </w:pPr>
          </w:p>
        </w:tc>
      </w:tr>
      <w:tr>
        <w:trPr>
          <w:trHeight w:val="270"/>
        </w:trPr>
        <w:tc>
          <w:tcPr>
            <w:tcW w:w="3620" w:type="dxa"/>
            <w:vAlign w:val="bottom"/>
          </w:tcPr>
          <w:p>
            <w:pPr>
              <w:ind w:left="240"/>
              <w:spacing w:after="0"/>
              <w:rPr>
                <w:sz w:val="20"/>
                <w:szCs w:val="20"/>
                <w:color w:val="auto"/>
              </w:rPr>
            </w:pPr>
            <w:r>
              <w:rPr>
                <w:rFonts w:ascii="Arial" w:cs="Arial" w:eastAsia="Arial" w:hAnsi="Arial"/>
                <w:sz w:val="18"/>
                <w:szCs w:val="18"/>
                <w:color w:val="auto"/>
              </w:rPr>
              <w:t>Administrative</w:t>
            </w:r>
          </w:p>
        </w:tc>
        <w:tc>
          <w:tcPr>
            <w:tcW w:w="20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26,420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26,420</w:t>
            </w:r>
          </w:p>
        </w:tc>
        <w:tc>
          <w:tcPr>
            <w:tcW w:w="0" w:type="dxa"/>
            <w:vAlign w:val="bottom"/>
          </w:tcPr>
          <w:p>
            <w:pPr>
              <w:spacing w:after="0"/>
              <w:rPr>
                <w:sz w:val="1"/>
                <w:szCs w:val="1"/>
                <w:color w:val="auto"/>
              </w:rPr>
            </w:pPr>
          </w:p>
        </w:tc>
      </w:tr>
      <w:tr>
        <w:trPr>
          <w:trHeight w:val="270"/>
        </w:trPr>
        <w:tc>
          <w:tcPr>
            <w:tcW w:w="3620" w:type="dxa"/>
            <w:vAlign w:val="bottom"/>
          </w:tcPr>
          <w:p>
            <w:pPr>
              <w:ind w:left="240"/>
              <w:spacing w:after="0"/>
              <w:rPr>
                <w:sz w:val="20"/>
                <w:szCs w:val="20"/>
                <w:color w:val="auto"/>
              </w:rPr>
            </w:pPr>
            <w:r>
              <w:rPr>
                <w:rFonts w:ascii="Arial" w:cs="Arial" w:eastAsia="Arial" w:hAnsi="Arial"/>
                <w:sz w:val="18"/>
                <w:szCs w:val="18"/>
                <w:color w:val="auto"/>
              </w:rPr>
              <w:t>Depreciation and amortization</w:t>
            </w:r>
          </w:p>
        </w:tc>
        <w:tc>
          <w:tcPr>
            <w:tcW w:w="200" w:type="dxa"/>
            <w:vAlign w:val="bottom"/>
          </w:tcPr>
          <w:p>
            <w:pPr>
              <w:spacing w:after="0"/>
              <w:rPr>
                <w:sz w:val="23"/>
                <w:szCs w:val="23"/>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6,330</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1,761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94</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8,185</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3,989</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12,174</w:t>
            </w:r>
          </w:p>
        </w:tc>
        <w:tc>
          <w:tcPr>
            <w:tcW w:w="0" w:type="dxa"/>
            <w:vAlign w:val="bottom"/>
          </w:tcPr>
          <w:p>
            <w:pPr>
              <w:spacing w:after="0"/>
              <w:rPr>
                <w:sz w:val="1"/>
                <w:szCs w:val="1"/>
                <w:color w:val="auto"/>
              </w:rPr>
            </w:pPr>
          </w:p>
        </w:tc>
      </w:tr>
      <w:tr>
        <w:trPr>
          <w:trHeight w:val="270"/>
        </w:trPr>
        <w:tc>
          <w:tcPr>
            <w:tcW w:w="3620" w:type="dxa"/>
            <w:vAlign w:val="bottom"/>
          </w:tcPr>
          <w:p>
            <w:pPr>
              <w:ind w:left="240"/>
              <w:spacing w:after="0"/>
              <w:rPr>
                <w:sz w:val="20"/>
                <w:szCs w:val="20"/>
                <w:color w:val="auto"/>
              </w:rPr>
            </w:pPr>
            <w:r>
              <w:rPr>
                <w:rFonts w:ascii="Arial" w:cs="Arial" w:eastAsia="Arial" w:hAnsi="Arial"/>
                <w:sz w:val="18"/>
                <w:szCs w:val="18"/>
                <w:color w:val="auto"/>
              </w:rPr>
              <w:t>Loss on sale or disposal of assets</w:t>
            </w:r>
          </w:p>
        </w:tc>
        <w:tc>
          <w:tcPr>
            <w:tcW w:w="200" w:type="dxa"/>
            <w:vAlign w:val="bottom"/>
          </w:tcPr>
          <w:p>
            <w:pPr>
              <w:spacing w:after="0"/>
              <w:rPr>
                <w:sz w:val="23"/>
                <w:szCs w:val="23"/>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70"/>
        </w:trPr>
        <w:tc>
          <w:tcPr>
            <w:tcW w:w="3620" w:type="dxa"/>
            <w:vAlign w:val="bottom"/>
          </w:tcPr>
          <w:p>
            <w:pPr>
              <w:ind w:left="240"/>
              <w:spacing w:after="0"/>
              <w:rPr>
                <w:sz w:val="20"/>
                <w:szCs w:val="20"/>
                <w:color w:val="auto"/>
              </w:rPr>
            </w:pPr>
            <w:r>
              <w:rPr>
                <w:rFonts w:ascii="Arial" w:cs="Arial" w:eastAsia="Arial" w:hAnsi="Arial"/>
                <w:sz w:val="18"/>
                <w:szCs w:val="18"/>
                <w:color w:val="auto"/>
              </w:rPr>
              <w:t>Interest expense</w:t>
            </w:r>
          </w:p>
        </w:tc>
        <w:tc>
          <w:tcPr>
            <w:tcW w:w="20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11,673</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11,676</w:t>
            </w:r>
          </w:p>
        </w:tc>
        <w:tc>
          <w:tcPr>
            <w:tcW w:w="0" w:type="dxa"/>
            <w:vAlign w:val="bottom"/>
          </w:tcPr>
          <w:p>
            <w:pPr>
              <w:spacing w:after="0"/>
              <w:rPr>
                <w:sz w:val="1"/>
                <w:szCs w:val="1"/>
                <w:color w:val="auto"/>
              </w:rPr>
            </w:pPr>
          </w:p>
        </w:tc>
      </w:tr>
      <w:tr>
        <w:trPr>
          <w:trHeight w:val="270"/>
        </w:trPr>
        <w:tc>
          <w:tcPr>
            <w:tcW w:w="3620" w:type="dxa"/>
            <w:vAlign w:val="bottom"/>
          </w:tcPr>
          <w:p>
            <w:pPr>
              <w:ind w:left="240"/>
              <w:spacing w:after="0"/>
              <w:rPr>
                <w:sz w:val="20"/>
                <w:szCs w:val="20"/>
                <w:color w:val="auto"/>
              </w:rPr>
            </w:pPr>
            <w:r>
              <w:rPr>
                <w:rFonts w:ascii="Arial" w:cs="Arial" w:eastAsia="Arial" w:hAnsi="Arial"/>
                <w:sz w:val="18"/>
                <w:szCs w:val="18"/>
                <w:color w:val="auto"/>
              </w:rPr>
              <w:t>Interest income</w:t>
            </w:r>
          </w:p>
        </w:tc>
        <w:tc>
          <w:tcPr>
            <w:tcW w:w="20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(1,400)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(1,400)</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(7,138)</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(8,538)</w:t>
            </w:r>
          </w:p>
        </w:tc>
        <w:tc>
          <w:tcPr>
            <w:tcW w:w="0" w:type="dxa"/>
            <w:vAlign w:val="bottom"/>
          </w:tcPr>
          <w:p>
            <w:pPr>
              <w:spacing w:after="0"/>
              <w:rPr>
                <w:sz w:val="1"/>
                <w:szCs w:val="1"/>
                <w:color w:val="auto"/>
              </w:rPr>
            </w:pPr>
          </w:p>
        </w:tc>
      </w:tr>
      <w:tr>
        <w:trPr>
          <w:trHeight w:val="256"/>
        </w:trPr>
        <w:tc>
          <w:tcPr>
            <w:tcW w:w="3620" w:type="dxa"/>
            <w:vAlign w:val="bottom"/>
          </w:tcPr>
          <w:p>
            <w:pPr>
              <w:ind w:left="240"/>
              <w:spacing w:after="0"/>
              <w:rPr>
                <w:sz w:val="20"/>
                <w:szCs w:val="20"/>
                <w:color w:val="auto"/>
              </w:rPr>
            </w:pPr>
            <w:r>
              <w:rPr>
                <w:rFonts w:ascii="Arial" w:cs="Arial" w:eastAsia="Arial" w:hAnsi="Arial"/>
                <w:sz w:val="18"/>
                <w:szCs w:val="18"/>
                <w:color w:val="auto"/>
              </w:rPr>
              <w:t>Equity in net income of unconsolidated</w:t>
            </w:r>
          </w:p>
        </w:tc>
        <w:tc>
          <w:tcPr>
            <w:tcW w:w="2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3620" w:type="dxa"/>
            <w:vAlign w:val="bottom"/>
          </w:tcPr>
          <w:p>
            <w:pPr>
              <w:ind w:left="240"/>
              <w:spacing w:after="0"/>
              <w:rPr>
                <w:sz w:val="20"/>
                <w:szCs w:val="20"/>
                <w:color w:val="auto"/>
              </w:rPr>
            </w:pPr>
            <w:r>
              <w:rPr>
                <w:rFonts w:ascii="Arial" w:cs="Arial" w:eastAsia="Arial" w:hAnsi="Arial"/>
                <w:sz w:val="18"/>
                <w:szCs w:val="18"/>
                <w:color w:val="auto"/>
              </w:rPr>
              <w:t>affiliates</w:t>
            </w:r>
          </w:p>
        </w:tc>
        <w:tc>
          <w:tcPr>
            <w:tcW w:w="20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(2,326)</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(2,326)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(2,326)</w:t>
            </w:r>
          </w:p>
        </w:tc>
        <w:tc>
          <w:tcPr>
            <w:tcW w:w="0" w:type="dxa"/>
            <w:vAlign w:val="bottom"/>
          </w:tcPr>
          <w:p>
            <w:pPr>
              <w:spacing w:after="0"/>
              <w:rPr>
                <w:sz w:val="1"/>
                <w:szCs w:val="1"/>
                <w:color w:val="auto"/>
              </w:rPr>
            </w:pPr>
          </w:p>
        </w:tc>
      </w:tr>
      <w:tr>
        <w:trPr>
          <w:trHeight w:val="270"/>
        </w:trPr>
        <w:tc>
          <w:tcPr>
            <w:tcW w:w="3620" w:type="dxa"/>
            <w:vAlign w:val="bottom"/>
          </w:tcPr>
          <w:p>
            <w:pPr>
              <w:ind w:left="240"/>
              <w:spacing w:after="0"/>
              <w:rPr>
                <w:sz w:val="20"/>
                <w:szCs w:val="20"/>
                <w:color w:val="auto"/>
              </w:rPr>
            </w:pPr>
            <w:r>
              <w:rPr>
                <w:rFonts w:ascii="Arial" w:cs="Arial" w:eastAsia="Arial" w:hAnsi="Arial"/>
                <w:sz w:val="18"/>
                <w:szCs w:val="18"/>
                <w:color w:val="auto"/>
              </w:rPr>
              <w:t>Other (income) expense</w:t>
            </w:r>
          </w:p>
        </w:tc>
        <w:tc>
          <w:tcPr>
            <w:tcW w:w="2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(118)</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(179)</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7"/>
        </w:trPr>
        <w:tc>
          <w:tcPr>
            <w:tcW w:w="36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620" w:type="dxa"/>
            <w:vAlign w:val="bottom"/>
          </w:tcPr>
          <w:p>
            <w:pPr>
              <w:spacing w:after="0"/>
              <w:rPr>
                <w:sz w:val="20"/>
                <w:szCs w:val="20"/>
                <w:color w:val="auto"/>
              </w:rPr>
            </w:pPr>
            <w:r>
              <w:rPr>
                <w:rFonts w:ascii="Arial" w:cs="Arial" w:eastAsia="Arial" w:hAnsi="Arial"/>
                <w:sz w:val="18"/>
                <w:szCs w:val="18"/>
                <w:color w:val="auto"/>
              </w:rPr>
              <w:t>Segment contribution</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55,936</w:t>
            </w:r>
          </w:p>
        </w:tc>
        <w:tc>
          <w:tcPr>
            <w:tcW w:w="10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15,422</w:t>
            </w:r>
          </w:p>
        </w:tc>
        <w:tc>
          <w:tcPr>
            <w:tcW w:w="10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579</w:t>
            </w:r>
          </w:p>
        </w:tc>
        <w:tc>
          <w:tcPr>
            <w:tcW w:w="120" w:type="dxa"/>
            <w:vAlign w:val="bottom"/>
          </w:tcPr>
          <w:p>
            <w:pPr>
              <w:spacing w:after="0"/>
              <w:rPr>
                <w:sz w:val="22"/>
                <w:szCs w:val="22"/>
                <w:color w:val="auto"/>
              </w:rPr>
            </w:pPr>
          </w:p>
        </w:tc>
        <w:tc>
          <w:tcPr>
            <w:tcW w:w="28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71,937</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620" w:type="dxa"/>
            <w:vAlign w:val="bottom"/>
            <w:vMerge w:val="restart"/>
          </w:tcPr>
          <w:p>
            <w:pPr>
              <w:spacing w:after="0"/>
              <w:rPr>
                <w:sz w:val="20"/>
                <w:szCs w:val="20"/>
                <w:color w:val="auto"/>
              </w:rPr>
            </w:pPr>
            <w:r>
              <w:rPr>
                <w:rFonts w:ascii="Arial" w:cs="Arial" w:eastAsia="Arial" w:hAnsi="Arial"/>
                <w:sz w:val="18"/>
                <w:szCs w:val="18"/>
                <w:color w:val="auto"/>
              </w:rPr>
              <w:t>Income from continuing operations before</w:t>
            </w: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362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vMerge w:val="restart"/>
          </w:tcPr>
          <w:p>
            <w:pPr>
              <w:jc w:val="right"/>
              <w:ind w:right="74"/>
              <w:spacing w:after="0"/>
              <w:rPr>
                <w:sz w:val="20"/>
                <w:szCs w:val="20"/>
                <w:color w:val="auto"/>
              </w:rPr>
            </w:pPr>
            <w:r>
              <w:rPr>
                <w:rFonts w:ascii="Arial" w:cs="Arial" w:eastAsia="Arial" w:hAnsi="Arial"/>
                <w:sz w:val="18"/>
                <w:szCs w:val="18"/>
                <w:color w:val="auto"/>
                <w:w w:val="99"/>
              </w:rPr>
              <w:t>$</w:t>
            </w:r>
          </w:p>
        </w:tc>
        <w:tc>
          <w:tcPr>
            <w:tcW w:w="860" w:type="dxa"/>
            <w:vAlign w:val="bottom"/>
            <w:vMerge w:val="restart"/>
          </w:tcPr>
          <w:p>
            <w:pPr>
              <w:jc w:val="right"/>
              <w:ind w:right="30"/>
              <w:spacing w:after="0"/>
              <w:rPr>
                <w:sz w:val="20"/>
                <w:szCs w:val="20"/>
                <w:color w:val="auto"/>
              </w:rPr>
            </w:pPr>
            <w:r>
              <w:rPr>
                <w:rFonts w:ascii="Arial" w:cs="Arial" w:eastAsia="Arial" w:hAnsi="Arial"/>
                <w:sz w:val="18"/>
                <w:szCs w:val="18"/>
                <w:color w:val="auto"/>
              </w:rPr>
              <w:t>71,937</w:t>
            </w:r>
          </w:p>
        </w:tc>
        <w:tc>
          <w:tcPr>
            <w:tcW w:w="100" w:type="dxa"/>
            <w:vAlign w:val="bottom"/>
          </w:tcPr>
          <w:p>
            <w:pPr>
              <w:spacing w:after="0"/>
              <w:rPr>
                <w:sz w:val="16"/>
                <w:szCs w:val="16"/>
                <w:color w:val="auto"/>
              </w:rPr>
            </w:pPr>
          </w:p>
        </w:tc>
        <w:tc>
          <w:tcPr>
            <w:tcW w:w="340" w:type="dxa"/>
            <w:vAlign w:val="bottom"/>
            <w:vMerge w:val="restart"/>
          </w:tcPr>
          <w:p>
            <w:pPr>
              <w:jc w:val="right"/>
              <w:ind w:right="136"/>
              <w:spacing w:after="0"/>
              <w:rPr>
                <w:sz w:val="20"/>
                <w:szCs w:val="20"/>
                <w:color w:val="auto"/>
              </w:rPr>
            </w:pPr>
            <w:r>
              <w:rPr>
                <w:rFonts w:ascii="Arial" w:cs="Arial" w:eastAsia="Arial" w:hAnsi="Arial"/>
                <w:sz w:val="18"/>
                <w:szCs w:val="18"/>
                <w:color w:val="auto"/>
                <w:w w:val="99"/>
              </w:rPr>
              <w:t>$</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(34,776)</w:t>
            </w:r>
          </w:p>
        </w:tc>
        <w:tc>
          <w:tcPr>
            <w:tcW w:w="120" w:type="dxa"/>
            <w:vAlign w:val="bottom"/>
          </w:tcPr>
          <w:p>
            <w:pPr>
              <w:spacing w:after="0"/>
              <w:rPr>
                <w:sz w:val="16"/>
                <w:szCs w:val="16"/>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vMerge w:val="restart"/>
          </w:tcPr>
          <w:p>
            <w:pPr>
              <w:jc w:val="right"/>
              <w:ind w:right="31"/>
              <w:spacing w:after="0"/>
              <w:rPr>
                <w:sz w:val="20"/>
                <w:szCs w:val="20"/>
                <w:color w:val="auto"/>
              </w:rPr>
            </w:pPr>
            <w:r>
              <w:rPr>
                <w:rFonts w:ascii="Arial" w:cs="Arial" w:eastAsia="Arial" w:hAnsi="Arial"/>
                <w:sz w:val="18"/>
                <w:szCs w:val="18"/>
                <w:color w:val="auto"/>
              </w:rPr>
              <w:t>37,161</w:t>
            </w:r>
          </w:p>
        </w:tc>
        <w:tc>
          <w:tcPr>
            <w:tcW w:w="0" w:type="dxa"/>
            <w:vAlign w:val="bottom"/>
          </w:tcPr>
          <w:p>
            <w:pPr>
              <w:spacing w:after="0"/>
              <w:rPr>
                <w:sz w:val="1"/>
                <w:szCs w:val="1"/>
                <w:color w:val="auto"/>
              </w:rPr>
            </w:pPr>
          </w:p>
        </w:tc>
      </w:tr>
      <w:tr>
        <w:trPr>
          <w:trHeight w:val="242"/>
        </w:trPr>
        <w:tc>
          <w:tcPr>
            <w:tcW w:w="3620" w:type="dxa"/>
            <w:vAlign w:val="bottom"/>
          </w:tcPr>
          <w:p>
            <w:pPr>
              <w:spacing w:after="0"/>
              <w:rPr>
                <w:sz w:val="20"/>
                <w:szCs w:val="20"/>
                <w:color w:val="auto"/>
              </w:rPr>
            </w:pPr>
            <w:r>
              <w:rPr>
                <w:rFonts w:ascii="Arial" w:cs="Arial" w:eastAsia="Arial" w:hAnsi="Arial"/>
                <w:sz w:val="18"/>
                <w:szCs w:val="18"/>
                <w:color w:val="auto"/>
              </w:rPr>
              <w:t>income taxes</w:t>
            </w: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bottom w:val="single" w:sz="8" w:color="auto"/>
            </w:tcBorders>
            <w:vMerge w:val="continue"/>
          </w:tcPr>
          <w:p>
            <w:pPr>
              <w:spacing w:after="0"/>
              <w:rPr>
                <w:sz w:val="20"/>
                <w:szCs w:val="20"/>
                <w:color w:val="auto"/>
              </w:rPr>
            </w:pPr>
          </w:p>
        </w:tc>
        <w:tc>
          <w:tcPr>
            <w:tcW w:w="86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bottom w:val="single" w:sz="8" w:color="auto"/>
            </w:tcBorders>
            <w:vMerge w:val="continue"/>
          </w:tcPr>
          <w:p>
            <w:pPr>
              <w:spacing w:after="0"/>
              <w:rPr>
                <w:sz w:val="20"/>
                <w:szCs w:val="20"/>
                <w:color w:val="auto"/>
              </w:rPr>
            </w:pPr>
          </w:p>
        </w:tc>
        <w:tc>
          <w:tcPr>
            <w:tcW w:w="90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vMerge w:val="continue"/>
          </w:tcPr>
          <w:p>
            <w:pPr>
              <w:spacing w:after="0"/>
              <w:rPr>
                <w:sz w:val="20"/>
                <w:szCs w:val="20"/>
                <w:color w:val="auto"/>
              </w:rPr>
            </w:pPr>
          </w:p>
        </w:tc>
        <w:tc>
          <w:tcPr>
            <w:tcW w:w="10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40"/>
          </w:cols>
          <w:pgMar w:left="300" w:top="738" w:right="259" w:bottom="1440" w:gutter="0" w:footer="0" w:header="0"/>
        </w:sectPr>
      </w:pPr>
    </w:p>
    <w:bookmarkStart w:id="14" w:name="page15"/>
    <w:bookmarkEnd w:id="14"/>
    <w:p>
      <w:pPr>
        <w:jc w:val="center"/>
        <w:spacing w:after="0"/>
        <w:rPr>
          <w:sz w:val="20"/>
          <w:szCs w:val="20"/>
          <w:color w:val="auto"/>
        </w:rPr>
      </w:pPr>
      <w:r>
        <w:rPr>
          <w:rFonts w:ascii="Arial" w:cs="Arial" w:eastAsia="Arial" w:hAnsi="Arial"/>
          <w:sz w:val="16"/>
          <w:szCs w:val="16"/>
          <w:b w:val="1"/>
          <w:bCs w:val="1"/>
          <w:color w:val="auto"/>
        </w:rPr>
        <w:t>EZCORP,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STORE COUNT ACTIVITY</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(Unaudited)</w:t>
      </w:r>
    </w:p>
    <w:p>
      <w:pPr>
        <w:spacing w:after="0" w:line="164"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602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gridSpan w:val="7"/>
          </w:tcPr>
          <w:p>
            <w:pPr>
              <w:jc w:val="center"/>
              <w:ind w:left="17"/>
              <w:spacing w:after="0"/>
              <w:rPr>
                <w:sz w:val="20"/>
                <w:szCs w:val="20"/>
                <w:color w:val="auto"/>
              </w:rPr>
            </w:pPr>
            <w:r>
              <w:rPr>
                <w:rFonts w:ascii="Arial" w:cs="Arial" w:eastAsia="Arial" w:hAnsi="Arial"/>
                <w:sz w:val="14"/>
                <w:szCs w:val="14"/>
                <w:b w:val="1"/>
                <w:bCs w:val="1"/>
                <w:color w:val="auto"/>
                <w:w w:val="94"/>
              </w:rPr>
              <w:t>Three Months Ended March 31, 2019</w:t>
            </w:r>
          </w:p>
        </w:tc>
        <w:tc>
          <w:tcPr>
            <w:tcW w:w="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6020" w:type="dxa"/>
            <w:vAlign w:val="bottom"/>
          </w:tcPr>
          <w:p>
            <w:pPr>
              <w:spacing w:after="0"/>
              <w:rPr>
                <w:sz w:val="13"/>
                <w:szCs w:val="13"/>
                <w:color w:val="auto"/>
              </w:rPr>
            </w:pPr>
          </w:p>
        </w:tc>
        <w:tc>
          <w:tcPr>
            <w:tcW w:w="116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U.S. Pawn</w:t>
            </w:r>
          </w:p>
        </w:tc>
        <w:tc>
          <w:tcPr>
            <w:tcW w:w="1360" w:type="dxa"/>
            <w:vAlign w:val="bottom"/>
            <w:gridSpan w:val="3"/>
          </w:tcPr>
          <w:p>
            <w:pPr>
              <w:jc w:val="center"/>
              <w:ind w:right="100"/>
              <w:spacing w:after="0" w:line="153" w:lineRule="exact"/>
              <w:rPr>
                <w:sz w:val="20"/>
                <w:szCs w:val="20"/>
                <w:color w:val="auto"/>
              </w:rPr>
            </w:pPr>
            <w:r>
              <w:rPr>
                <w:rFonts w:ascii="Arial" w:cs="Arial" w:eastAsia="Arial" w:hAnsi="Arial"/>
                <w:sz w:val="14"/>
                <w:szCs w:val="14"/>
                <w:b w:val="1"/>
                <w:bCs w:val="1"/>
                <w:color w:val="auto"/>
                <w:w w:val="97"/>
              </w:rPr>
              <w:t>Latin America</w:t>
            </w:r>
          </w:p>
        </w:tc>
        <w:tc>
          <w:tcPr>
            <w:tcW w:w="20" w:type="dxa"/>
            <w:vAlign w:val="bottom"/>
          </w:tcPr>
          <w:p>
            <w:pPr>
              <w:spacing w:after="0"/>
              <w:rPr>
                <w:sz w:val="13"/>
                <w:szCs w:val="13"/>
                <w:color w:val="auto"/>
              </w:rPr>
            </w:pPr>
          </w:p>
        </w:tc>
        <w:tc>
          <w:tcPr>
            <w:tcW w:w="156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Other International</w:t>
            </w:r>
          </w:p>
        </w:tc>
        <w:tc>
          <w:tcPr>
            <w:tcW w:w="20" w:type="dxa"/>
            <w:vAlign w:val="bottom"/>
          </w:tcPr>
          <w:p>
            <w:pPr>
              <w:spacing w:after="0"/>
              <w:rPr>
                <w:sz w:val="13"/>
                <w:szCs w:val="13"/>
                <w:color w:val="auto"/>
              </w:rPr>
            </w:pPr>
          </w:p>
        </w:tc>
        <w:tc>
          <w:tcPr>
            <w:tcW w:w="122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Consolidated</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602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3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2"/>
              </w:rPr>
              <w:t>Pawn</w:t>
            </w:r>
          </w:p>
        </w:tc>
        <w:tc>
          <w:tcPr>
            <w:tcW w:w="20" w:type="dxa"/>
            <w:vAlign w:val="bottom"/>
          </w:tcPr>
          <w:p>
            <w:pPr>
              <w:spacing w:after="0"/>
              <w:rPr>
                <w:sz w:val="16"/>
                <w:szCs w:val="16"/>
                <w:color w:val="auto"/>
              </w:rPr>
            </w:pPr>
          </w:p>
        </w:tc>
        <w:tc>
          <w:tcPr>
            <w:tcW w:w="156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4"/>
        </w:trPr>
        <w:tc>
          <w:tcPr>
            <w:tcW w:w="6020" w:type="dxa"/>
            <w:vAlign w:val="bottom"/>
          </w:tcPr>
          <w:p>
            <w:pPr>
              <w:ind w:left="20"/>
              <w:spacing w:after="0"/>
              <w:rPr>
                <w:sz w:val="20"/>
                <w:szCs w:val="20"/>
                <w:color w:val="auto"/>
              </w:rPr>
            </w:pPr>
            <w:r>
              <w:rPr>
                <w:rFonts w:ascii="Arial" w:cs="Arial" w:eastAsia="Arial" w:hAnsi="Arial"/>
                <w:sz w:val="18"/>
                <w:szCs w:val="18"/>
                <w:color w:val="auto"/>
              </w:rPr>
              <w:t>As of December 31, 2018</w:t>
            </w:r>
          </w:p>
        </w:tc>
        <w:tc>
          <w:tcPr>
            <w:tcW w:w="10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508</w:t>
            </w:r>
          </w:p>
        </w:tc>
        <w:tc>
          <w:tcPr>
            <w:tcW w:w="120" w:type="dxa"/>
            <w:vAlign w:val="bottom"/>
          </w:tcPr>
          <w:p>
            <w:pPr>
              <w:spacing w:after="0"/>
              <w:rPr>
                <w:sz w:val="24"/>
                <w:szCs w:val="24"/>
                <w:color w:val="auto"/>
              </w:rPr>
            </w:pPr>
          </w:p>
        </w:tc>
        <w:tc>
          <w:tcPr>
            <w:tcW w:w="1260" w:type="dxa"/>
            <w:vAlign w:val="bottom"/>
            <w:tcBorders>
              <w:top w:val="single" w:sz="8" w:color="auto"/>
            </w:tcBorders>
          </w:tcPr>
          <w:p>
            <w:pPr>
              <w:jc w:val="right"/>
              <w:ind w:right="37"/>
              <w:spacing w:after="0"/>
              <w:rPr>
                <w:sz w:val="20"/>
                <w:szCs w:val="20"/>
                <w:color w:val="auto"/>
              </w:rPr>
            </w:pPr>
            <w:r>
              <w:rPr>
                <w:rFonts w:ascii="Arial" w:cs="Arial" w:eastAsia="Arial" w:hAnsi="Arial"/>
                <w:sz w:val="18"/>
                <w:szCs w:val="18"/>
                <w:color w:val="auto"/>
              </w:rPr>
              <w:t>462</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60" w:type="dxa"/>
            <w:vAlign w:val="bottom"/>
            <w:tcBorders>
              <w:top w:val="single" w:sz="8" w:color="auto"/>
            </w:tcBorders>
            <w:gridSpan w:val="2"/>
          </w:tcPr>
          <w:p>
            <w:pPr>
              <w:jc w:val="right"/>
              <w:ind w:right="16"/>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Borders>
              <w:top w:val="single" w:sz="8" w:color="auto"/>
            </w:tcBorders>
            <w:gridSpan w:val="2"/>
          </w:tcPr>
          <w:p>
            <w:pPr>
              <w:jc w:val="right"/>
              <w:ind w:right="48"/>
              <w:spacing w:after="0"/>
              <w:rPr>
                <w:sz w:val="20"/>
                <w:szCs w:val="20"/>
                <w:color w:val="auto"/>
              </w:rPr>
            </w:pPr>
            <w:r>
              <w:rPr>
                <w:rFonts w:ascii="Arial" w:cs="Arial" w:eastAsia="Arial" w:hAnsi="Arial"/>
                <w:sz w:val="18"/>
                <w:szCs w:val="18"/>
                <w:color w:val="auto"/>
              </w:rPr>
              <w:t>997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020" w:type="dxa"/>
            <w:vAlign w:val="bottom"/>
          </w:tcPr>
          <w:p>
            <w:pPr>
              <w:ind w:left="260"/>
              <w:spacing w:after="0"/>
              <w:rPr>
                <w:sz w:val="20"/>
                <w:szCs w:val="20"/>
                <w:color w:val="auto"/>
              </w:rPr>
            </w:pPr>
            <w:r>
              <w:rPr>
                <w:rFonts w:ascii="Arial" w:cs="Arial" w:eastAsia="Arial" w:hAnsi="Arial"/>
                <w:sz w:val="18"/>
                <w:szCs w:val="18"/>
                <w:color w:val="auto"/>
              </w:rPr>
              <w:t>New locations opened</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37"/>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5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8"/>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020" w:type="dxa"/>
            <w:vAlign w:val="bottom"/>
          </w:tcPr>
          <w:p>
            <w:pPr>
              <w:ind w:left="260"/>
              <w:spacing w:after="0"/>
              <w:rPr>
                <w:sz w:val="20"/>
                <w:szCs w:val="20"/>
                <w:color w:val="auto"/>
              </w:rPr>
            </w:pPr>
            <w:r>
              <w:rPr>
                <w:rFonts w:ascii="Arial" w:cs="Arial" w:eastAsia="Arial" w:hAnsi="Arial"/>
                <w:sz w:val="18"/>
                <w:szCs w:val="18"/>
                <w:color w:val="auto"/>
              </w:rPr>
              <w:t>Locations sold, combined or closed</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020" w:type="dxa"/>
            <w:vAlign w:val="bottom"/>
            <w:vMerge w:val="restart"/>
          </w:tcPr>
          <w:p>
            <w:pPr>
              <w:ind w:left="20"/>
              <w:spacing w:after="0"/>
              <w:rPr>
                <w:sz w:val="20"/>
                <w:szCs w:val="20"/>
                <w:color w:val="auto"/>
              </w:rPr>
            </w:pPr>
            <w:r>
              <w:rPr>
                <w:rFonts w:ascii="Arial" w:cs="Arial" w:eastAsia="Arial" w:hAnsi="Arial"/>
                <w:sz w:val="18"/>
                <w:szCs w:val="18"/>
                <w:color w:val="auto"/>
              </w:rPr>
              <w:t>As of March 31, 2019</w:t>
            </w: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20" w:type="dxa"/>
            <w:vAlign w:val="bottom"/>
            <w:vMerge w:val="continue"/>
          </w:tcPr>
          <w:p>
            <w:pPr>
              <w:spacing w:after="0"/>
              <w:rPr>
                <w:sz w:val="20"/>
                <w:szCs w:val="20"/>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508</w:t>
            </w:r>
          </w:p>
        </w:tc>
        <w:tc>
          <w:tcPr>
            <w:tcW w:w="120" w:type="dxa"/>
            <w:vAlign w:val="bottom"/>
          </w:tcPr>
          <w:p>
            <w:pPr>
              <w:spacing w:after="0"/>
              <w:rPr>
                <w:sz w:val="20"/>
                <w:szCs w:val="20"/>
                <w:color w:val="auto"/>
              </w:rPr>
            </w:pPr>
          </w:p>
        </w:tc>
        <w:tc>
          <w:tcPr>
            <w:tcW w:w="1260" w:type="dxa"/>
            <w:vAlign w:val="bottom"/>
          </w:tcPr>
          <w:p>
            <w:pPr>
              <w:jc w:val="right"/>
              <w:ind w:right="37"/>
              <w:spacing w:after="0"/>
              <w:rPr>
                <w:sz w:val="20"/>
                <w:szCs w:val="20"/>
                <w:color w:val="auto"/>
              </w:rPr>
            </w:pPr>
            <w:r>
              <w:rPr>
                <w:rFonts w:ascii="Arial" w:cs="Arial" w:eastAsia="Arial" w:hAnsi="Arial"/>
                <w:sz w:val="18"/>
                <w:szCs w:val="18"/>
                <w:color w:val="auto"/>
              </w:rPr>
              <w:t>466</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60" w:type="dxa"/>
            <w:vAlign w:val="bottom"/>
            <w:gridSpan w:val="2"/>
          </w:tcPr>
          <w:p>
            <w:pPr>
              <w:jc w:val="right"/>
              <w:ind w:right="16"/>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48"/>
              <w:spacing w:after="0"/>
              <w:rPr>
                <w:sz w:val="20"/>
                <w:szCs w:val="20"/>
                <w:color w:val="auto"/>
              </w:rPr>
            </w:pPr>
            <w:r>
              <w:rPr>
                <w:rFonts w:ascii="Arial" w:cs="Arial" w:eastAsia="Arial" w:hAnsi="Arial"/>
                <w:sz w:val="18"/>
                <w:szCs w:val="18"/>
                <w:color w:val="auto"/>
              </w:rPr>
              <w:t>998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0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0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2"/>
        </w:trPr>
        <w:tc>
          <w:tcPr>
            <w:tcW w:w="6020" w:type="dxa"/>
            <w:vAlign w:val="bottom"/>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7"/>
          </w:tcPr>
          <w:p>
            <w:pPr>
              <w:jc w:val="center"/>
              <w:ind w:left="37"/>
              <w:spacing w:after="0"/>
              <w:rPr>
                <w:sz w:val="20"/>
                <w:szCs w:val="20"/>
                <w:color w:val="auto"/>
              </w:rPr>
            </w:pPr>
            <w:r>
              <w:rPr>
                <w:rFonts w:ascii="Arial" w:cs="Arial" w:eastAsia="Arial" w:hAnsi="Arial"/>
                <w:sz w:val="14"/>
                <w:szCs w:val="14"/>
                <w:b w:val="1"/>
                <w:bCs w:val="1"/>
                <w:color w:val="auto"/>
                <w:w w:val="95"/>
              </w:rPr>
              <w:t>Three Months Ended March 31, 2018</w:t>
            </w:r>
          </w:p>
        </w:tc>
        <w:tc>
          <w:tcPr>
            <w:tcW w:w="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6020" w:type="dxa"/>
            <w:vAlign w:val="bottom"/>
          </w:tcPr>
          <w:p>
            <w:pPr>
              <w:spacing w:after="0"/>
              <w:rPr>
                <w:sz w:val="13"/>
                <w:szCs w:val="13"/>
                <w:color w:val="auto"/>
              </w:rPr>
            </w:pPr>
          </w:p>
        </w:tc>
        <w:tc>
          <w:tcPr>
            <w:tcW w:w="104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U.S. Pawn</w:t>
            </w:r>
          </w:p>
        </w:tc>
        <w:tc>
          <w:tcPr>
            <w:tcW w:w="120" w:type="dxa"/>
            <w:vAlign w:val="bottom"/>
            <w:vMerge w:val="restart"/>
          </w:tcPr>
          <w:p>
            <w:pPr>
              <w:spacing w:after="0"/>
              <w:rPr>
                <w:sz w:val="13"/>
                <w:szCs w:val="13"/>
                <w:color w:val="auto"/>
              </w:rPr>
            </w:pPr>
          </w:p>
        </w:tc>
        <w:tc>
          <w:tcPr>
            <w:tcW w:w="1360" w:type="dxa"/>
            <w:vAlign w:val="bottom"/>
            <w:gridSpan w:val="3"/>
          </w:tcPr>
          <w:p>
            <w:pPr>
              <w:jc w:val="center"/>
              <w:ind w:right="100"/>
              <w:spacing w:after="0" w:line="153" w:lineRule="exact"/>
              <w:rPr>
                <w:sz w:val="20"/>
                <w:szCs w:val="20"/>
                <w:color w:val="auto"/>
              </w:rPr>
            </w:pPr>
            <w:r>
              <w:rPr>
                <w:rFonts w:ascii="Arial" w:cs="Arial" w:eastAsia="Arial" w:hAnsi="Arial"/>
                <w:sz w:val="14"/>
                <w:szCs w:val="14"/>
                <w:b w:val="1"/>
                <w:bCs w:val="1"/>
                <w:color w:val="auto"/>
                <w:w w:val="97"/>
              </w:rPr>
              <w:t>Latin America</w:t>
            </w:r>
          </w:p>
        </w:tc>
        <w:tc>
          <w:tcPr>
            <w:tcW w:w="20" w:type="dxa"/>
            <w:vAlign w:val="bottom"/>
          </w:tcPr>
          <w:p>
            <w:pPr>
              <w:spacing w:after="0"/>
              <w:rPr>
                <w:sz w:val="13"/>
                <w:szCs w:val="13"/>
                <w:color w:val="auto"/>
              </w:rPr>
            </w:pPr>
          </w:p>
        </w:tc>
        <w:tc>
          <w:tcPr>
            <w:tcW w:w="14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Other International</w:t>
            </w:r>
          </w:p>
        </w:tc>
        <w:tc>
          <w:tcPr>
            <w:tcW w:w="100" w:type="dxa"/>
            <w:vAlign w:val="bottom"/>
            <w:vMerge w:val="restart"/>
          </w:tcPr>
          <w:p>
            <w:pPr>
              <w:spacing w:after="0"/>
              <w:rPr>
                <w:sz w:val="13"/>
                <w:szCs w:val="13"/>
                <w:color w:val="auto"/>
              </w:rPr>
            </w:pPr>
          </w:p>
        </w:tc>
        <w:tc>
          <w:tcPr>
            <w:tcW w:w="20" w:type="dxa"/>
            <w:vAlign w:val="bottom"/>
          </w:tcPr>
          <w:p>
            <w:pPr>
              <w:spacing w:after="0"/>
              <w:rPr>
                <w:sz w:val="13"/>
                <w:szCs w:val="13"/>
                <w:color w:val="auto"/>
              </w:rPr>
            </w:pPr>
          </w:p>
        </w:tc>
        <w:tc>
          <w:tcPr>
            <w:tcW w:w="122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rPr>
              <w:t>Consolidated</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6020" w:type="dxa"/>
            <w:vAlign w:val="bottom"/>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280" w:type="dxa"/>
            <w:vAlign w:val="bottom"/>
            <w:tcBorders>
              <w:bottom w:val="single" w:sz="8" w:color="auto"/>
            </w:tcBorders>
            <w:gridSpan w:val="2"/>
          </w:tcPr>
          <w:p>
            <w:pPr>
              <w:jc w:val="center"/>
              <w:ind w:right="20"/>
              <w:spacing w:after="0"/>
              <w:rPr>
                <w:sz w:val="20"/>
                <w:szCs w:val="20"/>
                <w:color w:val="auto"/>
              </w:rPr>
            </w:pPr>
            <w:r>
              <w:rPr>
                <w:rFonts w:ascii="Arial" w:cs="Arial" w:eastAsia="Arial" w:hAnsi="Arial"/>
                <w:sz w:val="14"/>
                <w:szCs w:val="14"/>
                <w:b w:val="1"/>
                <w:bCs w:val="1"/>
                <w:color w:val="auto"/>
                <w:w w:val="92"/>
              </w:rPr>
              <w:t>Pawn</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60" w:type="dxa"/>
            <w:vAlign w:val="bottom"/>
            <w:tcBorders>
              <w:bottom w:val="single" w:sz="8" w:color="auto"/>
            </w:tcBorders>
            <w:gridSpan w:val="2"/>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64"/>
        </w:trPr>
        <w:tc>
          <w:tcPr>
            <w:tcW w:w="6020" w:type="dxa"/>
            <w:vAlign w:val="bottom"/>
          </w:tcPr>
          <w:p>
            <w:pPr>
              <w:spacing w:after="0"/>
              <w:rPr>
                <w:sz w:val="20"/>
                <w:szCs w:val="20"/>
                <w:color w:val="auto"/>
              </w:rPr>
            </w:pPr>
            <w:r>
              <w:rPr>
                <w:rFonts w:ascii="Arial" w:cs="Arial" w:eastAsia="Arial" w:hAnsi="Arial"/>
                <w:sz w:val="18"/>
                <w:szCs w:val="18"/>
                <w:color w:val="auto"/>
              </w:rPr>
              <w:t>As of December 31, 2017</w:t>
            </w: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513</w:t>
            </w:r>
          </w:p>
        </w:tc>
        <w:tc>
          <w:tcPr>
            <w:tcW w:w="120" w:type="dxa"/>
            <w:vAlign w:val="bottom"/>
          </w:tcPr>
          <w:p>
            <w:pPr>
              <w:spacing w:after="0"/>
              <w:rPr>
                <w:sz w:val="24"/>
                <w:szCs w:val="24"/>
                <w:color w:val="auto"/>
              </w:rPr>
            </w:pPr>
          </w:p>
        </w:tc>
        <w:tc>
          <w:tcPr>
            <w:tcW w:w="1260" w:type="dxa"/>
            <w:vAlign w:val="bottom"/>
          </w:tcPr>
          <w:p>
            <w:pPr>
              <w:jc w:val="right"/>
              <w:ind w:right="37"/>
              <w:spacing w:after="0"/>
              <w:rPr>
                <w:sz w:val="20"/>
                <w:szCs w:val="20"/>
                <w:color w:val="auto"/>
              </w:rPr>
            </w:pPr>
            <w:r>
              <w:rPr>
                <w:rFonts w:ascii="Arial" w:cs="Arial" w:eastAsia="Arial" w:hAnsi="Arial"/>
                <w:sz w:val="18"/>
                <w:szCs w:val="18"/>
                <w:color w:val="auto"/>
              </w:rPr>
              <w:t>383</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jc w:val="right"/>
              <w:ind w:right="8"/>
              <w:spacing w:after="0"/>
              <w:rPr>
                <w:sz w:val="20"/>
                <w:szCs w:val="20"/>
                <w:color w:val="auto"/>
              </w:rPr>
            </w:pPr>
            <w:r>
              <w:rPr>
                <w:rFonts w:ascii="Arial" w:cs="Arial" w:eastAsia="Arial" w:hAnsi="Arial"/>
                <w:sz w:val="18"/>
                <w:szCs w:val="18"/>
                <w:color w:val="auto"/>
              </w:rPr>
              <w:t>923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020" w:type="dxa"/>
            <w:vAlign w:val="bottom"/>
          </w:tcPr>
          <w:p>
            <w:pPr>
              <w:ind w:left="240"/>
              <w:spacing w:after="0"/>
              <w:rPr>
                <w:sz w:val="20"/>
                <w:szCs w:val="20"/>
                <w:color w:val="auto"/>
              </w:rPr>
            </w:pPr>
            <w:r>
              <w:rPr>
                <w:rFonts w:ascii="Arial" w:cs="Arial" w:eastAsia="Arial" w:hAnsi="Arial"/>
                <w:sz w:val="18"/>
                <w:szCs w:val="18"/>
                <w:color w:val="auto"/>
              </w:rPr>
              <w:t>New locations opened</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37"/>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56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8"/>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020" w:type="dxa"/>
            <w:vAlign w:val="bottom"/>
          </w:tcPr>
          <w:p>
            <w:pPr>
              <w:ind w:left="240"/>
              <w:spacing w:after="0"/>
              <w:rPr>
                <w:sz w:val="20"/>
                <w:szCs w:val="20"/>
                <w:color w:val="auto"/>
              </w:rPr>
            </w:pPr>
            <w:r>
              <w:rPr>
                <w:rFonts w:ascii="Arial" w:cs="Arial" w:eastAsia="Arial" w:hAnsi="Arial"/>
                <w:sz w:val="18"/>
                <w:szCs w:val="18"/>
                <w:color w:val="auto"/>
              </w:rPr>
              <w:t>Locations sold, combined or closed</w:t>
            </w:r>
          </w:p>
        </w:tc>
        <w:tc>
          <w:tcPr>
            <w:tcW w:w="104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3"/>
                <w:szCs w:val="23"/>
                <w:color w:val="auto"/>
              </w:rPr>
            </w:pPr>
          </w:p>
        </w:tc>
        <w:tc>
          <w:tcPr>
            <w:tcW w:w="13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3"/>
                <w:szCs w:val="23"/>
                <w:color w:val="auto"/>
              </w:rPr>
            </w:pPr>
          </w:p>
        </w:tc>
        <w:tc>
          <w:tcPr>
            <w:tcW w:w="156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020" w:type="dxa"/>
            <w:vAlign w:val="bottom"/>
            <w:vMerge w:val="restart"/>
          </w:tcPr>
          <w:p>
            <w:pPr>
              <w:spacing w:after="0"/>
              <w:rPr>
                <w:sz w:val="20"/>
                <w:szCs w:val="20"/>
                <w:color w:val="auto"/>
              </w:rPr>
            </w:pPr>
            <w:r>
              <w:rPr>
                <w:rFonts w:ascii="Arial" w:cs="Arial" w:eastAsia="Arial" w:hAnsi="Arial"/>
                <w:sz w:val="18"/>
                <w:szCs w:val="18"/>
                <w:color w:val="auto"/>
              </w:rPr>
              <w:t>As of March 31, 2018</w:t>
            </w: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20" w:type="dxa"/>
            <w:vAlign w:val="bottom"/>
            <w:vMerge w:val="continue"/>
          </w:tcPr>
          <w:p>
            <w:pPr>
              <w:spacing w:after="0"/>
              <w:rPr>
                <w:sz w:val="20"/>
                <w:szCs w:val="20"/>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510</w:t>
            </w:r>
          </w:p>
        </w:tc>
        <w:tc>
          <w:tcPr>
            <w:tcW w:w="120" w:type="dxa"/>
            <w:vAlign w:val="bottom"/>
          </w:tcPr>
          <w:p>
            <w:pPr>
              <w:spacing w:after="0"/>
              <w:rPr>
                <w:sz w:val="20"/>
                <w:szCs w:val="20"/>
                <w:color w:val="auto"/>
              </w:rPr>
            </w:pPr>
          </w:p>
        </w:tc>
        <w:tc>
          <w:tcPr>
            <w:tcW w:w="1260" w:type="dxa"/>
            <w:vAlign w:val="bottom"/>
          </w:tcPr>
          <w:p>
            <w:pPr>
              <w:jc w:val="right"/>
              <w:ind w:right="37"/>
              <w:spacing w:after="0"/>
              <w:rPr>
                <w:sz w:val="20"/>
                <w:szCs w:val="20"/>
                <w:color w:val="auto"/>
              </w:rPr>
            </w:pPr>
            <w:r>
              <w:rPr>
                <w:rFonts w:ascii="Arial" w:cs="Arial" w:eastAsia="Arial" w:hAnsi="Arial"/>
                <w:sz w:val="18"/>
                <w:szCs w:val="18"/>
                <w:color w:val="auto"/>
              </w:rPr>
              <w:t>387</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8"/>
              <w:spacing w:after="0"/>
              <w:rPr>
                <w:sz w:val="20"/>
                <w:szCs w:val="20"/>
                <w:color w:val="auto"/>
              </w:rPr>
            </w:pPr>
            <w:r>
              <w:rPr>
                <w:rFonts w:ascii="Arial" w:cs="Arial" w:eastAsia="Arial" w:hAnsi="Arial"/>
                <w:sz w:val="18"/>
                <w:szCs w:val="18"/>
                <w:color w:val="auto"/>
              </w:rPr>
              <w:t>924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0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00" w:type="dxa"/>
            <w:vAlign w:val="bottom"/>
            <w:gridSpan w:val="2"/>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0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bottom w:val="single" w:sz="8" w:color="auto"/>
            </w:tcBorders>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2"/>
        </w:trPr>
        <w:tc>
          <w:tcPr>
            <w:tcW w:w="6020" w:type="dxa"/>
            <w:vAlign w:val="bottom"/>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7"/>
          </w:tcPr>
          <w:p>
            <w:pPr>
              <w:jc w:val="center"/>
              <w:ind w:left="17"/>
              <w:spacing w:after="0"/>
              <w:rPr>
                <w:sz w:val="20"/>
                <w:szCs w:val="20"/>
                <w:color w:val="auto"/>
              </w:rPr>
            </w:pPr>
            <w:r>
              <w:rPr>
                <w:rFonts w:ascii="Arial" w:cs="Arial" w:eastAsia="Arial" w:hAnsi="Arial"/>
                <w:sz w:val="14"/>
                <w:szCs w:val="14"/>
                <w:b w:val="1"/>
                <w:bCs w:val="1"/>
                <w:color w:val="auto"/>
                <w:w w:val="94"/>
              </w:rPr>
              <w:t>Six Months Ended March 31, 2019</w:t>
            </w:r>
          </w:p>
        </w:tc>
        <w:tc>
          <w:tcPr>
            <w:tcW w:w="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6020" w:type="dxa"/>
            <w:vAlign w:val="bottom"/>
          </w:tcPr>
          <w:p>
            <w:pPr>
              <w:spacing w:after="0"/>
              <w:rPr>
                <w:sz w:val="13"/>
                <w:szCs w:val="13"/>
                <w:color w:val="auto"/>
              </w:rPr>
            </w:pPr>
          </w:p>
        </w:tc>
        <w:tc>
          <w:tcPr>
            <w:tcW w:w="116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U.S. Pawn</w:t>
            </w:r>
          </w:p>
        </w:tc>
        <w:tc>
          <w:tcPr>
            <w:tcW w:w="1360" w:type="dxa"/>
            <w:vAlign w:val="bottom"/>
            <w:gridSpan w:val="3"/>
          </w:tcPr>
          <w:p>
            <w:pPr>
              <w:jc w:val="center"/>
              <w:ind w:right="100"/>
              <w:spacing w:after="0" w:line="153" w:lineRule="exact"/>
              <w:rPr>
                <w:sz w:val="20"/>
                <w:szCs w:val="20"/>
                <w:color w:val="auto"/>
              </w:rPr>
            </w:pPr>
            <w:r>
              <w:rPr>
                <w:rFonts w:ascii="Arial" w:cs="Arial" w:eastAsia="Arial" w:hAnsi="Arial"/>
                <w:sz w:val="14"/>
                <w:szCs w:val="14"/>
                <w:b w:val="1"/>
                <w:bCs w:val="1"/>
                <w:color w:val="auto"/>
                <w:w w:val="97"/>
              </w:rPr>
              <w:t>Latin America</w:t>
            </w:r>
          </w:p>
        </w:tc>
        <w:tc>
          <w:tcPr>
            <w:tcW w:w="20" w:type="dxa"/>
            <w:vAlign w:val="bottom"/>
          </w:tcPr>
          <w:p>
            <w:pPr>
              <w:spacing w:after="0"/>
              <w:rPr>
                <w:sz w:val="13"/>
                <w:szCs w:val="13"/>
                <w:color w:val="auto"/>
              </w:rPr>
            </w:pPr>
          </w:p>
        </w:tc>
        <w:tc>
          <w:tcPr>
            <w:tcW w:w="156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Other International</w:t>
            </w:r>
          </w:p>
        </w:tc>
        <w:tc>
          <w:tcPr>
            <w:tcW w:w="20" w:type="dxa"/>
            <w:vAlign w:val="bottom"/>
          </w:tcPr>
          <w:p>
            <w:pPr>
              <w:spacing w:after="0"/>
              <w:rPr>
                <w:sz w:val="13"/>
                <w:szCs w:val="13"/>
                <w:color w:val="auto"/>
              </w:rPr>
            </w:pPr>
          </w:p>
        </w:tc>
        <w:tc>
          <w:tcPr>
            <w:tcW w:w="122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Consolidated</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602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3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2"/>
              </w:rPr>
              <w:t>Pawn</w:t>
            </w:r>
          </w:p>
        </w:tc>
        <w:tc>
          <w:tcPr>
            <w:tcW w:w="20" w:type="dxa"/>
            <w:vAlign w:val="bottom"/>
          </w:tcPr>
          <w:p>
            <w:pPr>
              <w:spacing w:after="0"/>
              <w:rPr>
                <w:sz w:val="16"/>
                <w:szCs w:val="16"/>
                <w:color w:val="auto"/>
              </w:rPr>
            </w:pPr>
          </w:p>
        </w:tc>
        <w:tc>
          <w:tcPr>
            <w:tcW w:w="156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4"/>
        </w:trPr>
        <w:tc>
          <w:tcPr>
            <w:tcW w:w="6020" w:type="dxa"/>
            <w:vAlign w:val="bottom"/>
          </w:tcPr>
          <w:p>
            <w:pPr>
              <w:ind w:left="20"/>
              <w:spacing w:after="0"/>
              <w:rPr>
                <w:sz w:val="20"/>
                <w:szCs w:val="20"/>
                <w:color w:val="auto"/>
              </w:rPr>
            </w:pPr>
            <w:r>
              <w:rPr>
                <w:rFonts w:ascii="Arial" w:cs="Arial" w:eastAsia="Arial" w:hAnsi="Arial"/>
                <w:sz w:val="18"/>
                <w:szCs w:val="18"/>
                <w:color w:val="auto"/>
              </w:rPr>
              <w:t>As of September 30, 2018</w:t>
            </w:r>
          </w:p>
        </w:tc>
        <w:tc>
          <w:tcPr>
            <w:tcW w:w="10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508</w:t>
            </w:r>
          </w:p>
        </w:tc>
        <w:tc>
          <w:tcPr>
            <w:tcW w:w="120" w:type="dxa"/>
            <w:vAlign w:val="bottom"/>
          </w:tcPr>
          <w:p>
            <w:pPr>
              <w:spacing w:after="0"/>
              <w:rPr>
                <w:sz w:val="24"/>
                <w:szCs w:val="24"/>
                <w:color w:val="auto"/>
              </w:rPr>
            </w:pPr>
          </w:p>
        </w:tc>
        <w:tc>
          <w:tcPr>
            <w:tcW w:w="1260" w:type="dxa"/>
            <w:vAlign w:val="bottom"/>
            <w:tcBorders>
              <w:top w:val="single" w:sz="8" w:color="auto"/>
            </w:tcBorders>
          </w:tcPr>
          <w:p>
            <w:pPr>
              <w:jc w:val="right"/>
              <w:ind w:right="37"/>
              <w:spacing w:after="0"/>
              <w:rPr>
                <w:sz w:val="20"/>
                <w:szCs w:val="20"/>
                <w:color w:val="auto"/>
              </w:rPr>
            </w:pPr>
            <w:r>
              <w:rPr>
                <w:rFonts w:ascii="Arial" w:cs="Arial" w:eastAsia="Arial" w:hAnsi="Arial"/>
                <w:sz w:val="18"/>
                <w:szCs w:val="18"/>
                <w:color w:val="auto"/>
              </w:rPr>
              <w:t>453</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60" w:type="dxa"/>
            <w:vAlign w:val="bottom"/>
            <w:tcBorders>
              <w:top w:val="single" w:sz="8" w:color="auto"/>
            </w:tcBorders>
            <w:gridSpan w:val="2"/>
          </w:tcPr>
          <w:p>
            <w:pPr>
              <w:jc w:val="right"/>
              <w:ind w:right="16"/>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Borders>
              <w:top w:val="single" w:sz="8" w:color="auto"/>
            </w:tcBorders>
            <w:gridSpan w:val="2"/>
          </w:tcPr>
          <w:p>
            <w:pPr>
              <w:jc w:val="right"/>
              <w:ind w:right="48"/>
              <w:spacing w:after="0"/>
              <w:rPr>
                <w:sz w:val="20"/>
                <w:szCs w:val="20"/>
                <w:color w:val="auto"/>
              </w:rPr>
            </w:pPr>
            <w:r>
              <w:rPr>
                <w:rFonts w:ascii="Arial" w:cs="Arial" w:eastAsia="Arial" w:hAnsi="Arial"/>
                <w:sz w:val="18"/>
                <w:szCs w:val="18"/>
                <w:color w:val="auto"/>
              </w:rPr>
              <w:t>988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020" w:type="dxa"/>
            <w:vAlign w:val="bottom"/>
          </w:tcPr>
          <w:p>
            <w:pPr>
              <w:ind w:left="260"/>
              <w:spacing w:after="0"/>
              <w:rPr>
                <w:sz w:val="20"/>
                <w:szCs w:val="20"/>
                <w:color w:val="auto"/>
              </w:rPr>
            </w:pPr>
            <w:r>
              <w:rPr>
                <w:rFonts w:ascii="Arial" w:cs="Arial" w:eastAsia="Arial" w:hAnsi="Arial"/>
                <w:sz w:val="18"/>
                <w:szCs w:val="18"/>
                <w:color w:val="auto"/>
              </w:rPr>
              <w:t>New locations opened</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37"/>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5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8"/>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020" w:type="dxa"/>
            <w:vAlign w:val="bottom"/>
          </w:tcPr>
          <w:p>
            <w:pPr>
              <w:ind w:left="260"/>
              <w:spacing w:after="0"/>
              <w:rPr>
                <w:sz w:val="20"/>
                <w:szCs w:val="20"/>
                <w:color w:val="auto"/>
              </w:rPr>
            </w:pPr>
            <w:r>
              <w:rPr>
                <w:rFonts w:ascii="Arial" w:cs="Arial" w:eastAsia="Arial" w:hAnsi="Arial"/>
                <w:sz w:val="18"/>
                <w:szCs w:val="18"/>
                <w:color w:val="auto"/>
              </w:rPr>
              <w:t>Locations acquired</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37"/>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5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8"/>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020" w:type="dxa"/>
            <w:vAlign w:val="bottom"/>
          </w:tcPr>
          <w:p>
            <w:pPr>
              <w:ind w:left="260"/>
              <w:spacing w:after="0"/>
              <w:rPr>
                <w:sz w:val="20"/>
                <w:szCs w:val="20"/>
                <w:color w:val="auto"/>
              </w:rPr>
            </w:pPr>
            <w:r>
              <w:rPr>
                <w:rFonts w:ascii="Arial" w:cs="Arial" w:eastAsia="Arial" w:hAnsi="Arial"/>
                <w:sz w:val="18"/>
                <w:szCs w:val="18"/>
                <w:color w:val="auto"/>
              </w:rPr>
              <w:t>Locations sold, combined or closed</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020" w:type="dxa"/>
            <w:vAlign w:val="bottom"/>
            <w:vMerge w:val="restart"/>
          </w:tcPr>
          <w:p>
            <w:pPr>
              <w:ind w:left="20"/>
              <w:spacing w:after="0"/>
              <w:rPr>
                <w:sz w:val="20"/>
                <w:szCs w:val="20"/>
                <w:color w:val="auto"/>
              </w:rPr>
            </w:pPr>
            <w:r>
              <w:rPr>
                <w:rFonts w:ascii="Arial" w:cs="Arial" w:eastAsia="Arial" w:hAnsi="Arial"/>
                <w:sz w:val="18"/>
                <w:szCs w:val="18"/>
                <w:color w:val="auto"/>
              </w:rPr>
              <w:t>As of March 31, 2019</w:t>
            </w: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20" w:type="dxa"/>
            <w:vAlign w:val="bottom"/>
            <w:vMerge w:val="continue"/>
          </w:tcPr>
          <w:p>
            <w:pPr>
              <w:spacing w:after="0"/>
              <w:rPr>
                <w:sz w:val="20"/>
                <w:szCs w:val="20"/>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508</w:t>
            </w:r>
          </w:p>
        </w:tc>
        <w:tc>
          <w:tcPr>
            <w:tcW w:w="120" w:type="dxa"/>
            <w:vAlign w:val="bottom"/>
          </w:tcPr>
          <w:p>
            <w:pPr>
              <w:spacing w:after="0"/>
              <w:rPr>
                <w:sz w:val="20"/>
                <w:szCs w:val="20"/>
                <w:color w:val="auto"/>
              </w:rPr>
            </w:pPr>
          </w:p>
        </w:tc>
        <w:tc>
          <w:tcPr>
            <w:tcW w:w="1260" w:type="dxa"/>
            <w:vAlign w:val="bottom"/>
          </w:tcPr>
          <w:p>
            <w:pPr>
              <w:jc w:val="right"/>
              <w:ind w:right="37"/>
              <w:spacing w:after="0"/>
              <w:rPr>
                <w:sz w:val="20"/>
                <w:szCs w:val="20"/>
                <w:color w:val="auto"/>
              </w:rPr>
            </w:pPr>
            <w:r>
              <w:rPr>
                <w:rFonts w:ascii="Arial" w:cs="Arial" w:eastAsia="Arial" w:hAnsi="Arial"/>
                <w:sz w:val="18"/>
                <w:szCs w:val="18"/>
                <w:color w:val="auto"/>
              </w:rPr>
              <w:t>466</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60" w:type="dxa"/>
            <w:vAlign w:val="bottom"/>
            <w:gridSpan w:val="2"/>
          </w:tcPr>
          <w:p>
            <w:pPr>
              <w:jc w:val="right"/>
              <w:ind w:right="16"/>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48"/>
              <w:spacing w:after="0"/>
              <w:rPr>
                <w:sz w:val="20"/>
                <w:szCs w:val="20"/>
                <w:color w:val="auto"/>
              </w:rPr>
            </w:pPr>
            <w:r>
              <w:rPr>
                <w:rFonts w:ascii="Arial" w:cs="Arial" w:eastAsia="Arial" w:hAnsi="Arial"/>
                <w:sz w:val="18"/>
                <w:szCs w:val="18"/>
                <w:color w:val="auto"/>
              </w:rPr>
              <w:t>998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0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gridSpan w:val="2"/>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20" w:type="dxa"/>
            <w:vAlign w:val="bottom"/>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0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2"/>
        </w:trPr>
        <w:tc>
          <w:tcPr>
            <w:tcW w:w="6020" w:type="dxa"/>
            <w:vAlign w:val="bottom"/>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7"/>
          </w:tcPr>
          <w:p>
            <w:pPr>
              <w:jc w:val="center"/>
              <w:ind w:left="17"/>
              <w:spacing w:after="0"/>
              <w:rPr>
                <w:sz w:val="20"/>
                <w:szCs w:val="20"/>
                <w:color w:val="auto"/>
              </w:rPr>
            </w:pPr>
            <w:r>
              <w:rPr>
                <w:rFonts w:ascii="Arial" w:cs="Arial" w:eastAsia="Arial" w:hAnsi="Arial"/>
                <w:sz w:val="14"/>
                <w:szCs w:val="14"/>
                <w:b w:val="1"/>
                <w:bCs w:val="1"/>
                <w:color w:val="auto"/>
                <w:w w:val="94"/>
              </w:rPr>
              <w:t>Six Months Ended March 31, 2018</w:t>
            </w:r>
          </w:p>
        </w:tc>
        <w:tc>
          <w:tcPr>
            <w:tcW w:w="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6020" w:type="dxa"/>
            <w:vAlign w:val="bottom"/>
          </w:tcPr>
          <w:p>
            <w:pPr>
              <w:spacing w:after="0"/>
              <w:rPr>
                <w:sz w:val="13"/>
                <w:szCs w:val="13"/>
                <w:color w:val="auto"/>
              </w:rPr>
            </w:pPr>
          </w:p>
        </w:tc>
        <w:tc>
          <w:tcPr>
            <w:tcW w:w="116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U.S. Pawn</w:t>
            </w:r>
          </w:p>
        </w:tc>
        <w:tc>
          <w:tcPr>
            <w:tcW w:w="1360" w:type="dxa"/>
            <w:vAlign w:val="bottom"/>
            <w:gridSpan w:val="3"/>
          </w:tcPr>
          <w:p>
            <w:pPr>
              <w:jc w:val="center"/>
              <w:ind w:right="100"/>
              <w:spacing w:after="0" w:line="153" w:lineRule="exact"/>
              <w:rPr>
                <w:sz w:val="20"/>
                <w:szCs w:val="20"/>
                <w:color w:val="auto"/>
              </w:rPr>
            </w:pPr>
            <w:r>
              <w:rPr>
                <w:rFonts w:ascii="Arial" w:cs="Arial" w:eastAsia="Arial" w:hAnsi="Arial"/>
                <w:sz w:val="14"/>
                <w:szCs w:val="14"/>
                <w:b w:val="1"/>
                <w:bCs w:val="1"/>
                <w:color w:val="auto"/>
                <w:w w:val="97"/>
              </w:rPr>
              <w:t>Latin America</w:t>
            </w:r>
          </w:p>
        </w:tc>
        <w:tc>
          <w:tcPr>
            <w:tcW w:w="20" w:type="dxa"/>
            <w:vAlign w:val="bottom"/>
          </w:tcPr>
          <w:p>
            <w:pPr>
              <w:spacing w:after="0"/>
              <w:rPr>
                <w:sz w:val="13"/>
                <w:szCs w:val="13"/>
                <w:color w:val="auto"/>
              </w:rPr>
            </w:pPr>
          </w:p>
        </w:tc>
        <w:tc>
          <w:tcPr>
            <w:tcW w:w="156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Other International</w:t>
            </w:r>
          </w:p>
        </w:tc>
        <w:tc>
          <w:tcPr>
            <w:tcW w:w="20" w:type="dxa"/>
            <w:vAlign w:val="bottom"/>
          </w:tcPr>
          <w:p>
            <w:pPr>
              <w:spacing w:after="0"/>
              <w:rPr>
                <w:sz w:val="13"/>
                <w:szCs w:val="13"/>
                <w:color w:val="auto"/>
              </w:rPr>
            </w:pPr>
          </w:p>
        </w:tc>
        <w:tc>
          <w:tcPr>
            <w:tcW w:w="122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Consolidated</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602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3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2"/>
              </w:rPr>
              <w:t>Pawn</w:t>
            </w:r>
          </w:p>
        </w:tc>
        <w:tc>
          <w:tcPr>
            <w:tcW w:w="20" w:type="dxa"/>
            <w:vAlign w:val="bottom"/>
          </w:tcPr>
          <w:p>
            <w:pPr>
              <w:spacing w:after="0"/>
              <w:rPr>
                <w:sz w:val="16"/>
                <w:szCs w:val="16"/>
                <w:color w:val="auto"/>
              </w:rPr>
            </w:pPr>
          </w:p>
        </w:tc>
        <w:tc>
          <w:tcPr>
            <w:tcW w:w="156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4"/>
        </w:trPr>
        <w:tc>
          <w:tcPr>
            <w:tcW w:w="6020" w:type="dxa"/>
            <w:vAlign w:val="bottom"/>
          </w:tcPr>
          <w:p>
            <w:pPr>
              <w:ind w:left="20"/>
              <w:spacing w:after="0"/>
              <w:rPr>
                <w:sz w:val="20"/>
                <w:szCs w:val="20"/>
                <w:color w:val="auto"/>
              </w:rPr>
            </w:pPr>
            <w:r>
              <w:rPr>
                <w:rFonts w:ascii="Arial" w:cs="Arial" w:eastAsia="Arial" w:hAnsi="Arial"/>
                <w:sz w:val="18"/>
                <w:szCs w:val="18"/>
                <w:color w:val="auto"/>
              </w:rPr>
              <w:t>As of September 30, 2017</w:t>
            </w:r>
          </w:p>
        </w:tc>
        <w:tc>
          <w:tcPr>
            <w:tcW w:w="10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513</w:t>
            </w:r>
          </w:p>
        </w:tc>
        <w:tc>
          <w:tcPr>
            <w:tcW w:w="120" w:type="dxa"/>
            <w:vAlign w:val="bottom"/>
          </w:tcPr>
          <w:p>
            <w:pPr>
              <w:spacing w:after="0"/>
              <w:rPr>
                <w:sz w:val="24"/>
                <w:szCs w:val="24"/>
                <w:color w:val="auto"/>
              </w:rPr>
            </w:pPr>
          </w:p>
        </w:tc>
        <w:tc>
          <w:tcPr>
            <w:tcW w:w="1260" w:type="dxa"/>
            <w:vAlign w:val="bottom"/>
            <w:tcBorders>
              <w:top w:val="single" w:sz="8" w:color="auto"/>
            </w:tcBorders>
          </w:tcPr>
          <w:p>
            <w:pPr>
              <w:jc w:val="right"/>
              <w:ind w:right="37"/>
              <w:spacing w:after="0"/>
              <w:rPr>
                <w:sz w:val="20"/>
                <w:szCs w:val="20"/>
                <w:color w:val="auto"/>
              </w:rPr>
            </w:pPr>
            <w:r>
              <w:rPr>
                <w:rFonts w:ascii="Arial" w:cs="Arial" w:eastAsia="Arial" w:hAnsi="Arial"/>
                <w:sz w:val="18"/>
                <w:szCs w:val="18"/>
                <w:color w:val="auto"/>
              </w:rPr>
              <w:t>246</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60" w:type="dxa"/>
            <w:vAlign w:val="bottom"/>
            <w:tcBorders>
              <w:top w:val="single" w:sz="8" w:color="auto"/>
            </w:tcBorders>
            <w:gridSpan w:val="2"/>
          </w:tcPr>
          <w:p>
            <w:pPr>
              <w:jc w:val="right"/>
              <w:ind w:right="16"/>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Borders>
              <w:top w:val="single" w:sz="8" w:color="auto"/>
            </w:tcBorders>
            <w:gridSpan w:val="2"/>
          </w:tcPr>
          <w:p>
            <w:pPr>
              <w:jc w:val="right"/>
              <w:ind w:right="48"/>
              <w:spacing w:after="0"/>
              <w:rPr>
                <w:sz w:val="20"/>
                <w:szCs w:val="20"/>
                <w:color w:val="auto"/>
              </w:rPr>
            </w:pPr>
            <w:r>
              <w:rPr>
                <w:rFonts w:ascii="Arial" w:cs="Arial" w:eastAsia="Arial" w:hAnsi="Arial"/>
                <w:sz w:val="18"/>
                <w:szCs w:val="18"/>
                <w:color w:val="auto"/>
              </w:rPr>
              <w:t>786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020" w:type="dxa"/>
            <w:vAlign w:val="bottom"/>
          </w:tcPr>
          <w:p>
            <w:pPr>
              <w:ind w:left="260"/>
              <w:spacing w:after="0"/>
              <w:rPr>
                <w:sz w:val="20"/>
                <w:szCs w:val="20"/>
                <w:color w:val="auto"/>
              </w:rPr>
            </w:pPr>
            <w:r>
              <w:rPr>
                <w:rFonts w:ascii="Arial" w:cs="Arial" w:eastAsia="Arial" w:hAnsi="Arial"/>
                <w:sz w:val="18"/>
                <w:szCs w:val="18"/>
                <w:color w:val="auto"/>
              </w:rPr>
              <w:t>New locations opened</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37"/>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5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8"/>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020" w:type="dxa"/>
            <w:vAlign w:val="bottom"/>
          </w:tcPr>
          <w:p>
            <w:pPr>
              <w:ind w:left="260"/>
              <w:spacing w:after="0"/>
              <w:rPr>
                <w:sz w:val="20"/>
                <w:szCs w:val="20"/>
                <w:color w:val="auto"/>
              </w:rPr>
            </w:pPr>
            <w:r>
              <w:rPr>
                <w:rFonts w:ascii="Arial" w:cs="Arial" w:eastAsia="Arial" w:hAnsi="Arial"/>
                <w:sz w:val="18"/>
                <w:szCs w:val="18"/>
                <w:color w:val="auto"/>
              </w:rPr>
              <w:t>Locations acquired</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37"/>
              <w:spacing w:after="0"/>
              <w:rPr>
                <w:sz w:val="20"/>
                <w:szCs w:val="20"/>
                <w:color w:val="auto"/>
              </w:rPr>
            </w:pPr>
            <w:r>
              <w:rPr>
                <w:rFonts w:ascii="Arial" w:cs="Arial" w:eastAsia="Arial" w:hAnsi="Arial"/>
                <w:sz w:val="18"/>
                <w:szCs w:val="18"/>
                <w:color w:val="auto"/>
              </w:rPr>
              <w:t>133</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5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8"/>
              <w:spacing w:after="0"/>
              <w:rPr>
                <w:sz w:val="20"/>
                <w:szCs w:val="20"/>
                <w:color w:val="auto"/>
              </w:rPr>
            </w:pPr>
            <w:r>
              <w:rPr>
                <w:rFonts w:ascii="Arial" w:cs="Arial" w:eastAsia="Arial" w:hAnsi="Arial"/>
                <w:sz w:val="18"/>
                <w:szCs w:val="18"/>
                <w:color w:val="auto"/>
              </w:rPr>
              <w:t>133</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020" w:type="dxa"/>
            <w:vAlign w:val="bottom"/>
          </w:tcPr>
          <w:p>
            <w:pPr>
              <w:ind w:left="260"/>
              <w:spacing w:after="0"/>
              <w:rPr>
                <w:sz w:val="20"/>
                <w:szCs w:val="20"/>
                <w:color w:val="auto"/>
              </w:rPr>
            </w:pPr>
            <w:r>
              <w:rPr>
                <w:rFonts w:ascii="Arial" w:cs="Arial" w:eastAsia="Arial" w:hAnsi="Arial"/>
                <w:sz w:val="18"/>
                <w:szCs w:val="18"/>
                <w:color w:val="auto"/>
              </w:rPr>
              <w:t>Locations sold, combined or closed</w:t>
            </w:r>
          </w:p>
        </w:tc>
        <w:tc>
          <w:tcPr>
            <w:tcW w:w="104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3"/>
                <w:szCs w:val="23"/>
                <w:color w:val="auto"/>
              </w:rPr>
            </w:pPr>
          </w:p>
        </w:tc>
        <w:tc>
          <w:tcPr>
            <w:tcW w:w="13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3"/>
                <w:szCs w:val="23"/>
                <w:color w:val="auto"/>
              </w:rPr>
            </w:pPr>
          </w:p>
        </w:tc>
        <w:tc>
          <w:tcPr>
            <w:tcW w:w="15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020" w:type="dxa"/>
            <w:vAlign w:val="bottom"/>
            <w:vMerge w:val="restart"/>
          </w:tcPr>
          <w:p>
            <w:pPr>
              <w:ind w:left="20"/>
              <w:spacing w:after="0"/>
              <w:rPr>
                <w:sz w:val="20"/>
                <w:szCs w:val="20"/>
                <w:color w:val="auto"/>
              </w:rPr>
            </w:pPr>
            <w:r>
              <w:rPr>
                <w:rFonts w:ascii="Arial" w:cs="Arial" w:eastAsia="Arial" w:hAnsi="Arial"/>
                <w:sz w:val="18"/>
                <w:szCs w:val="18"/>
                <w:color w:val="auto"/>
              </w:rPr>
              <w:t>As of March 31, 2018</w:t>
            </w: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20" w:type="dxa"/>
            <w:vAlign w:val="bottom"/>
            <w:vMerge w:val="continue"/>
          </w:tcPr>
          <w:p>
            <w:pPr>
              <w:spacing w:after="0"/>
              <w:rPr>
                <w:sz w:val="20"/>
                <w:szCs w:val="20"/>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510</w:t>
            </w:r>
          </w:p>
        </w:tc>
        <w:tc>
          <w:tcPr>
            <w:tcW w:w="120" w:type="dxa"/>
            <w:vAlign w:val="bottom"/>
          </w:tcPr>
          <w:p>
            <w:pPr>
              <w:spacing w:after="0"/>
              <w:rPr>
                <w:sz w:val="20"/>
                <w:szCs w:val="20"/>
                <w:color w:val="auto"/>
              </w:rPr>
            </w:pPr>
          </w:p>
        </w:tc>
        <w:tc>
          <w:tcPr>
            <w:tcW w:w="1260" w:type="dxa"/>
            <w:vAlign w:val="bottom"/>
          </w:tcPr>
          <w:p>
            <w:pPr>
              <w:jc w:val="right"/>
              <w:ind w:right="37"/>
              <w:spacing w:after="0"/>
              <w:rPr>
                <w:sz w:val="20"/>
                <w:szCs w:val="20"/>
                <w:color w:val="auto"/>
              </w:rPr>
            </w:pPr>
            <w:r>
              <w:rPr>
                <w:rFonts w:ascii="Arial" w:cs="Arial" w:eastAsia="Arial" w:hAnsi="Arial"/>
                <w:sz w:val="18"/>
                <w:szCs w:val="18"/>
                <w:color w:val="auto"/>
              </w:rPr>
              <w:t>387</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60" w:type="dxa"/>
            <w:vAlign w:val="bottom"/>
            <w:gridSpan w:val="2"/>
          </w:tcPr>
          <w:p>
            <w:pPr>
              <w:jc w:val="right"/>
              <w:ind w:right="16"/>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48"/>
              <w:spacing w:after="0"/>
              <w:rPr>
                <w:sz w:val="20"/>
                <w:szCs w:val="20"/>
                <w:color w:val="auto"/>
              </w:rPr>
            </w:pPr>
            <w:r>
              <w:rPr>
                <w:rFonts w:ascii="Arial" w:cs="Arial" w:eastAsia="Arial" w:hAnsi="Arial"/>
                <w:sz w:val="18"/>
                <w:szCs w:val="18"/>
                <w:color w:val="auto"/>
              </w:rPr>
              <w:t>924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0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0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Financial Information (Unaudited)</w:t>
      </w:r>
    </w:p>
    <w:p>
      <w:pPr>
        <w:spacing w:after="0" w:line="171"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color w:val="auto"/>
        </w:rPr>
        <w:t>In addition to the financial information prepared in conformity with accounting principles generally accepted in the United States ("GAAP"), we provide certain other non-GAAP financial information on a constant currency basis ("constant currency"). We use constant currency results to evaluate our Latin America Pawn operations, which are denominated primarily in Mexican pesos and other Latin American currencies. We believe that presentation of constant currency results is meaningful and useful in understanding the activities and business metrics of our Latin America Pawn operations and reflect an additional way of viewing aspects of our business that, when viewed with GAAP results, provide a more complete understanding of factors and trends affecting our business. We provide non-GAAP financial information for informational purposes and to enhance understanding of our GAAP consolidated financial statements. We use this non-GAAP financial information to evaluate and compare operating results across accounting periods. Readers should consider the information in addition to, but not instead of or superior to, our financial statements prepared in accordance with GAAP. This non-GAAP financial information may be determined or calculated differently by other companies, limiting the usefulness of those measures for comparative purposes.</w:t>
      </w:r>
    </w:p>
    <w:p>
      <w:pPr>
        <w:spacing w:after="0" w:line="113"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Constant currency results reported herein are calculated by translating consolidated balance sheet and consolidated statement of operations items denominated in Mexican pesos, Guatemalan quetzals, Honduran lempiras and Peruvian sols to U.S. dollars using the exchange rate from the prior-year comparable period, as opposed to the current period, in order to exclude the effects</w:t>
      </w:r>
    </w:p>
    <w:p>
      <w:pPr>
        <w:sectPr>
          <w:pgSz w:w="11900" w:h="16838" w:orient="portrait"/>
          <w:cols w:equalWidth="0" w:num="1">
            <w:col w:w="11420"/>
          </w:cols>
          <w:pgMar w:left="240" w:top="585" w:right="239" w:bottom="1440" w:gutter="0" w:footer="0" w:header="0"/>
        </w:sectPr>
      </w:pPr>
    </w:p>
    <w:bookmarkStart w:id="15" w:name="page16"/>
    <w:bookmarkEnd w:id="15"/>
    <w:p>
      <w:pPr>
        <w:ind w:right="80"/>
        <w:spacing w:after="0" w:line="264" w:lineRule="auto"/>
        <w:rPr>
          <w:sz w:val="20"/>
          <w:szCs w:val="20"/>
          <w:color w:val="auto"/>
        </w:rPr>
      </w:pPr>
      <w:r>
        <w:rPr>
          <w:rFonts w:ascii="Arial" w:cs="Arial" w:eastAsia="Arial" w:hAnsi="Arial"/>
          <w:sz w:val="18"/>
          <w:szCs w:val="18"/>
          <w:color w:val="auto"/>
        </w:rPr>
        <w:t>of foreign currency rate fluctuations. We used the end-of-period rate for balance sheet items and the average closing daily exchange rate on a monthly basis during the appropriate period for statement of operations items. The end-of-period and approximate average exchange rates for each currency as compared to U.S. dollars as of and for the three and six months ended March 31, 2019 and 2018 were as follows:</w:t>
      </w:r>
    </w:p>
    <w:p>
      <w:pPr>
        <w:spacing w:after="0" w:line="186"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3220" w:type="dxa"/>
            <w:vAlign w:val="bottom"/>
          </w:tcPr>
          <w:p>
            <w:pPr>
              <w:spacing w:after="0"/>
              <w:rPr>
                <w:sz w:val="16"/>
                <w:szCs w:val="16"/>
                <w:color w:val="auto"/>
              </w:rPr>
            </w:pPr>
          </w:p>
        </w:tc>
        <w:tc>
          <w:tcPr>
            <w:tcW w:w="1740" w:type="dxa"/>
            <w:vAlign w:val="bottom"/>
            <w:gridSpan w:val="3"/>
          </w:tcPr>
          <w:p>
            <w:pPr>
              <w:ind w:left="1000"/>
              <w:spacing w:after="0"/>
              <w:rPr>
                <w:sz w:val="20"/>
                <w:szCs w:val="20"/>
                <w:color w:val="auto"/>
              </w:rPr>
            </w:pPr>
            <w:r>
              <w:rPr>
                <w:rFonts w:ascii="Arial" w:cs="Arial" w:eastAsia="Arial" w:hAnsi="Arial"/>
                <w:sz w:val="14"/>
                <w:szCs w:val="14"/>
                <w:b w:val="1"/>
                <w:bCs w:val="1"/>
                <w:color w:val="auto"/>
              </w:rPr>
              <w:t>March 31,</w:t>
            </w: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60" w:type="dxa"/>
            <w:vAlign w:val="bottom"/>
            <w:gridSpan w:val="3"/>
          </w:tcPr>
          <w:p>
            <w:pPr>
              <w:ind w:left="300"/>
              <w:spacing w:after="0"/>
              <w:rPr>
                <w:sz w:val="20"/>
                <w:szCs w:val="20"/>
                <w:color w:val="auto"/>
              </w:rPr>
            </w:pPr>
            <w:r>
              <w:rPr>
                <w:rFonts w:ascii="Arial" w:cs="Arial" w:eastAsia="Arial" w:hAnsi="Arial"/>
                <w:sz w:val="14"/>
                <w:szCs w:val="14"/>
                <w:b w:val="1"/>
                <w:bCs w:val="1"/>
                <w:color w:val="auto"/>
              </w:rPr>
              <w:t>Three Months Ended March 31,</w:t>
            </w:r>
          </w:p>
        </w:tc>
        <w:tc>
          <w:tcPr>
            <w:tcW w:w="2540" w:type="dxa"/>
            <w:vAlign w:val="bottom"/>
            <w:gridSpan w:val="3"/>
          </w:tcPr>
          <w:p>
            <w:pPr>
              <w:jc w:val="right"/>
              <w:ind w:right="274"/>
              <w:spacing w:after="0"/>
              <w:rPr>
                <w:sz w:val="20"/>
                <w:szCs w:val="20"/>
                <w:color w:val="auto"/>
              </w:rPr>
            </w:pPr>
            <w:r>
              <w:rPr>
                <w:rFonts w:ascii="Arial" w:cs="Arial" w:eastAsia="Arial" w:hAnsi="Arial"/>
                <w:sz w:val="14"/>
                <w:szCs w:val="14"/>
                <w:b w:val="1"/>
                <w:bCs w:val="1"/>
                <w:color w:val="auto"/>
              </w:rPr>
              <w:t>Six Months Ended March 31,</w:t>
            </w:r>
          </w:p>
        </w:tc>
      </w:tr>
      <w:tr>
        <w:trPr>
          <w:trHeight w:val="264"/>
        </w:trPr>
        <w:tc>
          <w:tcPr>
            <w:tcW w:w="3220" w:type="dxa"/>
            <w:vAlign w:val="bottom"/>
          </w:tcPr>
          <w:p>
            <w:pPr>
              <w:spacing w:after="0"/>
              <w:rPr>
                <w:sz w:val="22"/>
                <w:szCs w:val="22"/>
                <w:color w:val="auto"/>
              </w:rPr>
            </w:pPr>
          </w:p>
        </w:tc>
        <w:tc>
          <w:tcPr>
            <w:tcW w:w="1240" w:type="dxa"/>
            <w:vAlign w:val="bottom"/>
            <w:tcBorders>
              <w:top w:val="single" w:sz="8" w:color="auto"/>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22"/>
                <w:szCs w:val="22"/>
                <w:color w:val="auto"/>
              </w:rPr>
            </w:pPr>
          </w:p>
        </w:tc>
        <w:tc>
          <w:tcPr>
            <w:tcW w:w="1460" w:type="dxa"/>
            <w:vAlign w:val="bottom"/>
            <w:tcBorders>
              <w:top w:val="single" w:sz="8" w:color="auto"/>
              <w:bottom w:val="single" w:sz="8" w:color="auto"/>
            </w:tcBorders>
          </w:tcPr>
          <w:p>
            <w:pPr>
              <w:jc w:val="right"/>
              <w:ind w:right="636"/>
              <w:spacing w:after="0"/>
              <w:rPr>
                <w:sz w:val="20"/>
                <w:szCs w:val="20"/>
                <w:color w:val="auto"/>
              </w:rPr>
            </w:pPr>
            <w:r>
              <w:rPr>
                <w:rFonts w:ascii="Arial" w:cs="Arial" w:eastAsia="Arial" w:hAnsi="Arial"/>
                <w:sz w:val="14"/>
                <w:szCs w:val="14"/>
                <w:b w:val="1"/>
                <w:bCs w:val="1"/>
                <w:color w:val="auto"/>
              </w:rPr>
              <w:t>2019</w:t>
            </w:r>
          </w:p>
        </w:tc>
        <w:tc>
          <w:tcPr>
            <w:tcW w:w="1080" w:type="dxa"/>
            <w:vAlign w:val="bottom"/>
            <w:tcBorders>
              <w:top w:val="single" w:sz="8" w:color="auto"/>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2"/>
                <w:szCs w:val="22"/>
                <w:color w:val="auto"/>
              </w:rPr>
            </w:pPr>
          </w:p>
        </w:tc>
        <w:tc>
          <w:tcPr>
            <w:tcW w:w="1200" w:type="dxa"/>
            <w:vAlign w:val="bottom"/>
            <w:tcBorders>
              <w:top w:val="single" w:sz="8" w:color="auto"/>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2018</w:t>
            </w:r>
          </w:p>
        </w:tc>
      </w:tr>
      <w:tr>
        <w:trPr>
          <w:trHeight w:val="364"/>
        </w:trPr>
        <w:tc>
          <w:tcPr>
            <w:tcW w:w="3220" w:type="dxa"/>
            <w:vAlign w:val="bottom"/>
          </w:tcPr>
          <w:p>
            <w:pPr>
              <w:spacing w:after="0"/>
              <w:rPr>
                <w:sz w:val="20"/>
                <w:szCs w:val="20"/>
                <w:color w:val="auto"/>
              </w:rPr>
            </w:pPr>
            <w:r>
              <w:rPr>
                <w:rFonts w:ascii="Arial" w:cs="Arial" w:eastAsia="Arial" w:hAnsi="Arial"/>
                <w:sz w:val="18"/>
                <w:szCs w:val="18"/>
                <w:color w:val="auto"/>
              </w:rPr>
              <w:t>Mexican peso</w:t>
            </w:r>
          </w:p>
        </w:tc>
        <w:tc>
          <w:tcPr>
            <w:tcW w:w="1240" w:type="dxa"/>
            <w:vAlign w:val="bottom"/>
          </w:tcPr>
          <w:p>
            <w:pPr>
              <w:jc w:val="right"/>
              <w:ind w:right="36"/>
              <w:spacing w:after="0"/>
              <w:rPr>
                <w:sz w:val="20"/>
                <w:szCs w:val="20"/>
                <w:color w:val="auto"/>
              </w:rPr>
            </w:pPr>
            <w:r>
              <w:rPr>
                <w:rFonts w:ascii="Arial" w:cs="Arial" w:eastAsia="Arial" w:hAnsi="Arial"/>
                <w:sz w:val="18"/>
                <w:szCs w:val="18"/>
                <w:color w:val="auto"/>
              </w:rPr>
              <w:t>19.4</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18.3</w:t>
            </w:r>
          </w:p>
        </w:tc>
        <w:tc>
          <w:tcPr>
            <w:tcW w:w="140" w:type="dxa"/>
            <w:vAlign w:val="bottom"/>
          </w:tcPr>
          <w:p>
            <w:pPr>
              <w:spacing w:after="0"/>
              <w:rPr>
                <w:sz w:val="24"/>
                <w:szCs w:val="24"/>
                <w:color w:val="auto"/>
              </w:rPr>
            </w:pPr>
          </w:p>
        </w:tc>
        <w:tc>
          <w:tcPr>
            <w:tcW w:w="1460" w:type="dxa"/>
            <w:vAlign w:val="bottom"/>
          </w:tcPr>
          <w:p>
            <w:pPr>
              <w:jc w:val="right"/>
              <w:ind w:right="256"/>
              <w:spacing w:after="0"/>
              <w:rPr>
                <w:sz w:val="20"/>
                <w:szCs w:val="20"/>
                <w:color w:val="auto"/>
              </w:rPr>
            </w:pPr>
            <w:r>
              <w:rPr>
                <w:rFonts w:ascii="Arial" w:cs="Arial" w:eastAsia="Arial" w:hAnsi="Arial"/>
                <w:sz w:val="18"/>
                <w:szCs w:val="18"/>
                <w:color w:val="auto"/>
              </w:rPr>
              <w:t>19.2</w:t>
            </w: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18.7</w:t>
            </w:r>
          </w:p>
        </w:tc>
        <w:tc>
          <w:tcPr>
            <w:tcW w:w="120" w:type="dxa"/>
            <w:vAlign w:val="bottom"/>
          </w:tcPr>
          <w:p>
            <w:pPr>
              <w:spacing w:after="0"/>
              <w:rPr>
                <w:sz w:val="24"/>
                <w:szCs w:val="24"/>
                <w:color w:val="auto"/>
              </w:rPr>
            </w:pPr>
          </w:p>
        </w:tc>
        <w:tc>
          <w:tcPr>
            <w:tcW w:w="1200" w:type="dxa"/>
            <w:vAlign w:val="bottom"/>
          </w:tcPr>
          <w:p>
            <w:pPr>
              <w:jc w:val="right"/>
              <w:ind w:right="16"/>
              <w:spacing w:after="0"/>
              <w:rPr>
                <w:sz w:val="20"/>
                <w:szCs w:val="20"/>
                <w:color w:val="auto"/>
              </w:rPr>
            </w:pPr>
            <w:r>
              <w:rPr>
                <w:rFonts w:ascii="Arial" w:cs="Arial" w:eastAsia="Arial" w:hAnsi="Arial"/>
                <w:sz w:val="18"/>
                <w:szCs w:val="18"/>
                <w:color w:val="auto"/>
              </w:rPr>
              <w:t>19.5</w:t>
            </w:r>
          </w:p>
        </w:tc>
        <w:tc>
          <w:tcPr>
            <w:tcW w:w="120" w:type="dxa"/>
            <w:vAlign w:val="bottom"/>
          </w:tcPr>
          <w:p>
            <w:pPr>
              <w:spacing w:after="0"/>
              <w:rPr>
                <w:sz w:val="24"/>
                <w:szCs w:val="24"/>
                <w:color w:val="auto"/>
              </w:rPr>
            </w:pP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18.8</w:t>
            </w:r>
          </w:p>
        </w:tc>
      </w:tr>
      <w:tr>
        <w:trPr>
          <w:trHeight w:val="270"/>
        </w:trPr>
        <w:tc>
          <w:tcPr>
            <w:tcW w:w="3220" w:type="dxa"/>
            <w:vAlign w:val="bottom"/>
          </w:tcPr>
          <w:p>
            <w:pPr>
              <w:spacing w:after="0"/>
              <w:rPr>
                <w:sz w:val="20"/>
                <w:szCs w:val="20"/>
                <w:color w:val="auto"/>
              </w:rPr>
            </w:pPr>
            <w:r>
              <w:rPr>
                <w:rFonts w:ascii="Arial" w:cs="Arial" w:eastAsia="Arial" w:hAnsi="Arial"/>
                <w:sz w:val="18"/>
                <w:szCs w:val="18"/>
                <w:color w:val="auto"/>
              </w:rPr>
              <w:t>Guatemalan quetzal</w:t>
            </w:r>
          </w:p>
        </w:tc>
        <w:tc>
          <w:tcPr>
            <w:tcW w:w="1240" w:type="dxa"/>
            <w:vAlign w:val="bottom"/>
          </w:tcPr>
          <w:p>
            <w:pPr>
              <w:jc w:val="right"/>
              <w:ind w:right="36"/>
              <w:spacing w:after="0"/>
              <w:rPr>
                <w:sz w:val="20"/>
                <w:szCs w:val="20"/>
                <w:color w:val="auto"/>
              </w:rPr>
            </w:pPr>
            <w:r>
              <w:rPr>
                <w:rFonts w:ascii="Arial" w:cs="Arial" w:eastAsia="Arial" w:hAnsi="Arial"/>
                <w:sz w:val="18"/>
                <w:szCs w:val="18"/>
                <w:color w:val="auto"/>
              </w:rPr>
              <w:t>7.6</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7.3</w:t>
            </w:r>
          </w:p>
        </w:tc>
        <w:tc>
          <w:tcPr>
            <w:tcW w:w="140" w:type="dxa"/>
            <w:vAlign w:val="bottom"/>
          </w:tcPr>
          <w:p>
            <w:pPr>
              <w:spacing w:after="0"/>
              <w:rPr>
                <w:sz w:val="23"/>
                <w:szCs w:val="23"/>
                <w:color w:val="auto"/>
              </w:rPr>
            </w:pPr>
          </w:p>
        </w:tc>
        <w:tc>
          <w:tcPr>
            <w:tcW w:w="1460" w:type="dxa"/>
            <w:vAlign w:val="bottom"/>
          </w:tcPr>
          <w:p>
            <w:pPr>
              <w:jc w:val="right"/>
              <w:ind w:right="256"/>
              <w:spacing w:after="0"/>
              <w:rPr>
                <w:sz w:val="20"/>
                <w:szCs w:val="20"/>
                <w:color w:val="auto"/>
              </w:rPr>
            </w:pPr>
            <w:r>
              <w:rPr>
                <w:rFonts w:ascii="Arial" w:cs="Arial" w:eastAsia="Arial" w:hAnsi="Arial"/>
                <w:sz w:val="18"/>
                <w:szCs w:val="18"/>
                <w:color w:val="auto"/>
              </w:rPr>
              <w:t>7.6</w:t>
            </w: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7.3</w:t>
            </w:r>
          </w:p>
        </w:tc>
        <w:tc>
          <w:tcPr>
            <w:tcW w:w="120" w:type="dxa"/>
            <w:vAlign w:val="bottom"/>
          </w:tcPr>
          <w:p>
            <w:pPr>
              <w:spacing w:after="0"/>
              <w:rPr>
                <w:sz w:val="23"/>
                <w:szCs w:val="23"/>
                <w:color w:val="auto"/>
              </w:rPr>
            </w:pPr>
          </w:p>
        </w:tc>
        <w:tc>
          <w:tcPr>
            <w:tcW w:w="1200" w:type="dxa"/>
            <w:vAlign w:val="bottom"/>
          </w:tcPr>
          <w:p>
            <w:pPr>
              <w:jc w:val="right"/>
              <w:ind w:right="16"/>
              <w:spacing w:after="0"/>
              <w:rPr>
                <w:sz w:val="20"/>
                <w:szCs w:val="20"/>
                <w:color w:val="auto"/>
              </w:rPr>
            </w:pPr>
            <w:r>
              <w:rPr>
                <w:rFonts w:ascii="Arial" w:cs="Arial" w:eastAsia="Arial" w:hAnsi="Arial"/>
                <w:sz w:val="18"/>
                <w:szCs w:val="18"/>
                <w:color w:val="auto"/>
              </w:rPr>
              <w:t>7.6</w:t>
            </w:r>
          </w:p>
        </w:tc>
        <w:tc>
          <w:tcPr>
            <w:tcW w:w="120" w:type="dxa"/>
            <w:vAlign w:val="bottom"/>
          </w:tcPr>
          <w:p>
            <w:pPr>
              <w:spacing w:after="0"/>
              <w:rPr>
                <w:sz w:val="23"/>
                <w:szCs w:val="23"/>
                <w:color w:val="auto"/>
              </w:rPr>
            </w:pP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7.2</w:t>
            </w:r>
          </w:p>
        </w:tc>
      </w:tr>
      <w:tr>
        <w:trPr>
          <w:trHeight w:val="270"/>
        </w:trPr>
        <w:tc>
          <w:tcPr>
            <w:tcW w:w="3220" w:type="dxa"/>
            <w:vAlign w:val="bottom"/>
          </w:tcPr>
          <w:p>
            <w:pPr>
              <w:spacing w:after="0"/>
              <w:rPr>
                <w:sz w:val="20"/>
                <w:szCs w:val="20"/>
                <w:color w:val="auto"/>
              </w:rPr>
            </w:pPr>
            <w:r>
              <w:rPr>
                <w:rFonts w:ascii="Arial" w:cs="Arial" w:eastAsia="Arial" w:hAnsi="Arial"/>
                <w:sz w:val="18"/>
                <w:szCs w:val="18"/>
                <w:color w:val="auto"/>
              </w:rPr>
              <w:t>Honduran lempira</w:t>
            </w:r>
          </w:p>
        </w:tc>
        <w:tc>
          <w:tcPr>
            <w:tcW w:w="1240" w:type="dxa"/>
            <w:vAlign w:val="bottom"/>
          </w:tcPr>
          <w:p>
            <w:pPr>
              <w:jc w:val="right"/>
              <w:ind w:right="36"/>
              <w:spacing w:after="0"/>
              <w:rPr>
                <w:sz w:val="20"/>
                <w:szCs w:val="20"/>
                <w:color w:val="auto"/>
              </w:rPr>
            </w:pPr>
            <w:r>
              <w:rPr>
                <w:rFonts w:ascii="Arial" w:cs="Arial" w:eastAsia="Arial" w:hAnsi="Arial"/>
                <w:sz w:val="18"/>
                <w:szCs w:val="18"/>
                <w:color w:val="auto"/>
              </w:rPr>
              <w:t>24.3</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23.5</w:t>
            </w:r>
          </w:p>
        </w:tc>
        <w:tc>
          <w:tcPr>
            <w:tcW w:w="140" w:type="dxa"/>
            <w:vAlign w:val="bottom"/>
          </w:tcPr>
          <w:p>
            <w:pPr>
              <w:spacing w:after="0"/>
              <w:rPr>
                <w:sz w:val="23"/>
                <w:szCs w:val="23"/>
                <w:color w:val="auto"/>
              </w:rPr>
            </w:pPr>
          </w:p>
        </w:tc>
        <w:tc>
          <w:tcPr>
            <w:tcW w:w="1460" w:type="dxa"/>
            <w:vAlign w:val="bottom"/>
          </w:tcPr>
          <w:p>
            <w:pPr>
              <w:jc w:val="right"/>
              <w:ind w:right="256"/>
              <w:spacing w:after="0"/>
              <w:rPr>
                <w:sz w:val="20"/>
                <w:szCs w:val="20"/>
                <w:color w:val="auto"/>
              </w:rPr>
            </w:pPr>
            <w:r>
              <w:rPr>
                <w:rFonts w:ascii="Arial" w:cs="Arial" w:eastAsia="Arial" w:hAnsi="Arial"/>
                <w:sz w:val="18"/>
                <w:szCs w:val="18"/>
                <w:color w:val="auto"/>
              </w:rPr>
              <w:t>24.2</w:t>
            </w: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23.5</w:t>
            </w:r>
          </w:p>
        </w:tc>
        <w:tc>
          <w:tcPr>
            <w:tcW w:w="120" w:type="dxa"/>
            <w:vAlign w:val="bottom"/>
          </w:tcPr>
          <w:p>
            <w:pPr>
              <w:spacing w:after="0"/>
              <w:rPr>
                <w:sz w:val="23"/>
                <w:szCs w:val="23"/>
                <w:color w:val="auto"/>
              </w:rPr>
            </w:pPr>
          </w:p>
        </w:tc>
        <w:tc>
          <w:tcPr>
            <w:tcW w:w="1200" w:type="dxa"/>
            <w:vAlign w:val="bottom"/>
          </w:tcPr>
          <w:p>
            <w:pPr>
              <w:jc w:val="right"/>
              <w:ind w:right="16"/>
              <w:spacing w:after="0"/>
              <w:rPr>
                <w:sz w:val="20"/>
                <w:szCs w:val="20"/>
                <w:color w:val="auto"/>
              </w:rPr>
            </w:pPr>
            <w:r>
              <w:rPr>
                <w:rFonts w:ascii="Arial" w:cs="Arial" w:eastAsia="Arial" w:hAnsi="Arial"/>
                <w:sz w:val="18"/>
                <w:szCs w:val="18"/>
                <w:color w:val="auto"/>
              </w:rPr>
              <w:t>24.1</w:t>
            </w:r>
          </w:p>
        </w:tc>
        <w:tc>
          <w:tcPr>
            <w:tcW w:w="120" w:type="dxa"/>
            <w:vAlign w:val="bottom"/>
          </w:tcPr>
          <w:p>
            <w:pPr>
              <w:spacing w:after="0"/>
              <w:rPr>
                <w:sz w:val="23"/>
                <w:szCs w:val="23"/>
                <w:color w:val="auto"/>
              </w:rPr>
            </w:pP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23.4</w:t>
            </w:r>
          </w:p>
        </w:tc>
      </w:tr>
      <w:tr>
        <w:trPr>
          <w:trHeight w:val="270"/>
        </w:trPr>
        <w:tc>
          <w:tcPr>
            <w:tcW w:w="3220" w:type="dxa"/>
            <w:vAlign w:val="bottom"/>
          </w:tcPr>
          <w:p>
            <w:pPr>
              <w:spacing w:after="0"/>
              <w:rPr>
                <w:sz w:val="20"/>
                <w:szCs w:val="20"/>
                <w:color w:val="auto"/>
              </w:rPr>
            </w:pPr>
            <w:r>
              <w:rPr>
                <w:rFonts w:ascii="Arial" w:cs="Arial" w:eastAsia="Arial" w:hAnsi="Arial"/>
                <w:sz w:val="18"/>
                <w:szCs w:val="18"/>
                <w:color w:val="auto"/>
              </w:rPr>
              <w:t>Peruvian sol</w:t>
            </w:r>
          </w:p>
        </w:tc>
        <w:tc>
          <w:tcPr>
            <w:tcW w:w="1240" w:type="dxa"/>
            <w:vAlign w:val="bottom"/>
          </w:tcPr>
          <w:p>
            <w:pPr>
              <w:jc w:val="right"/>
              <w:ind w:right="36"/>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3.2</w:t>
            </w:r>
          </w:p>
        </w:tc>
        <w:tc>
          <w:tcPr>
            <w:tcW w:w="140" w:type="dxa"/>
            <w:vAlign w:val="bottom"/>
          </w:tcPr>
          <w:p>
            <w:pPr>
              <w:spacing w:after="0"/>
              <w:rPr>
                <w:sz w:val="23"/>
                <w:szCs w:val="23"/>
                <w:color w:val="auto"/>
              </w:rPr>
            </w:pPr>
          </w:p>
        </w:tc>
        <w:tc>
          <w:tcPr>
            <w:tcW w:w="1460" w:type="dxa"/>
            <w:vAlign w:val="bottom"/>
          </w:tcPr>
          <w:p>
            <w:pPr>
              <w:jc w:val="right"/>
              <w:ind w:right="256"/>
              <w:spacing w:after="0"/>
              <w:rPr>
                <w:sz w:val="20"/>
                <w:szCs w:val="20"/>
                <w:color w:val="auto"/>
              </w:rPr>
            </w:pPr>
            <w:r>
              <w:rPr>
                <w:rFonts w:ascii="Arial" w:cs="Arial" w:eastAsia="Arial" w:hAnsi="Arial"/>
                <w:sz w:val="18"/>
                <w:szCs w:val="18"/>
                <w:color w:val="auto"/>
              </w:rPr>
              <w:t>3.3</w:t>
            </w: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3"/>
                <w:szCs w:val="23"/>
                <w:color w:val="auto"/>
              </w:rPr>
            </w:pPr>
          </w:p>
        </w:tc>
        <w:tc>
          <w:tcPr>
            <w:tcW w:w="1200" w:type="dxa"/>
            <w:vAlign w:val="bottom"/>
          </w:tcPr>
          <w:p>
            <w:pPr>
              <w:jc w:val="right"/>
              <w:ind w:right="16"/>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3"/>
                <w:szCs w:val="23"/>
                <w:color w:val="auto"/>
              </w:rPr>
            </w:pP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3.2</w:t>
            </w:r>
          </w:p>
        </w:tc>
      </w:tr>
    </w:tbl>
    <w:p>
      <w:pPr>
        <w:spacing w:after="0" w:line="17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constant currency results of our statement of operations reflect the monthly exchange rate fluctuations and so are not directly calculable from the above rates. Constant currency results, where presented, also exclude the foreign currency gain or loss. We have experienced a prolonged weakening of the Mexican peso to the U.S. dollar and may continue to experience further weakening in future reporting periods, which may adversely impact our future operating results when stated on a GAAP basis.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Miscellaneous Non-GAAP Financial Measures</w:t>
      </w:r>
    </w:p>
    <w:p>
      <w:pPr>
        <w:spacing w:after="0" w:line="190"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8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gridSpan w:val="2"/>
          </w:tcPr>
          <w:p>
            <w:pPr>
              <w:ind w:left="120"/>
              <w:spacing w:after="0"/>
              <w:rPr>
                <w:sz w:val="20"/>
                <w:szCs w:val="20"/>
                <w:color w:val="auto"/>
              </w:rPr>
            </w:pPr>
            <w:r>
              <w:rPr>
                <w:rFonts w:ascii="Arial" w:cs="Arial" w:eastAsia="Arial" w:hAnsi="Arial"/>
                <w:sz w:val="14"/>
                <w:szCs w:val="14"/>
                <w:b w:val="1"/>
                <w:bCs w:val="1"/>
                <w:color w:val="auto"/>
              </w:rPr>
              <w:t>2019 Q2</w:t>
            </w:r>
          </w:p>
        </w:tc>
        <w:tc>
          <w:tcPr>
            <w:tcW w:w="300" w:type="dxa"/>
            <w:vAlign w:val="bottom"/>
          </w:tcPr>
          <w:p>
            <w:pPr>
              <w:spacing w:after="0"/>
              <w:rPr>
                <w:sz w:val="16"/>
                <w:szCs w:val="16"/>
                <w:color w:val="auto"/>
              </w:rPr>
            </w:pPr>
          </w:p>
        </w:tc>
        <w:tc>
          <w:tcPr>
            <w:tcW w:w="820" w:type="dxa"/>
            <w:vAlign w:val="bottom"/>
          </w:tcPr>
          <w:p>
            <w:pPr>
              <w:jc w:val="right"/>
              <w:ind w:right="228"/>
              <w:spacing w:after="0"/>
              <w:rPr>
                <w:sz w:val="20"/>
                <w:szCs w:val="20"/>
                <w:color w:val="auto"/>
              </w:rPr>
            </w:pPr>
            <w:r>
              <w:rPr>
                <w:rFonts w:ascii="Arial" w:cs="Arial" w:eastAsia="Arial" w:hAnsi="Arial"/>
                <w:sz w:val="14"/>
                <w:szCs w:val="14"/>
                <w:b w:val="1"/>
                <w:bCs w:val="1"/>
                <w:color w:val="auto"/>
                <w:w w:val="93"/>
              </w:rPr>
              <w:t>2018 Q2</w:t>
            </w:r>
          </w:p>
        </w:tc>
      </w:tr>
      <w:tr>
        <w:trPr>
          <w:trHeight w:val="53"/>
        </w:trPr>
        <w:tc>
          <w:tcPr>
            <w:tcW w:w="898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r>
      <w:tr>
        <w:trPr>
          <w:trHeight w:val="373"/>
        </w:trPr>
        <w:tc>
          <w:tcPr>
            <w:tcW w:w="8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gridSpan w:val="3"/>
          </w:tcPr>
          <w:p>
            <w:pPr>
              <w:jc w:val="right"/>
              <w:spacing w:after="0"/>
              <w:rPr>
                <w:sz w:val="20"/>
                <w:szCs w:val="20"/>
                <w:color w:val="auto"/>
              </w:rPr>
            </w:pPr>
            <w:r>
              <w:rPr>
                <w:rFonts w:ascii="Arial" w:cs="Arial" w:eastAsia="Arial" w:hAnsi="Arial"/>
                <w:sz w:val="14"/>
                <w:szCs w:val="14"/>
                <w:i w:val="1"/>
                <w:iCs w:val="1"/>
                <w:color w:val="auto"/>
              </w:rPr>
              <w:t>(in millions)</w:t>
            </w:r>
          </w:p>
        </w:tc>
        <w:tc>
          <w:tcPr>
            <w:tcW w:w="820" w:type="dxa"/>
            <w:vAlign w:val="bottom"/>
          </w:tcPr>
          <w:p>
            <w:pPr>
              <w:spacing w:after="0"/>
              <w:rPr>
                <w:sz w:val="24"/>
                <w:szCs w:val="24"/>
                <w:color w:val="auto"/>
              </w:rPr>
            </w:pPr>
          </w:p>
        </w:tc>
      </w:tr>
      <w:tr>
        <w:trPr>
          <w:trHeight w:val="270"/>
        </w:trPr>
        <w:tc>
          <w:tcPr>
            <w:tcW w:w="8980" w:type="dxa"/>
            <w:vAlign w:val="bottom"/>
          </w:tcPr>
          <w:p>
            <w:pPr>
              <w:spacing w:after="0"/>
              <w:rPr>
                <w:sz w:val="20"/>
                <w:szCs w:val="20"/>
                <w:color w:val="auto"/>
              </w:rPr>
            </w:pPr>
            <w:r>
              <w:rPr>
                <w:rFonts w:ascii="Arial" w:cs="Arial" w:eastAsia="Arial" w:hAnsi="Arial"/>
                <w:sz w:val="14"/>
                <w:szCs w:val="14"/>
                <w:color w:val="auto"/>
              </w:rPr>
              <w:t>Net income</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2.6</w:t>
            </w:r>
          </w:p>
        </w:tc>
        <w:tc>
          <w:tcPr>
            <w:tcW w:w="100" w:type="dxa"/>
            <w:vAlign w:val="bottom"/>
          </w:tcPr>
          <w:p>
            <w:pPr>
              <w:spacing w:after="0"/>
              <w:rPr>
                <w:sz w:val="23"/>
                <w:szCs w:val="23"/>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11.2</w:t>
            </w:r>
          </w:p>
        </w:tc>
      </w:tr>
      <w:tr>
        <w:trPr>
          <w:trHeight w:val="270"/>
        </w:trPr>
        <w:tc>
          <w:tcPr>
            <w:tcW w:w="8980" w:type="dxa"/>
            <w:vAlign w:val="bottom"/>
          </w:tcPr>
          <w:p>
            <w:pPr>
              <w:spacing w:after="0"/>
              <w:rPr>
                <w:sz w:val="20"/>
                <w:szCs w:val="20"/>
                <w:color w:val="auto"/>
              </w:rPr>
            </w:pPr>
            <w:r>
              <w:rPr>
                <w:rFonts w:ascii="Arial" w:cs="Arial" w:eastAsia="Arial" w:hAnsi="Arial"/>
                <w:sz w:val="14"/>
                <w:szCs w:val="14"/>
                <w:color w:val="auto"/>
              </w:rPr>
              <w:t>Loss from discontinued operations, net of tax</w:t>
            </w:r>
          </w:p>
        </w:tc>
        <w:tc>
          <w:tcPr>
            <w:tcW w:w="220" w:type="dxa"/>
            <w:vAlign w:val="bottom"/>
          </w:tcPr>
          <w:p>
            <w:pPr>
              <w:spacing w:after="0"/>
              <w:rPr>
                <w:sz w:val="23"/>
                <w:szCs w:val="23"/>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3"/>
                <w:szCs w:val="23"/>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0.5</w:t>
            </w:r>
          </w:p>
        </w:tc>
      </w:tr>
      <w:tr>
        <w:trPr>
          <w:trHeight w:val="270"/>
        </w:trPr>
        <w:tc>
          <w:tcPr>
            <w:tcW w:w="8980" w:type="dxa"/>
            <w:vAlign w:val="bottom"/>
          </w:tcPr>
          <w:p>
            <w:pPr>
              <w:spacing w:after="0"/>
              <w:rPr>
                <w:sz w:val="20"/>
                <w:szCs w:val="20"/>
                <w:color w:val="auto"/>
              </w:rPr>
            </w:pPr>
            <w:r>
              <w:rPr>
                <w:rFonts w:ascii="Arial" w:cs="Arial" w:eastAsia="Arial" w:hAnsi="Arial"/>
                <w:sz w:val="14"/>
                <w:szCs w:val="14"/>
                <w:color w:val="auto"/>
              </w:rPr>
              <w:t>Interest expense</w:t>
            </w:r>
          </w:p>
        </w:tc>
        <w:tc>
          <w:tcPr>
            <w:tcW w:w="220" w:type="dxa"/>
            <w:vAlign w:val="bottom"/>
          </w:tcPr>
          <w:p>
            <w:pPr>
              <w:spacing w:after="0"/>
              <w:rPr>
                <w:sz w:val="23"/>
                <w:szCs w:val="23"/>
                <w:color w:val="auto"/>
              </w:rPr>
            </w:pP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8.6</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5.8</w:t>
            </w:r>
          </w:p>
        </w:tc>
      </w:tr>
      <w:tr>
        <w:trPr>
          <w:trHeight w:val="270"/>
        </w:trPr>
        <w:tc>
          <w:tcPr>
            <w:tcW w:w="8980" w:type="dxa"/>
            <w:vAlign w:val="bottom"/>
          </w:tcPr>
          <w:p>
            <w:pPr>
              <w:spacing w:after="0"/>
              <w:rPr>
                <w:sz w:val="20"/>
                <w:szCs w:val="20"/>
                <w:color w:val="auto"/>
              </w:rPr>
            </w:pPr>
            <w:r>
              <w:rPr>
                <w:rFonts w:ascii="Arial" w:cs="Arial" w:eastAsia="Arial" w:hAnsi="Arial"/>
                <w:sz w:val="14"/>
                <w:szCs w:val="14"/>
                <w:color w:val="auto"/>
              </w:rPr>
              <w:t>Interest income</w:t>
            </w:r>
          </w:p>
        </w:tc>
        <w:tc>
          <w:tcPr>
            <w:tcW w:w="220" w:type="dxa"/>
            <w:vAlign w:val="bottom"/>
          </w:tcPr>
          <w:p>
            <w:pPr>
              <w:spacing w:after="0"/>
              <w:rPr>
                <w:sz w:val="23"/>
                <w:szCs w:val="23"/>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(3.1)</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(4.3)</w:t>
            </w:r>
          </w:p>
        </w:tc>
      </w:tr>
      <w:tr>
        <w:trPr>
          <w:trHeight w:val="270"/>
        </w:trPr>
        <w:tc>
          <w:tcPr>
            <w:tcW w:w="8980" w:type="dxa"/>
            <w:vAlign w:val="bottom"/>
          </w:tcPr>
          <w:p>
            <w:pPr>
              <w:spacing w:after="0"/>
              <w:rPr>
                <w:sz w:val="20"/>
                <w:szCs w:val="20"/>
                <w:color w:val="auto"/>
              </w:rPr>
            </w:pPr>
            <w:r>
              <w:rPr>
                <w:rFonts w:ascii="Arial" w:cs="Arial" w:eastAsia="Arial" w:hAnsi="Arial"/>
                <w:sz w:val="14"/>
                <w:szCs w:val="14"/>
                <w:color w:val="auto"/>
              </w:rPr>
              <w:t>Income tax expense</w:t>
            </w:r>
          </w:p>
        </w:tc>
        <w:tc>
          <w:tcPr>
            <w:tcW w:w="220" w:type="dxa"/>
            <w:vAlign w:val="bottom"/>
          </w:tcPr>
          <w:p>
            <w:pPr>
              <w:spacing w:after="0"/>
              <w:rPr>
                <w:sz w:val="23"/>
                <w:szCs w:val="23"/>
                <w:color w:val="auto"/>
              </w:rPr>
            </w:pP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2.4</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5.8</w:t>
            </w:r>
          </w:p>
        </w:tc>
      </w:tr>
      <w:tr>
        <w:trPr>
          <w:trHeight w:val="276"/>
        </w:trPr>
        <w:tc>
          <w:tcPr>
            <w:tcW w:w="8980" w:type="dxa"/>
            <w:vAlign w:val="bottom"/>
          </w:tcPr>
          <w:p>
            <w:pPr>
              <w:spacing w:after="0"/>
              <w:rPr>
                <w:sz w:val="20"/>
                <w:szCs w:val="20"/>
                <w:color w:val="auto"/>
              </w:rPr>
            </w:pPr>
            <w:r>
              <w:rPr>
                <w:rFonts w:ascii="Arial" w:cs="Arial" w:eastAsia="Arial" w:hAnsi="Arial"/>
                <w:sz w:val="14"/>
                <w:szCs w:val="14"/>
                <w:color w:val="auto"/>
              </w:rPr>
              <w:t>Depreciation and amortization</w:t>
            </w: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7.0</w:t>
            </w: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6.5</w:t>
            </w:r>
          </w:p>
        </w:tc>
      </w:tr>
      <w:tr>
        <w:trPr>
          <w:trHeight w:val="244"/>
        </w:trPr>
        <w:tc>
          <w:tcPr>
            <w:tcW w:w="8980" w:type="dxa"/>
            <w:vAlign w:val="bottom"/>
          </w:tcPr>
          <w:p>
            <w:pPr>
              <w:ind w:left="240"/>
              <w:spacing w:after="0"/>
              <w:rPr>
                <w:sz w:val="20"/>
                <w:szCs w:val="20"/>
                <w:color w:val="auto"/>
              </w:rPr>
            </w:pPr>
            <w:r>
              <w:rPr>
                <w:rFonts w:ascii="Arial" w:cs="Arial" w:eastAsia="Arial" w:hAnsi="Arial"/>
                <w:sz w:val="14"/>
                <w:szCs w:val="14"/>
                <w:color w:val="auto"/>
              </w:rPr>
              <w:t>Adjusted EBITDA</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17.5</w:t>
            </w:r>
          </w:p>
        </w:tc>
        <w:tc>
          <w:tcPr>
            <w:tcW w:w="100" w:type="dxa"/>
            <w:vAlign w:val="bottom"/>
          </w:tcPr>
          <w:p>
            <w:pPr>
              <w:spacing w:after="0"/>
              <w:rPr>
                <w:sz w:val="21"/>
                <w:szCs w:val="21"/>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25.5</w:t>
            </w:r>
          </w:p>
        </w:tc>
      </w:tr>
    </w:tbl>
    <w:p>
      <w:pPr>
        <w:spacing w:after="0" w:line="219"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53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Revenues</w:t>
            </w: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9"/>
        </w:trPr>
        <w:tc>
          <w:tcPr>
            <w:tcW w:w="5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14"/>
                <w:szCs w:val="14"/>
                <w:i w:val="1"/>
                <w:iCs w:val="1"/>
                <w:color w:val="auto"/>
                <w:w w:val="98"/>
              </w:rPr>
              <w:t>(in millions)</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340" w:type="dxa"/>
            <w:vAlign w:val="bottom"/>
          </w:tcPr>
          <w:p>
            <w:pPr>
              <w:spacing w:after="0"/>
              <w:rPr>
                <w:sz w:val="20"/>
                <w:szCs w:val="20"/>
                <w:color w:val="auto"/>
              </w:rPr>
            </w:pPr>
            <w:r>
              <w:rPr>
                <w:rFonts w:ascii="Arial" w:cs="Arial" w:eastAsia="Arial" w:hAnsi="Arial"/>
                <w:sz w:val="14"/>
                <w:szCs w:val="14"/>
                <w:color w:val="auto"/>
              </w:rPr>
              <w:t>2019 Q2 reported</w:t>
            </w: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gridSpan w:val="3"/>
          </w:tcPr>
          <w:p>
            <w:pPr>
              <w:jc w:val="right"/>
              <w:ind w:right="8"/>
              <w:spacing w:after="0"/>
              <w:rPr>
                <w:sz w:val="20"/>
                <w:szCs w:val="20"/>
                <w:color w:val="auto"/>
              </w:rPr>
            </w:pPr>
            <w:r>
              <w:rPr>
                <w:rFonts w:ascii="Arial" w:cs="Arial" w:eastAsia="Arial" w:hAnsi="Arial"/>
                <w:sz w:val="14"/>
                <w:szCs w:val="14"/>
                <w:color w:val="auto"/>
                <w:w w:val="96"/>
              </w:rPr>
              <w:t>214.7</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340" w:type="dxa"/>
            <w:vAlign w:val="bottom"/>
          </w:tcPr>
          <w:p>
            <w:pPr>
              <w:spacing w:after="0"/>
              <w:rPr>
                <w:sz w:val="20"/>
                <w:szCs w:val="20"/>
                <w:color w:val="auto"/>
              </w:rPr>
            </w:pPr>
            <w:r>
              <w:rPr>
                <w:rFonts w:ascii="Arial" w:cs="Arial" w:eastAsia="Arial" w:hAnsi="Arial"/>
                <w:sz w:val="14"/>
                <w:szCs w:val="14"/>
                <w:color w:val="auto"/>
              </w:rPr>
              <w:t>Settlement of GPMX PSC-related indemnification claim</w:t>
            </w:r>
          </w:p>
        </w:tc>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40" w:type="dxa"/>
            <w:vAlign w:val="bottom"/>
            <w:gridSpan w:val="3"/>
          </w:tcPr>
          <w:p>
            <w:pPr>
              <w:jc w:val="right"/>
              <w:spacing w:after="0"/>
              <w:rPr>
                <w:sz w:val="20"/>
                <w:szCs w:val="20"/>
                <w:color w:val="auto"/>
              </w:rPr>
            </w:pPr>
            <w:r>
              <w:rPr>
                <w:rFonts w:ascii="Arial" w:cs="Arial" w:eastAsia="Arial" w:hAnsi="Arial"/>
                <w:sz w:val="14"/>
                <w:szCs w:val="14"/>
                <w:color w:val="auto"/>
              </w:rPr>
              <w:t>(1.1)</w:t>
            </w: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5340" w:type="dxa"/>
            <w:vAlign w:val="bottom"/>
          </w:tcPr>
          <w:p>
            <w:pPr>
              <w:spacing w:after="0"/>
              <w:rPr>
                <w:sz w:val="20"/>
                <w:szCs w:val="20"/>
                <w:color w:val="auto"/>
              </w:rPr>
            </w:pPr>
            <w:r>
              <w:rPr>
                <w:rFonts w:ascii="Arial" w:cs="Arial" w:eastAsia="Arial" w:hAnsi="Arial"/>
                <w:sz w:val="14"/>
                <w:szCs w:val="14"/>
                <w:color w:val="auto"/>
              </w:rPr>
              <w:t>Currency exchange rate fluctuations</w:t>
            </w:r>
          </w:p>
        </w:tc>
        <w:tc>
          <w:tcPr>
            <w:tcW w:w="8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4"/>
                <w:szCs w:val="14"/>
                <w:color w:val="auto"/>
              </w:rPr>
              <w:t>1.4</w:t>
            </w: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5340" w:type="dxa"/>
            <w:vAlign w:val="bottom"/>
          </w:tcPr>
          <w:p>
            <w:pPr>
              <w:ind w:left="240"/>
              <w:spacing w:after="0"/>
              <w:rPr>
                <w:sz w:val="20"/>
                <w:szCs w:val="20"/>
                <w:color w:val="auto"/>
              </w:rPr>
            </w:pPr>
            <w:r>
              <w:rPr>
                <w:rFonts w:ascii="Arial" w:cs="Arial" w:eastAsia="Arial" w:hAnsi="Arial"/>
                <w:sz w:val="14"/>
                <w:szCs w:val="14"/>
                <w:color w:val="auto"/>
              </w:rPr>
              <w:t>2019 Q2 adjusted</w:t>
            </w: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40" w:type="dxa"/>
            <w:vAlign w:val="bottom"/>
            <w:gridSpan w:val="3"/>
          </w:tcPr>
          <w:p>
            <w:pPr>
              <w:jc w:val="right"/>
              <w:ind w:right="8"/>
              <w:spacing w:after="0"/>
              <w:rPr>
                <w:sz w:val="20"/>
                <w:szCs w:val="20"/>
                <w:color w:val="auto"/>
              </w:rPr>
            </w:pPr>
            <w:r>
              <w:rPr>
                <w:rFonts w:ascii="Arial" w:cs="Arial" w:eastAsia="Arial" w:hAnsi="Arial"/>
                <w:sz w:val="14"/>
                <w:szCs w:val="14"/>
                <w:color w:val="auto"/>
                <w:w w:val="96"/>
              </w:rPr>
              <w:t>215.0</w:t>
            </w: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0"/>
        </w:trPr>
        <w:tc>
          <w:tcPr>
            <w:tcW w:w="5340" w:type="dxa"/>
            <w:vAlign w:val="bottom"/>
          </w:tcPr>
          <w:p>
            <w:pPr>
              <w:spacing w:after="0"/>
              <w:rPr>
                <w:sz w:val="24"/>
                <w:szCs w:val="24"/>
                <w:color w:val="auto"/>
              </w:rPr>
            </w:pPr>
          </w:p>
        </w:tc>
        <w:tc>
          <w:tcPr>
            <w:tcW w:w="12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5"/>
              </w:rPr>
              <w:t>Income from</w:t>
            </w: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4"/>
              </w:rPr>
              <w:t>Net Income from</w:t>
            </w: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5340" w:type="dxa"/>
            <w:vAlign w:val="bottom"/>
          </w:tcPr>
          <w:p>
            <w:pPr>
              <w:spacing w:after="0"/>
              <w:rPr>
                <w:sz w:val="12"/>
                <w:szCs w:val="12"/>
                <w:color w:val="auto"/>
              </w:rPr>
            </w:pPr>
          </w:p>
        </w:tc>
        <w:tc>
          <w:tcPr>
            <w:tcW w:w="12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Continuing</w:t>
            </w: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3"/>
            <w:vMerge w:val="continue"/>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340" w:type="dxa"/>
            <w:vAlign w:val="bottom"/>
          </w:tcPr>
          <w:p>
            <w:pPr>
              <w:spacing w:after="0"/>
              <w:rPr>
                <w:sz w:val="12"/>
                <w:szCs w:val="12"/>
                <w:color w:val="auto"/>
              </w:rPr>
            </w:pPr>
          </w:p>
        </w:tc>
        <w:tc>
          <w:tcPr>
            <w:tcW w:w="128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Operations,</w:t>
            </w:r>
          </w:p>
        </w:tc>
        <w:tc>
          <w:tcPr>
            <w:tcW w:w="760" w:type="dxa"/>
            <w:vAlign w:val="bottom"/>
            <w:vMerge w:val="restart"/>
          </w:tcPr>
          <w:p>
            <w:pPr>
              <w:ind w:left="100"/>
              <w:spacing w:after="0"/>
              <w:rPr>
                <w:sz w:val="20"/>
                <w:szCs w:val="20"/>
                <w:color w:val="auto"/>
              </w:rPr>
            </w:pPr>
            <w:r>
              <w:rPr>
                <w:rFonts w:ascii="Arial" w:cs="Arial" w:eastAsia="Arial" w:hAnsi="Arial"/>
                <w:sz w:val="14"/>
                <w:szCs w:val="14"/>
                <w:b w:val="1"/>
                <w:bCs w:val="1"/>
                <w:color w:val="auto"/>
                <w:w w:val="95"/>
              </w:rPr>
              <w:t>Tax Effect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Continuing</w:t>
            </w:r>
          </w:p>
        </w:tc>
        <w:tc>
          <w:tcPr>
            <w:tcW w:w="124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Adjusted EBITDA</w:t>
            </w:r>
          </w:p>
        </w:tc>
        <w:tc>
          <w:tcPr>
            <w:tcW w:w="120" w:type="dxa"/>
            <w:vAlign w:val="bottom"/>
            <w:vMerge w:val="restart"/>
          </w:tcPr>
          <w:p>
            <w:pPr>
              <w:spacing w:after="0"/>
              <w:rPr>
                <w:sz w:val="12"/>
                <w:szCs w:val="12"/>
                <w:color w:val="auto"/>
              </w:rPr>
            </w:pPr>
          </w:p>
        </w:tc>
        <w:tc>
          <w:tcPr>
            <w:tcW w:w="1240" w:type="dxa"/>
            <w:vAlign w:val="bottom"/>
            <w:vMerge w:val="restart"/>
          </w:tcPr>
          <w:p>
            <w:pPr>
              <w:ind w:left="480"/>
              <w:spacing w:after="0"/>
              <w:rPr>
                <w:sz w:val="20"/>
                <w:szCs w:val="20"/>
                <w:color w:val="auto"/>
              </w:rPr>
            </w:pPr>
            <w:r>
              <w:rPr>
                <w:rFonts w:ascii="Arial" w:cs="Arial" w:eastAsia="Arial" w:hAnsi="Arial"/>
                <w:sz w:val="14"/>
                <w:szCs w:val="14"/>
                <w:b w:val="1"/>
                <w:bCs w:val="1"/>
                <w:color w:val="auto"/>
              </w:rPr>
              <w:t>EPS</w:t>
            </w:r>
          </w:p>
        </w:tc>
        <w:tc>
          <w:tcPr>
            <w:tcW w:w="0" w:type="dxa"/>
            <w:vAlign w:val="bottom"/>
          </w:tcPr>
          <w:p>
            <w:pPr>
              <w:spacing w:after="0"/>
              <w:rPr>
                <w:sz w:val="1"/>
                <w:szCs w:val="1"/>
                <w:color w:val="auto"/>
              </w:rPr>
            </w:pPr>
          </w:p>
        </w:tc>
      </w:tr>
      <w:tr>
        <w:trPr>
          <w:trHeight w:val="192"/>
        </w:trPr>
        <w:tc>
          <w:tcPr>
            <w:tcW w:w="5340" w:type="dxa"/>
            <w:vAlign w:val="bottom"/>
          </w:tcPr>
          <w:p>
            <w:pPr>
              <w:spacing w:after="0"/>
              <w:rPr>
                <w:sz w:val="16"/>
                <w:szCs w:val="16"/>
                <w:color w:val="auto"/>
              </w:rPr>
            </w:pPr>
          </w:p>
        </w:tc>
        <w:tc>
          <w:tcPr>
            <w:tcW w:w="11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Before Tax</w:t>
            </w:r>
          </w:p>
        </w:tc>
        <w:tc>
          <w:tcPr>
            <w:tcW w:w="120" w:type="dxa"/>
            <w:vAlign w:val="bottom"/>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Operations</w:t>
            </w:r>
          </w:p>
        </w:tc>
        <w:tc>
          <w:tcPr>
            <w:tcW w:w="100" w:type="dxa"/>
            <w:vAlign w:val="bottom"/>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sectPr>
          <w:pgSz w:w="11900" w:h="16838" w:orient="portrait"/>
          <w:cols w:equalWidth="0" w:num="1">
            <w:col w:w="11420"/>
          </w:cols>
          <w:pgMar w:left="240" w:top="746" w:right="239" w:bottom="1440" w:gutter="0" w:footer="0" w:header="0"/>
        </w:sectPr>
      </w:pPr>
    </w:p>
    <w:p>
      <w:pPr>
        <w:spacing w:after="0" w:line="270" w:lineRule="exact"/>
        <w:rPr>
          <w:sz w:val="20"/>
          <w:szCs w:val="20"/>
          <w:color w:val="auto"/>
        </w:rPr>
      </w:pPr>
    </w:p>
    <w:p>
      <w:pPr>
        <w:ind w:left="40"/>
        <w:spacing w:after="0"/>
        <w:rPr>
          <w:sz w:val="20"/>
          <w:szCs w:val="20"/>
          <w:color w:val="auto"/>
        </w:rPr>
      </w:pPr>
      <w:r>
        <w:rPr>
          <w:rFonts w:ascii="Arial" w:cs="Arial" w:eastAsia="Arial" w:hAnsi="Arial"/>
          <w:sz w:val="14"/>
          <w:szCs w:val="14"/>
          <w:color w:val="auto"/>
        </w:rPr>
        <w:t>2019 Q2 reported</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Acquisition costs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Impairment on CCV investment</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Adjustment for Republic Metals Corporation recovery</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Deconsolidation of previously consolidated subsidiary</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Settlement of GPMX PSC-related indemnification claim</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Currency exchange rate fluctuations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Non-cash net interest expense</w:t>
      </w:r>
    </w:p>
    <w:p>
      <w:pPr>
        <w:spacing w:after="0" w:line="109" w:lineRule="exact"/>
        <w:rPr>
          <w:sz w:val="20"/>
          <w:szCs w:val="20"/>
          <w:color w:val="auto"/>
        </w:rPr>
      </w:pPr>
    </w:p>
    <w:p>
      <w:pPr>
        <w:ind w:left="280" w:hanging="242"/>
        <w:spacing w:after="0" w:line="434" w:lineRule="auto"/>
        <w:rPr>
          <w:sz w:val="20"/>
          <w:szCs w:val="20"/>
          <w:color w:val="auto"/>
        </w:rPr>
      </w:pPr>
      <w:r>
        <w:rPr>
          <w:rFonts w:ascii="Arial" w:cs="Arial" w:eastAsia="Arial" w:hAnsi="Arial"/>
          <w:sz w:val="14"/>
          <w:szCs w:val="14"/>
          <w:color w:val="auto"/>
        </w:rPr>
        <w:t>Discretionary strategic investment in digital platform and board of director search fees 2019 Q2 adjusted</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gridSpan w:val="2"/>
          </w:tcPr>
          <w:p>
            <w:pPr>
              <w:ind w:left="180"/>
              <w:spacing w:after="0"/>
              <w:rPr>
                <w:sz w:val="20"/>
                <w:szCs w:val="20"/>
                <w:color w:val="auto"/>
              </w:rPr>
            </w:pPr>
            <w:r>
              <w:rPr>
                <w:rFonts w:ascii="Arial" w:cs="Arial" w:eastAsia="Arial" w:hAnsi="Arial"/>
                <w:sz w:val="14"/>
                <w:szCs w:val="14"/>
                <w:i w:val="1"/>
                <w:iCs w:val="1"/>
                <w:color w:val="auto"/>
              </w:rPr>
              <w:t>(in millions)</w:t>
            </w:r>
          </w:p>
        </w:tc>
        <w:tc>
          <w:tcPr>
            <w:tcW w:w="5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270"/>
        </w:trPr>
        <w:tc>
          <w:tcPr>
            <w:tcW w:w="4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5.0</w:t>
            </w:r>
          </w:p>
        </w:tc>
        <w:tc>
          <w:tcPr>
            <w:tcW w:w="120" w:type="dxa"/>
            <w:vAlign w:val="bottom"/>
          </w:tcPr>
          <w:p>
            <w:pPr>
              <w:spacing w:after="0"/>
              <w:rPr>
                <w:sz w:val="23"/>
                <w:szCs w:val="23"/>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(2.3)</w:t>
            </w:r>
          </w:p>
        </w:tc>
        <w:tc>
          <w:tcPr>
            <w:tcW w:w="120" w:type="dxa"/>
            <w:vAlign w:val="bottom"/>
          </w:tcPr>
          <w:p>
            <w:pPr>
              <w:spacing w:after="0"/>
              <w:rPr>
                <w:sz w:val="23"/>
                <w:szCs w:val="23"/>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2.7</w:t>
            </w:r>
          </w:p>
        </w:tc>
        <w:tc>
          <w:tcPr>
            <w:tcW w:w="100" w:type="dxa"/>
            <w:vAlign w:val="bottom"/>
          </w:tcPr>
          <w:p>
            <w:pPr>
              <w:spacing w:after="0"/>
              <w:rPr>
                <w:sz w:val="23"/>
                <w:szCs w:val="23"/>
                <w:color w:val="auto"/>
              </w:rPr>
            </w:pPr>
          </w:p>
        </w:tc>
        <w:tc>
          <w:tcPr>
            <w:tcW w:w="50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17.5</w:t>
            </w:r>
          </w:p>
        </w:tc>
        <w:tc>
          <w:tcPr>
            <w:tcW w:w="120" w:type="dxa"/>
            <w:vAlign w:val="bottom"/>
          </w:tcPr>
          <w:p>
            <w:pPr>
              <w:spacing w:after="0"/>
              <w:rPr>
                <w:sz w:val="23"/>
                <w:szCs w:val="23"/>
                <w:color w:val="auto"/>
              </w:rPr>
            </w:pPr>
          </w:p>
        </w:tc>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0.06</w:t>
            </w:r>
          </w:p>
        </w:tc>
      </w:tr>
      <w:tr>
        <w:trPr>
          <w:trHeight w:val="270"/>
        </w:trPr>
        <w:tc>
          <w:tcPr>
            <w:tcW w:w="440" w:type="dxa"/>
            <w:vAlign w:val="bottom"/>
          </w:tcPr>
          <w:p>
            <w:pPr>
              <w:spacing w:after="0"/>
              <w:rPr>
                <w:sz w:val="23"/>
                <w:szCs w:val="23"/>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0.1</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0.1</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440" w:type="dxa"/>
            <w:vAlign w:val="bottom"/>
          </w:tcPr>
          <w:p>
            <w:pPr>
              <w:spacing w:after="0"/>
              <w:rPr>
                <w:sz w:val="23"/>
                <w:szCs w:val="23"/>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6.5</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(1.5)</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5.0</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6.5</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0.09</w:t>
            </w:r>
          </w:p>
        </w:tc>
      </w:tr>
      <w:tr>
        <w:trPr>
          <w:trHeight w:val="270"/>
        </w:trPr>
        <w:tc>
          <w:tcPr>
            <w:tcW w:w="44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(0.8)</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20" w:type="dxa"/>
            <w:vAlign w:val="bottom"/>
          </w:tcPr>
          <w:p>
            <w:pPr>
              <w:jc w:val="right"/>
              <w:ind w:right="48"/>
              <w:spacing w:after="0"/>
              <w:rPr>
                <w:sz w:val="20"/>
                <w:szCs w:val="20"/>
                <w:color w:val="auto"/>
              </w:rPr>
            </w:pPr>
            <w:r>
              <w:rPr>
                <w:rFonts w:ascii="Arial" w:cs="Arial" w:eastAsia="Arial" w:hAnsi="Arial"/>
                <w:sz w:val="14"/>
                <w:szCs w:val="14"/>
                <w:color w:val="auto"/>
              </w:rPr>
              <w:t>0.2</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(0.6)</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(0.8)</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(0.01)</w:t>
            </w:r>
          </w:p>
        </w:tc>
      </w:tr>
      <w:tr>
        <w:trPr>
          <w:trHeight w:val="270"/>
        </w:trPr>
        <w:tc>
          <w:tcPr>
            <w:tcW w:w="440" w:type="dxa"/>
            <w:vAlign w:val="bottom"/>
          </w:tcPr>
          <w:p>
            <w:pPr>
              <w:spacing w:after="0"/>
              <w:rPr>
                <w:sz w:val="23"/>
                <w:szCs w:val="23"/>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0.3</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(0.1)</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0.2</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0.3</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44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(1.1)</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20" w:type="dxa"/>
            <w:vAlign w:val="bottom"/>
          </w:tcPr>
          <w:p>
            <w:pPr>
              <w:jc w:val="right"/>
              <w:ind w:right="48"/>
              <w:spacing w:after="0"/>
              <w:rPr>
                <w:sz w:val="20"/>
                <w:szCs w:val="20"/>
                <w:color w:val="auto"/>
              </w:rPr>
            </w:pPr>
            <w:r>
              <w:rPr>
                <w:rFonts w:ascii="Arial" w:cs="Arial" w:eastAsia="Arial" w:hAnsi="Arial"/>
                <w:sz w:val="14"/>
                <w:szCs w:val="14"/>
                <w:color w:val="auto"/>
              </w:rPr>
              <w:t>0.3</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(0.8)</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(1.1)</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(0.01)</w:t>
            </w:r>
          </w:p>
        </w:tc>
      </w:tr>
      <w:tr>
        <w:trPr>
          <w:trHeight w:val="270"/>
        </w:trPr>
        <w:tc>
          <w:tcPr>
            <w:tcW w:w="440" w:type="dxa"/>
            <w:vAlign w:val="bottom"/>
          </w:tcPr>
          <w:p>
            <w:pPr>
              <w:spacing w:after="0"/>
              <w:rPr>
                <w:sz w:val="23"/>
                <w:szCs w:val="23"/>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0.2</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(0.1)</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0.2</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440" w:type="dxa"/>
            <w:vAlign w:val="bottom"/>
          </w:tcPr>
          <w:p>
            <w:pPr>
              <w:spacing w:after="0"/>
              <w:rPr>
                <w:sz w:val="23"/>
                <w:szCs w:val="23"/>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4.5</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(1.1)</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3.4</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0.06</w:t>
            </w:r>
          </w:p>
        </w:tc>
      </w:tr>
      <w:tr>
        <w:trPr>
          <w:trHeight w:val="276"/>
        </w:trPr>
        <w:tc>
          <w:tcPr>
            <w:tcW w:w="4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1.9</w:t>
            </w:r>
          </w:p>
        </w:tc>
        <w:tc>
          <w:tcPr>
            <w:tcW w:w="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(0.4)</w:t>
            </w: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1.9</w:t>
            </w:r>
          </w:p>
        </w:tc>
        <w:tc>
          <w:tcPr>
            <w:tcW w:w="12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0.03</w:t>
            </w:r>
          </w:p>
        </w:tc>
      </w:tr>
      <w:tr>
        <w:trPr>
          <w:trHeight w:val="244"/>
        </w:trPr>
        <w:tc>
          <w:tcPr>
            <w:tcW w:w="4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16.6</w:t>
            </w:r>
          </w:p>
        </w:tc>
        <w:tc>
          <w:tcPr>
            <w:tcW w:w="120" w:type="dxa"/>
            <w:vAlign w:val="bottom"/>
          </w:tcPr>
          <w:p>
            <w:pPr>
              <w:spacing w:after="0"/>
              <w:rPr>
                <w:sz w:val="21"/>
                <w:szCs w:val="21"/>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(5.0)</w:t>
            </w:r>
          </w:p>
        </w:tc>
        <w:tc>
          <w:tcPr>
            <w:tcW w:w="120" w:type="dxa"/>
            <w:vAlign w:val="bottom"/>
          </w:tcPr>
          <w:p>
            <w:pPr>
              <w:spacing w:after="0"/>
              <w:rPr>
                <w:sz w:val="21"/>
                <w:szCs w:val="21"/>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11.6</w:t>
            </w:r>
          </w:p>
        </w:tc>
        <w:tc>
          <w:tcPr>
            <w:tcW w:w="100" w:type="dxa"/>
            <w:vAlign w:val="bottom"/>
          </w:tcPr>
          <w:p>
            <w:pPr>
              <w:spacing w:after="0"/>
              <w:rPr>
                <w:sz w:val="21"/>
                <w:szCs w:val="21"/>
                <w:color w:val="auto"/>
              </w:rPr>
            </w:pPr>
          </w:p>
        </w:tc>
        <w:tc>
          <w:tcPr>
            <w:tcW w:w="50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24.6</w:t>
            </w:r>
          </w:p>
        </w:tc>
        <w:tc>
          <w:tcPr>
            <w:tcW w:w="120" w:type="dxa"/>
            <w:vAlign w:val="bottom"/>
          </w:tcPr>
          <w:p>
            <w:pPr>
              <w:spacing w:after="0"/>
              <w:rPr>
                <w:sz w:val="21"/>
                <w:szCs w:val="21"/>
                <w:color w:val="auto"/>
              </w:rPr>
            </w:pPr>
          </w:p>
        </w:tc>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0.22</w:t>
            </w:r>
          </w:p>
        </w:tc>
      </w:tr>
    </w:tbl>
    <w:p>
      <w:pPr>
        <w:sectPr>
          <w:pgSz w:w="11900" w:h="16838" w:orient="portrait"/>
          <w:cols w:equalWidth="0" w:num="2">
            <w:col w:w="5020" w:space="360"/>
            <w:col w:w="6040"/>
          </w:cols>
          <w:pgMar w:left="240" w:top="746" w:right="239" w:bottom="1440" w:gutter="0" w:footer="0" w:header="0"/>
          <w:type w:val="continuous"/>
        </w:sectPr>
      </w:pPr>
    </w:p>
    <w:bookmarkStart w:id="16" w:name="page17"/>
    <w:bookmarkEnd w:id="1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80" w:type="dxa"/>
            <w:vAlign w:val="bottom"/>
          </w:tcPr>
          <w:p>
            <w:pPr>
              <w:spacing w:after="0"/>
              <w:rPr>
                <w:sz w:val="14"/>
                <w:szCs w:val="14"/>
                <w:color w:val="auto"/>
              </w:rPr>
            </w:pPr>
          </w:p>
        </w:tc>
        <w:tc>
          <w:tcPr>
            <w:tcW w:w="140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95"/>
              </w:rPr>
              <w:t>Income from</w:t>
            </w:r>
          </w:p>
        </w:tc>
        <w:tc>
          <w:tcPr>
            <w:tcW w:w="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Net Income</w:t>
            </w: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580" w:type="dxa"/>
            <w:vAlign w:val="bottom"/>
          </w:tcPr>
          <w:p>
            <w:pPr>
              <w:spacing w:after="0"/>
              <w:rPr>
                <w:sz w:val="12"/>
                <w:szCs w:val="12"/>
                <w:color w:val="auto"/>
              </w:rPr>
            </w:pPr>
          </w:p>
        </w:tc>
        <w:tc>
          <w:tcPr>
            <w:tcW w:w="1400" w:type="dxa"/>
            <w:vAlign w:val="bottom"/>
            <w:gridSpan w:val="5"/>
          </w:tcPr>
          <w:p>
            <w:pPr>
              <w:jc w:val="center"/>
              <w:ind w:right="140"/>
              <w:spacing w:after="0" w:line="149" w:lineRule="exact"/>
              <w:rPr>
                <w:sz w:val="20"/>
                <w:szCs w:val="20"/>
                <w:color w:val="auto"/>
              </w:rPr>
            </w:pPr>
            <w:r>
              <w:rPr>
                <w:rFonts w:ascii="Arial" w:cs="Arial" w:eastAsia="Arial" w:hAnsi="Arial"/>
                <w:sz w:val="14"/>
                <w:szCs w:val="14"/>
                <w:b w:val="1"/>
                <w:bCs w:val="1"/>
                <w:color w:val="auto"/>
                <w:w w:val="94"/>
              </w:rPr>
              <w:t>Continuing</w:t>
            </w:r>
          </w:p>
        </w:tc>
        <w:tc>
          <w:tcPr>
            <w:tcW w:w="4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6"/>
              </w:rPr>
              <w:t>from</w:t>
            </w:r>
          </w:p>
        </w:tc>
        <w:tc>
          <w:tcPr>
            <w:tcW w:w="200" w:type="dxa"/>
            <w:vAlign w:val="bottom"/>
          </w:tcPr>
          <w:p>
            <w:pPr>
              <w:spacing w:after="0"/>
              <w:rPr>
                <w:sz w:val="12"/>
                <w:szCs w:val="12"/>
                <w:color w:val="auto"/>
              </w:rPr>
            </w:pPr>
          </w:p>
        </w:tc>
        <w:tc>
          <w:tcPr>
            <w:tcW w:w="1020" w:type="dxa"/>
            <w:vAlign w:val="bottom"/>
            <w:gridSpan w:val="4"/>
            <w:vMerge w:val="restart"/>
          </w:tcPr>
          <w:p>
            <w:pPr>
              <w:ind w:left="80"/>
              <w:spacing w:after="0"/>
              <w:rPr>
                <w:sz w:val="20"/>
                <w:szCs w:val="20"/>
                <w:color w:val="auto"/>
              </w:rPr>
            </w:pPr>
            <w:r>
              <w:rPr>
                <w:rFonts w:ascii="Arial" w:cs="Arial" w:eastAsia="Arial" w:hAnsi="Arial"/>
                <w:sz w:val="14"/>
                <w:szCs w:val="14"/>
                <w:b w:val="1"/>
                <w:bCs w:val="1"/>
                <w:color w:val="auto"/>
              </w:rPr>
              <w:t>Adjusted</w:t>
            </w: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580" w:type="dxa"/>
            <w:vAlign w:val="bottom"/>
          </w:tcPr>
          <w:p>
            <w:pPr>
              <w:spacing w:after="0"/>
              <w:rPr>
                <w:sz w:val="12"/>
                <w:szCs w:val="12"/>
                <w:color w:val="auto"/>
              </w:rPr>
            </w:pPr>
          </w:p>
        </w:tc>
        <w:tc>
          <w:tcPr>
            <w:tcW w:w="1400" w:type="dxa"/>
            <w:vAlign w:val="bottom"/>
            <w:gridSpan w:val="5"/>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Operations, Before</w:t>
            </w:r>
          </w:p>
        </w:tc>
        <w:tc>
          <w:tcPr>
            <w:tcW w:w="820" w:type="dxa"/>
            <w:vAlign w:val="bottom"/>
            <w:gridSpan w:val="2"/>
            <w:vMerge w:val="restart"/>
          </w:tcPr>
          <w:p>
            <w:pPr>
              <w:jc w:val="right"/>
              <w:ind w:right="28"/>
              <w:spacing w:after="0"/>
              <w:rPr>
                <w:sz w:val="20"/>
                <w:szCs w:val="20"/>
                <w:color w:val="auto"/>
              </w:rPr>
            </w:pPr>
            <w:r>
              <w:rPr>
                <w:rFonts w:ascii="Arial" w:cs="Arial" w:eastAsia="Arial" w:hAnsi="Arial"/>
                <w:sz w:val="14"/>
                <w:szCs w:val="14"/>
                <w:b w:val="1"/>
                <w:bCs w:val="1"/>
                <w:color w:val="auto"/>
              </w:rPr>
              <w:t>Tax Effect</w:t>
            </w:r>
          </w:p>
        </w:tc>
        <w:tc>
          <w:tcPr>
            <w:tcW w:w="100" w:type="dxa"/>
            <w:vAlign w:val="bottom"/>
            <w:gridSpan w:val="3"/>
            <w:vMerge w:val="restart"/>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Continuing</w:t>
            </w:r>
          </w:p>
        </w:tc>
        <w:tc>
          <w:tcPr>
            <w:tcW w:w="200" w:type="dxa"/>
            <w:vAlign w:val="bottom"/>
          </w:tcPr>
          <w:p>
            <w:pPr>
              <w:spacing w:after="0"/>
              <w:rPr>
                <w:sz w:val="12"/>
                <w:szCs w:val="12"/>
                <w:color w:val="auto"/>
              </w:rPr>
            </w:pPr>
          </w:p>
        </w:tc>
        <w:tc>
          <w:tcPr>
            <w:tcW w:w="1020" w:type="dxa"/>
            <w:vAlign w:val="bottom"/>
            <w:gridSpan w:val="4"/>
            <w:vMerge w:val="continue"/>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vMerge w:val="restart"/>
          </w:tcPr>
          <w:p>
            <w:pPr>
              <w:jc w:val="right"/>
              <w:ind w:right="348"/>
              <w:spacing w:after="0"/>
              <w:rPr>
                <w:sz w:val="20"/>
                <w:szCs w:val="20"/>
                <w:color w:val="auto"/>
              </w:rPr>
            </w:pPr>
            <w:r>
              <w:rPr>
                <w:rFonts w:ascii="Arial" w:cs="Arial" w:eastAsia="Arial" w:hAnsi="Arial"/>
                <w:sz w:val="14"/>
                <w:szCs w:val="14"/>
                <w:b w:val="1"/>
                <w:bCs w:val="1"/>
                <w:color w:val="auto"/>
              </w:rPr>
              <w:t>EPS</w:t>
            </w:r>
          </w:p>
        </w:tc>
        <w:tc>
          <w:tcPr>
            <w:tcW w:w="0" w:type="dxa"/>
            <w:vAlign w:val="bottom"/>
          </w:tcPr>
          <w:p>
            <w:pPr>
              <w:spacing w:after="0"/>
              <w:rPr>
                <w:sz w:val="1"/>
                <w:szCs w:val="1"/>
                <w:color w:val="auto"/>
              </w:rPr>
            </w:pPr>
          </w:p>
        </w:tc>
      </w:tr>
      <w:tr>
        <w:trPr>
          <w:trHeight w:val="192"/>
        </w:trPr>
        <w:tc>
          <w:tcPr>
            <w:tcW w:w="5580" w:type="dxa"/>
            <w:vAlign w:val="bottom"/>
          </w:tcPr>
          <w:p>
            <w:pPr>
              <w:spacing w:after="0"/>
              <w:rPr>
                <w:sz w:val="16"/>
                <w:szCs w:val="16"/>
                <w:color w:val="auto"/>
              </w:rPr>
            </w:pPr>
          </w:p>
        </w:tc>
        <w:tc>
          <w:tcPr>
            <w:tcW w:w="840" w:type="dxa"/>
            <w:vAlign w:val="bottom"/>
            <w:tcBorders>
              <w:bottom w:val="single" w:sz="8" w:color="auto"/>
            </w:tcBorders>
            <w:gridSpan w:val="3"/>
          </w:tcPr>
          <w:p>
            <w:pPr>
              <w:jc w:val="center"/>
              <w:ind w:left="348"/>
              <w:spacing w:after="0"/>
              <w:rPr>
                <w:sz w:val="20"/>
                <w:szCs w:val="20"/>
                <w:color w:val="auto"/>
              </w:rPr>
            </w:pPr>
            <w:r>
              <w:rPr>
                <w:rFonts w:ascii="Arial" w:cs="Arial" w:eastAsia="Arial" w:hAnsi="Arial"/>
                <w:sz w:val="14"/>
                <w:szCs w:val="14"/>
                <w:b w:val="1"/>
                <w:bCs w:val="1"/>
                <w:color w:val="auto"/>
                <w:w w:val="90"/>
              </w:rPr>
              <w:t>Tax</w:t>
            </w:r>
          </w:p>
        </w:tc>
        <w:tc>
          <w:tcPr>
            <w:tcW w:w="4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Borders>
              <w:bottom w:val="single" w:sz="8" w:color="auto"/>
            </w:tcBorders>
            <w:gridSpan w:val="2"/>
            <w:vMerge w:val="continue"/>
          </w:tcPr>
          <w:p>
            <w:pPr>
              <w:spacing w:after="0"/>
              <w:rPr>
                <w:sz w:val="16"/>
                <w:szCs w:val="16"/>
                <w:color w:val="auto"/>
              </w:rPr>
            </w:pPr>
          </w:p>
        </w:tc>
        <w:tc>
          <w:tcPr>
            <w:tcW w:w="100" w:type="dxa"/>
            <w:vAlign w:val="bottom"/>
            <w:gridSpan w:val="3"/>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31"/>
              <w:spacing w:after="0"/>
              <w:rPr>
                <w:sz w:val="20"/>
                <w:szCs w:val="20"/>
                <w:color w:val="auto"/>
              </w:rPr>
            </w:pPr>
            <w:r>
              <w:rPr>
                <w:rFonts w:ascii="Arial" w:cs="Arial" w:eastAsia="Arial" w:hAnsi="Arial"/>
                <w:sz w:val="14"/>
                <w:szCs w:val="14"/>
                <w:b w:val="1"/>
                <w:bCs w:val="1"/>
                <w:color w:val="auto"/>
                <w:w w:val="91"/>
              </w:rPr>
              <w:t>Operations</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EBITDA</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79"/>
        </w:trPr>
        <w:tc>
          <w:tcPr>
            <w:tcW w:w="5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gridSpan w:val="2"/>
          </w:tcPr>
          <w:p>
            <w:pPr>
              <w:ind w:left="120"/>
              <w:spacing w:after="0"/>
              <w:rPr>
                <w:sz w:val="20"/>
                <w:szCs w:val="20"/>
                <w:color w:val="auto"/>
              </w:rPr>
            </w:pPr>
            <w:r>
              <w:rPr>
                <w:rFonts w:ascii="Arial" w:cs="Arial" w:eastAsia="Arial" w:hAnsi="Arial"/>
                <w:sz w:val="14"/>
                <w:szCs w:val="14"/>
                <w:i w:val="1"/>
                <w:iCs w:val="1"/>
                <w:color w:val="auto"/>
              </w:rPr>
              <w:t>(in millions)</w:t>
            </w: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580" w:type="dxa"/>
            <w:vAlign w:val="bottom"/>
          </w:tcPr>
          <w:p>
            <w:pPr>
              <w:spacing w:after="0"/>
              <w:rPr>
                <w:sz w:val="20"/>
                <w:szCs w:val="20"/>
                <w:color w:val="auto"/>
              </w:rPr>
            </w:pPr>
            <w:r>
              <w:rPr>
                <w:rFonts w:ascii="Arial" w:cs="Arial" w:eastAsia="Arial" w:hAnsi="Arial"/>
                <w:sz w:val="14"/>
                <w:szCs w:val="14"/>
                <w:color w:val="auto"/>
              </w:rPr>
              <w:t>2018 Q2 reported</w:t>
            </w:r>
          </w:p>
        </w:tc>
        <w:tc>
          <w:tcPr>
            <w:tcW w:w="580" w:type="dxa"/>
            <w:vAlign w:val="bottom"/>
          </w:tcPr>
          <w:p>
            <w:pPr>
              <w:jc w:val="right"/>
              <w:ind w:right="40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40" w:type="dxa"/>
            <w:vAlign w:val="bottom"/>
          </w:tcPr>
          <w:p>
            <w:pPr>
              <w:jc w:val="right"/>
              <w:ind w:right="48"/>
              <w:spacing w:after="0"/>
              <w:rPr>
                <w:sz w:val="20"/>
                <w:szCs w:val="20"/>
                <w:color w:val="auto"/>
              </w:rPr>
            </w:pPr>
            <w:r>
              <w:rPr>
                <w:rFonts w:ascii="Arial" w:cs="Arial" w:eastAsia="Arial" w:hAnsi="Arial"/>
                <w:sz w:val="14"/>
                <w:szCs w:val="14"/>
                <w:color w:val="auto"/>
              </w:rPr>
              <w:t>17.5</w:t>
            </w:r>
          </w:p>
        </w:tc>
        <w:tc>
          <w:tcPr>
            <w:tcW w:w="120" w:type="dxa"/>
            <w:vAlign w:val="bottom"/>
          </w:tcPr>
          <w:p>
            <w:pPr>
              <w:spacing w:after="0"/>
              <w:rPr>
                <w:sz w:val="23"/>
                <w:szCs w:val="23"/>
                <w:color w:val="auto"/>
              </w:rPr>
            </w:pPr>
          </w:p>
        </w:tc>
        <w:tc>
          <w:tcPr>
            <w:tcW w:w="440" w:type="dxa"/>
            <w:vAlign w:val="bottom"/>
          </w:tcPr>
          <w:p>
            <w:pPr>
              <w:jc w:val="center"/>
              <w:ind w:right="248"/>
              <w:spacing w:after="0"/>
              <w:rPr>
                <w:sz w:val="20"/>
                <w:szCs w:val="20"/>
                <w:color w:val="auto"/>
              </w:rPr>
            </w:pPr>
            <w:r>
              <w:rPr>
                <w:rFonts w:ascii="Arial" w:cs="Arial" w:eastAsia="Arial" w:hAnsi="Arial"/>
                <w:sz w:val="14"/>
                <w:szCs w:val="14"/>
                <w:color w:val="auto"/>
              </w:rPr>
              <w:t>$</w:t>
            </w:r>
          </w:p>
        </w:tc>
        <w:tc>
          <w:tcPr>
            <w:tcW w:w="380" w:type="dxa"/>
            <w:vAlign w:val="bottom"/>
          </w:tcPr>
          <w:p>
            <w:pPr>
              <w:jc w:val="right"/>
              <w:ind w:right="8"/>
              <w:spacing w:after="0"/>
              <w:rPr>
                <w:sz w:val="20"/>
                <w:szCs w:val="20"/>
                <w:color w:val="auto"/>
              </w:rPr>
            </w:pPr>
            <w:r>
              <w:rPr>
                <w:rFonts w:ascii="Arial" w:cs="Arial" w:eastAsia="Arial" w:hAnsi="Arial"/>
                <w:sz w:val="14"/>
                <w:szCs w:val="14"/>
                <w:color w:val="auto"/>
                <w:w w:val="97"/>
              </w:rPr>
              <w:t>(5.8)</w:t>
            </w: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31"/>
              <w:spacing w:after="0"/>
              <w:rPr>
                <w:sz w:val="20"/>
                <w:szCs w:val="20"/>
                <w:color w:val="auto"/>
              </w:rPr>
            </w:pPr>
            <w:r>
              <w:rPr>
                <w:rFonts w:ascii="Arial" w:cs="Arial" w:eastAsia="Arial" w:hAnsi="Arial"/>
                <w:sz w:val="14"/>
                <w:szCs w:val="14"/>
                <w:color w:val="auto"/>
              </w:rPr>
              <w:t>11.7</w:t>
            </w:r>
          </w:p>
        </w:tc>
        <w:tc>
          <w:tcPr>
            <w:tcW w:w="120" w:type="dxa"/>
            <w:vAlign w:val="bottom"/>
          </w:tcPr>
          <w:p>
            <w:pPr>
              <w:spacing w:after="0"/>
              <w:rPr>
                <w:sz w:val="23"/>
                <w:szCs w:val="23"/>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460" w:type="dxa"/>
            <w:vAlign w:val="bottom"/>
          </w:tcPr>
          <w:p>
            <w:pPr>
              <w:spacing w:after="0"/>
              <w:rPr>
                <w:sz w:val="23"/>
                <w:szCs w:val="23"/>
                <w:color w:val="auto"/>
              </w:rPr>
            </w:pPr>
          </w:p>
        </w:tc>
        <w:tc>
          <w:tcPr>
            <w:tcW w:w="460" w:type="dxa"/>
            <w:vAlign w:val="bottom"/>
            <w:gridSpan w:val="2"/>
          </w:tcPr>
          <w:p>
            <w:pPr>
              <w:jc w:val="right"/>
              <w:ind w:right="48"/>
              <w:spacing w:after="0"/>
              <w:rPr>
                <w:sz w:val="20"/>
                <w:szCs w:val="20"/>
                <w:color w:val="auto"/>
              </w:rPr>
            </w:pPr>
            <w:r>
              <w:rPr>
                <w:rFonts w:ascii="Arial" w:cs="Arial" w:eastAsia="Arial" w:hAnsi="Arial"/>
                <w:sz w:val="14"/>
                <w:szCs w:val="14"/>
                <w:color w:val="auto"/>
              </w:rPr>
              <w:t>25.5</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0.21</w:t>
            </w:r>
          </w:p>
        </w:tc>
        <w:tc>
          <w:tcPr>
            <w:tcW w:w="0" w:type="dxa"/>
            <w:vAlign w:val="bottom"/>
          </w:tcPr>
          <w:p>
            <w:pPr>
              <w:spacing w:after="0"/>
              <w:rPr>
                <w:sz w:val="1"/>
                <w:szCs w:val="1"/>
                <w:color w:val="auto"/>
              </w:rPr>
            </w:pPr>
          </w:p>
        </w:tc>
      </w:tr>
      <w:tr>
        <w:trPr>
          <w:trHeight w:val="270"/>
        </w:trPr>
        <w:tc>
          <w:tcPr>
            <w:tcW w:w="5580" w:type="dxa"/>
            <w:vAlign w:val="bottom"/>
          </w:tcPr>
          <w:p>
            <w:pPr>
              <w:spacing w:after="0"/>
              <w:rPr>
                <w:sz w:val="20"/>
                <w:szCs w:val="20"/>
                <w:color w:val="auto"/>
              </w:rPr>
            </w:pPr>
            <w:r>
              <w:rPr>
                <w:rFonts w:ascii="Arial" w:cs="Arial" w:eastAsia="Arial" w:hAnsi="Arial"/>
                <w:sz w:val="14"/>
                <w:szCs w:val="14"/>
                <w:color w:val="auto"/>
              </w:rPr>
              <w:t>Charge-off of aged assets</w:t>
            </w:r>
          </w:p>
        </w:tc>
        <w:tc>
          <w:tcPr>
            <w:tcW w:w="5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40" w:type="dxa"/>
            <w:vAlign w:val="bottom"/>
          </w:tcPr>
          <w:p>
            <w:pPr>
              <w:jc w:val="right"/>
              <w:ind w:right="48"/>
              <w:spacing w:after="0"/>
              <w:rPr>
                <w:sz w:val="20"/>
                <w:szCs w:val="20"/>
                <w:color w:val="auto"/>
              </w:rPr>
            </w:pPr>
            <w:r>
              <w:rPr>
                <w:rFonts w:ascii="Arial" w:cs="Arial" w:eastAsia="Arial" w:hAnsi="Arial"/>
                <w:sz w:val="14"/>
                <w:szCs w:val="14"/>
                <w:color w:val="auto"/>
              </w:rPr>
              <w:t>0.1</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80" w:type="dxa"/>
            <w:vAlign w:val="bottom"/>
            <w:gridSpan w:val="4"/>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00" w:type="dxa"/>
            <w:vAlign w:val="bottom"/>
          </w:tcPr>
          <w:p>
            <w:pPr>
              <w:jc w:val="right"/>
              <w:ind w:right="31"/>
              <w:spacing w:after="0"/>
              <w:rPr>
                <w:sz w:val="20"/>
                <w:szCs w:val="20"/>
                <w:color w:val="auto"/>
              </w:rPr>
            </w:pPr>
            <w:r>
              <w:rPr>
                <w:rFonts w:ascii="Arial" w:cs="Arial" w:eastAsia="Arial" w:hAnsi="Arial"/>
                <w:sz w:val="14"/>
                <w:szCs w:val="14"/>
                <w:color w:val="auto"/>
              </w:rPr>
              <w:t>0.1</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460" w:type="dxa"/>
            <w:vAlign w:val="bottom"/>
            <w:gridSpan w:val="2"/>
          </w:tcPr>
          <w:p>
            <w:pPr>
              <w:jc w:val="right"/>
              <w:ind w:right="48"/>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5580" w:type="dxa"/>
            <w:vAlign w:val="bottom"/>
          </w:tcPr>
          <w:p>
            <w:pPr>
              <w:spacing w:after="0"/>
              <w:rPr>
                <w:sz w:val="20"/>
                <w:szCs w:val="20"/>
                <w:color w:val="auto"/>
              </w:rPr>
            </w:pPr>
            <w:r>
              <w:rPr>
                <w:rFonts w:ascii="Arial" w:cs="Arial" w:eastAsia="Arial" w:hAnsi="Arial"/>
                <w:sz w:val="14"/>
                <w:szCs w:val="14"/>
                <w:color w:val="auto"/>
              </w:rPr>
              <w:t>Impact from hurricane store operating expenses</w:t>
            </w:r>
          </w:p>
        </w:tc>
        <w:tc>
          <w:tcPr>
            <w:tcW w:w="5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40" w:type="dxa"/>
            <w:vAlign w:val="bottom"/>
          </w:tcPr>
          <w:p>
            <w:pPr>
              <w:jc w:val="right"/>
              <w:ind w:right="8"/>
              <w:spacing w:after="0"/>
              <w:rPr>
                <w:sz w:val="20"/>
                <w:szCs w:val="20"/>
                <w:color w:val="auto"/>
              </w:rPr>
            </w:pPr>
            <w:r>
              <w:rPr>
                <w:rFonts w:ascii="Arial" w:cs="Arial" w:eastAsia="Arial" w:hAnsi="Arial"/>
                <w:sz w:val="14"/>
                <w:szCs w:val="14"/>
                <w:color w:val="auto"/>
              </w:rPr>
              <w:t>(0.3)</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80" w:type="dxa"/>
            <w:vAlign w:val="bottom"/>
          </w:tcPr>
          <w:p>
            <w:pPr>
              <w:jc w:val="right"/>
              <w:ind w:right="48"/>
              <w:spacing w:after="0"/>
              <w:rPr>
                <w:sz w:val="20"/>
                <w:szCs w:val="20"/>
                <w:color w:val="auto"/>
              </w:rPr>
            </w:pPr>
            <w:r>
              <w:rPr>
                <w:rFonts w:ascii="Arial" w:cs="Arial" w:eastAsia="Arial" w:hAnsi="Arial"/>
                <w:sz w:val="14"/>
                <w:szCs w:val="14"/>
                <w:color w:val="auto"/>
              </w:rPr>
              <w:t>0.1</w:t>
            </w: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(0.2)</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460" w:type="dxa"/>
            <w:vAlign w:val="bottom"/>
            <w:gridSpan w:val="2"/>
          </w:tcPr>
          <w:p>
            <w:pPr>
              <w:jc w:val="right"/>
              <w:spacing w:after="0"/>
              <w:rPr>
                <w:sz w:val="20"/>
                <w:szCs w:val="20"/>
                <w:color w:val="auto"/>
              </w:rPr>
            </w:pPr>
            <w:r>
              <w:rPr>
                <w:rFonts w:ascii="Arial" w:cs="Arial" w:eastAsia="Arial" w:hAnsi="Arial"/>
                <w:sz w:val="14"/>
                <w:szCs w:val="14"/>
                <w:color w:val="auto"/>
              </w:rPr>
              <w:t>(0.3)</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5580" w:type="dxa"/>
            <w:vAlign w:val="bottom"/>
          </w:tcPr>
          <w:p>
            <w:pPr>
              <w:spacing w:after="0"/>
              <w:rPr>
                <w:sz w:val="20"/>
                <w:szCs w:val="20"/>
                <w:color w:val="auto"/>
              </w:rPr>
            </w:pPr>
            <w:r>
              <w:rPr>
                <w:rFonts w:ascii="Arial" w:cs="Arial" w:eastAsia="Arial" w:hAnsi="Arial"/>
                <w:sz w:val="14"/>
                <w:szCs w:val="14"/>
                <w:color w:val="auto"/>
              </w:rPr>
              <w:t>Non-cash net interest expense</w:t>
            </w: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jc w:val="right"/>
              <w:ind w:right="48"/>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jc w:val="right"/>
              <w:ind w:right="8"/>
              <w:spacing w:after="0"/>
              <w:rPr>
                <w:sz w:val="20"/>
                <w:szCs w:val="20"/>
                <w:color w:val="auto"/>
              </w:rPr>
            </w:pPr>
            <w:r>
              <w:rPr>
                <w:rFonts w:ascii="Arial" w:cs="Arial" w:eastAsia="Arial" w:hAnsi="Arial"/>
                <w:sz w:val="14"/>
                <w:szCs w:val="14"/>
                <w:color w:val="auto"/>
                <w:w w:val="97"/>
              </w:rPr>
              <w:t>(0.3)</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jc w:val="right"/>
              <w:ind w:right="31"/>
              <w:spacing w:after="0"/>
              <w:rPr>
                <w:sz w:val="20"/>
                <w:szCs w:val="20"/>
                <w:color w:val="auto"/>
              </w:rPr>
            </w:pPr>
            <w:r>
              <w:rPr>
                <w:rFonts w:ascii="Arial" w:cs="Arial" w:eastAsia="Arial" w:hAnsi="Arial"/>
                <w:sz w:val="14"/>
                <w:szCs w:val="14"/>
                <w:color w:val="auto"/>
              </w:rPr>
              <w:t>0.9</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0.01</w:t>
            </w:r>
          </w:p>
        </w:tc>
        <w:tc>
          <w:tcPr>
            <w:tcW w:w="0" w:type="dxa"/>
            <w:vAlign w:val="bottom"/>
          </w:tcPr>
          <w:p>
            <w:pPr>
              <w:spacing w:after="0"/>
              <w:rPr>
                <w:sz w:val="1"/>
                <w:szCs w:val="1"/>
                <w:color w:val="auto"/>
              </w:rPr>
            </w:pPr>
          </w:p>
        </w:tc>
      </w:tr>
      <w:tr>
        <w:trPr>
          <w:trHeight w:val="244"/>
        </w:trPr>
        <w:tc>
          <w:tcPr>
            <w:tcW w:w="5580" w:type="dxa"/>
            <w:vAlign w:val="bottom"/>
          </w:tcPr>
          <w:p>
            <w:pPr>
              <w:ind w:left="240"/>
              <w:spacing w:after="0"/>
              <w:rPr>
                <w:sz w:val="20"/>
                <w:szCs w:val="20"/>
                <w:color w:val="auto"/>
              </w:rPr>
            </w:pPr>
            <w:r>
              <w:rPr>
                <w:rFonts w:ascii="Arial" w:cs="Arial" w:eastAsia="Arial" w:hAnsi="Arial"/>
                <w:sz w:val="14"/>
                <w:szCs w:val="14"/>
                <w:color w:val="auto"/>
              </w:rPr>
              <w:t>2018 Q2 adjusted</w:t>
            </w:r>
          </w:p>
        </w:tc>
        <w:tc>
          <w:tcPr>
            <w:tcW w:w="580" w:type="dxa"/>
            <w:vAlign w:val="bottom"/>
            <w:tcBorders>
              <w:top w:val="single" w:sz="8" w:color="auto"/>
            </w:tcBorders>
          </w:tcPr>
          <w:p>
            <w:pPr>
              <w:jc w:val="right"/>
              <w:ind w:right="408"/>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44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18.5</w:t>
            </w:r>
          </w:p>
        </w:tc>
        <w:tc>
          <w:tcPr>
            <w:tcW w:w="120" w:type="dxa"/>
            <w:vAlign w:val="bottom"/>
          </w:tcPr>
          <w:p>
            <w:pPr>
              <w:spacing w:after="0"/>
              <w:rPr>
                <w:sz w:val="21"/>
                <w:szCs w:val="21"/>
                <w:color w:val="auto"/>
              </w:rPr>
            </w:pPr>
          </w:p>
        </w:tc>
        <w:tc>
          <w:tcPr>
            <w:tcW w:w="440" w:type="dxa"/>
            <w:vAlign w:val="bottom"/>
            <w:tcBorders>
              <w:top w:val="single" w:sz="8" w:color="auto"/>
            </w:tcBorders>
          </w:tcPr>
          <w:p>
            <w:pPr>
              <w:jc w:val="center"/>
              <w:ind w:right="248"/>
              <w:spacing w:after="0"/>
              <w:rPr>
                <w:sz w:val="20"/>
                <w:szCs w:val="20"/>
                <w:color w:val="auto"/>
              </w:rPr>
            </w:pPr>
            <w:r>
              <w:rPr>
                <w:rFonts w:ascii="Arial" w:cs="Arial" w:eastAsia="Arial" w:hAnsi="Arial"/>
                <w:sz w:val="14"/>
                <w:szCs w:val="14"/>
                <w:color w:val="auto"/>
              </w:rPr>
              <w:t>$</w:t>
            </w:r>
          </w:p>
        </w:tc>
        <w:tc>
          <w:tcPr>
            <w:tcW w:w="38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w w:val="97"/>
              </w:rPr>
              <w:t>(6.0)</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tcPr>
          <w:p>
            <w:pPr>
              <w:jc w:val="right"/>
              <w:ind w:right="31"/>
              <w:spacing w:after="0"/>
              <w:rPr>
                <w:sz w:val="20"/>
                <w:szCs w:val="20"/>
                <w:color w:val="auto"/>
              </w:rPr>
            </w:pPr>
            <w:r>
              <w:rPr>
                <w:rFonts w:ascii="Arial" w:cs="Arial" w:eastAsia="Arial" w:hAnsi="Arial"/>
                <w:sz w:val="14"/>
                <w:szCs w:val="14"/>
                <w:color w:val="auto"/>
              </w:rPr>
              <w:t>12.5</w:t>
            </w:r>
          </w:p>
        </w:tc>
        <w:tc>
          <w:tcPr>
            <w:tcW w:w="120" w:type="dxa"/>
            <w:vAlign w:val="bottom"/>
          </w:tcPr>
          <w:p>
            <w:pPr>
              <w:spacing w:after="0"/>
              <w:rPr>
                <w:sz w:val="21"/>
                <w:szCs w:val="21"/>
                <w:color w:val="auto"/>
              </w:rPr>
            </w:pPr>
          </w:p>
        </w:tc>
        <w:tc>
          <w:tcPr>
            <w:tcW w:w="2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460" w:type="dxa"/>
            <w:vAlign w:val="bottom"/>
            <w:tcBorders>
              <w:top w:val="single" w:sz="8" w:color="auto"/>
            </w:tcBorders>
          </w:tcPr>
          <w:p>
            <w:pPr>
              <w:spacing w:after="0"/>
              <w:rPr>
                <w:sz w:val="21"/>
                <w:szCs w:val="21"/>
                <w:color w:val="auto"/>
              </w:rPr>
            </w:pPr>
          </w:p>
        </w:tc>
        <w:tc>
          <w:tcPr>
            <w:tcW w:w="460" w:type="dxa"/>
            <w:vAlign w:val="bottom"/>
            <w:tcBorders>
              <w:top w:val="single" w:sz="8" w:color="auto"/>
            </w:tcBorders>
            <w:gridSpan w:val="2"/>
          </w:tcPr>
          <w:p>
            <w:pPr>
              <w:jc w:val="right"/>
              <w:ind w:right="48"/>
              <w:spacing w:after="0"/>
              <w:rPr>
                <w:sz w:val="20"/>
                <w:szCs w:val="20"/>
                <w:color w:val="auto"/>
              </w:rPr>
            </w:pPr>
            <w:r>
              <w:rPr>
                <w:rFonts w:ascii="Arial" w:cs="Arial" w:eastAsia="Arial" w:hAnsi="Arial"/>
                <w:sz w:val="14"/>
                <w:szCs w:val="14"/>
                <w:color w:val="auto"/>
              </w:rPr>
              <w:t>25.3</w:t>
            </w:r>
          </w:p>
        </w:tc>
        <w:tc>
          <w:tcPr>
            <w:tcW w:w="10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0.22</w:t>
            </w:r>
          </w:p>
        </w:tc>
        <w:tc>
          <w:tcPr>
            <w:tcW w:w="0" w:type="dxa"/>
            <w:vAlign w:val="bottom"/>
          </w:tcPr>
          <w:p>
            <w:pPr>
              <w:spacing w:after="0"/>
              <w:rPr>
                <w:sz w:val="1"/>
                <w:szCs w:val="1"/>
                <w:color w:val="auto"/>
              </w:rPr>
            </w:pPr>
          </w:p>
        </w:tc>
      </w:tr>
      <w:tr>
        <w:trPr>
          <w:trHeight w:val="411"/>
        </w:trPr>
        <w:tc>
          <w:tcPr>
            <w:tcW w:w="5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gridSpan w:val="3"/>
          </w:tcPr>
          <w:p>
            <w:pPr>
              <w:jc w:val="center"/>
              <w:ind w:left="208"/>
              <w:spacing w:after="0"/>
              <w:rPr>
                <w:sz w:val="20"/>
                <w:szCs w:val="20"/>
                <w:color w:val="auto"/>
              </w:rPr>
            </w:pPr>
            <w:r>
              <w:rPr>
                <w:rFonts w:ascii="Arial" w:cs="Arial" w:eastAsia="Arial" w:hAnsi="Arial"/>
                <w:sz w:val="14"/>
                <w:szCs w:val="14"/>
                <w:b w:val="1"/>
                <w:bCs w:val="1"/>
                <w:color w:val="auto"/>
                <w:w w:val="94"/>
              </w:rPr>
              <w:t>U.S. Pawn</w:t>
            </w:r>
          </w:p>
        </w:tc>
        <w:tc>
          <w:tcPr>
            <w:tcW w:w="3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4"/>
          </w:tcPr>
          <w:p>
            <w:pPr>
              <w:jc w:val="right"/>
              <w:ind w:right="148"/>
              <w:spacing w:after="0"/>
              <w:rPr>
                <w:sz w:val="20"/>
                <w:szCs w:val="20"/>
                <w:color w:val="auto"/>
              </w:rPr>
            </w:pPr>
            <w:r>
              <w:rPr>
                <w:rFonts w:ascii="Arial" w:cs="Arial" w:eastAsia="Arial" w:hAnsi="Arial"/>
                <w:sz w:val="14"/>
                <w:szCs w:val="14"/>
                <w:b w:val="1"/>
                <w:bCs w:val="1"/>
                <w:color w:val="auto"/>
              </w:rPr>
              <w:t>Latin America Pawn</w:t>
            </w:r>
          </w:p>
        </w:tc>
        <w:tc>
          <w:tcPr>
            <w:tcW w:w="1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379"/>
        </w:trPr>
        <w:tc>
          <w:tcPr>
            <w:tcW w:w="5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20" w:type="dxa"/>
            <w:vAlign w:val="bottom"/>
            <w:gridSpan w:val="3"/>
          </w:tcPr>
          <w:p>
            <w:pPr>
              <w:jc w:val="right"/>
              <w:spacing w:after="0"/>
              <w:rPr>
                <w:sz w:val="20"/>
                <w:szCs w:val="20"/>
                <w:color w:val="auto"/>
              </w:rPr>
            </w:pPr>
            <w:r>
              <w:rPr>
                <w:rFonts w:ascii="Arial" w:cs="Arial" w:eastAsia="Arial" w:hAnsi="Arial"/>
                <w:sz w:val="14"/>
                <w:szCs w:val="14"/>
                <w:i w:val="1"/>
                <w:iCs w:val="1"/>
                <w:color w:val="auto"/>
              </w:rPr>
              <w:t>(in millions)</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580" w:type="dxa"/>
            <w:vAlign w:val="bottom"/>
          </w:tcPr>
          <w:p>
            <w:pPr>
              <w:spacing w:after="0"/>
              <w:rPr>
                <w:sz w:val="20"/>
                <w:szCs w:val="20"/>
                <w:color w:val="auto"/>
              </w:rPr>
            </w:pPr>
            <w:r>
              <w:rPr>
                <w:rFonts w:ascii="Arial" w:cs="Arial" w:eastAsia="Arial" w:hAnsi="Arial"/>
                <w:sz w:val="14"/>
                <w:szCs w:val="14"/>
                <w:color w:val="auto"/>
              </w:rPr>
              <w:t>Segment contribution 2019 Q2</w:t>
            </w:r>
          </w:p>
        </w:tc>
        <w:tc>
          <w:tcPr>
            <w:tcW w:w="840" w:type="dxa"/>
            <w:vAlign w:val="bottom"/>
            <w:gridSpan w:val="3"/>
          </w:tcPr>
          <w:p>
            <w:pPr>
              <w:jc w:val="right"/>
              <w:ind w:right="8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28.4</w:t>
            </w: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00" w:type="dxa"/>
            <w:vAlign w:val="bottom"/>
          </w:tcPr>
          <w:p>
            <w:pPr>
              <w:jc w:val="right"/>
              <w:ind w:right="771"/>
              <w:spacing w:after="0"/>
              <w:rPr>
                <w:sz w:val="20"/>
                <w:szCs w:val="20"/>
                <w:color w:val="auto"/>
              </w:rPr>
            </w:pPr>
            <w:r>
              <w:rPr>
                <w:rFonts w:ascii="Arial" w:cs="Arial" w:eastAsia="Arial" w:hAnsi="Arial"/>
                <w:sz w:val="10"/>
                <w:szCs w:val="10"/>
                <w:color w:val="auto"/>
                <w:w w:val="71"/>
              </w:rPr>
              <w:t>$</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60" w:type="dxa"/>
            <w:vAlign w:val="bottom"/>
          </w:tcPr>
          <w:p>
            <w:pPr>
              <w:jc w:val="right"/>
              <w:ind w:right="48"/>
              <w:spacing w:after="0"/>
              <w:rPr>
                <w:sz w:val="20"/>
                <w:szCs w:val="20"/>
                <w:color w:val="auto"/>
              </w:rPr>
            </w:pPr>
            <w:r>
              <w:rPr>
                <w:rFonts w:ascii="Arial" w:cs="Arial" w:eastAsia="Arial" w:hAnsi="Arial"/>
                <w:sz w:val="14"/>
                <w:szCs w:val="14"/>
                <w:color w:val="auto"/>
              </w:rPr>
              <w:t>9.5</w:t>
            </w:r>
          </w:p>
        </w:tc>
        <w:tc>
          <w:tcPr>
            <w:tcW w:w="460" w:type="dxa"/>
            <w:vAlign w:val="bottom"/>
            <w:gridSpan w:val="2"/>
          </w:tcPr>
          <w:p>
            <w:pPr>
              <w:jc w:val="right"/>
              <w:ind w:right="18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37.9</w:t>
            </w:r>
          </w:p>
        </w:tc>
        <w:tc>
          <w:tcPr>
            <w:tcW w:w="0" w:type="dxa"/>
            <w:vAlign w:val="bottom"/>
          </w:tcPr>
          <w:p>
            <w:pPr>
              <w:spacing w:after="0"/>
              <w:rPr>
                <w:sz w:val="1"/>
                <w:szCs w:val="1"/>
                <w:color w:val="auto"/>
              </w:rPr>
            </w:pPr>
          </w:p>
        </w:tc>
      </w:tr>
      <w:tr>
        <w:trPr>
          <w:trHeight w:val="270"/>
        </w:trPr>
        <w:tc>
          <w:tcPr>
            <w:tcW w:w="5580" w:type="dxa"/>
            <w:vAlign w:val="bottom"/>
          </w:tcPr>
          <w:p>
            <w:pPr>
              <w:spacing w:after="0"/>
              <w:rPr>
                <w:sz w:val="20"/>
                <w:szCs w:val="20"/>
                <w:color w:val="auto"/>
              </w:rPr>
            </w:pPr>
            <w:r>
              <w:rPr>
                <w:rFonts w:ascii="Arial" w:cs="Arial" w:eastAsia="Arial" w:hAnsi="Arial"/>
                <w:sz w:val="14"/>
                <w:szCs w:val="14"/>
                <w:color w:val="auto"/>
              </w:rPr>
              <w:t>Adjustment for Republic Metals Corporation recovery</w:t>
            </w:r>
          </w:p>
        </w:tc>
        <w:tc>
          <w:tcPr>
            <w:tcW w:w="5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80" w:type="dxa"/>
            <w:vAlign w:val="bottom"/>
            <w:gridSpan w:val="4"/>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(0.8)</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(0.8)</w:t>
            </w:r>
          </w:p>
        </w:tc>
        <w:tc>
          <w:tcPr>
            <w:tcW w:w="0" w:type="dxa"/>
            <w:vAlign w:val="bottom"/>
          </w:tcPr>
          <w:p>
            <w:pPr>
              <w:spacing w:after="0"/>
              <w:rPr>
                <w:sz w:val="1"/>
                <w:szCs w:val="1"/>
                <w:color w:val="auto"/>
              </w:rPr>
            </w:pPr>
          </w:p>
        </w:tc>
      </w:tr>
      <w:tr>
        <w:trPr>
          <w:trHeight w:val="270"/>
        </w:trPr>
        <w:tc>
          <w:tcPr>
            <w:tcW w:w="5580" w:type="dxa"/>
            <w:vAlign w:val="bottom"/>
          </w:tcPr>
          <w:p>
            <w:pPr>
              <w:spacing w:after="0"/>
              <w:rPr>
                <w:sz w:val="20"/>
                <w:szCs w:val="20"/>
                <w:color w:val="auto"/>
              </w:rPr>
            </w:pPr>
            <w:r>
              <w:rPr>
                <w:rFonts w:ascii="Arial" w:cs="Arial" w:eastAsia="Arial" w:hAnsi="Arial"/>
                <w:sz w:val="14"/>
                <w:szCs w:val="14"/>
                <w:color w:val="auto"/>
              </w:rPr>
              <w:t>Settlement of GPMX PSC-related indemnification claim</w:t>
            </w:r>
          </w:p>
        </w:tc>
        <w:tc>
          <w:tcPr>
            <w:tcW w:w="5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80" w:type="dxa"/>
            <w:vAlign w:val="bottom"/>
            <w:gridSpan w:val="4"/>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276"/>
        </w:trPr>
        <w:tc>
          <w:tcPr>
            <w:tcW w:w="5580" w:type="dxa"/>
            <w:vAlign w:val="bottom"/>
          </w:tcPr>
          <w:p>
            <w:pPr>
              <w:spacing w:after="0"/>
              <w:rPr>
                <w:sz w:val="20"/>
                <w:szCs w:val="20"/>
                <w:color w:val="auto"/>
              </w:rPr>
            </w:pPr>
            <w:r>
              <w:rPr>
                <w:rFonts w:ascii="Arial" w:cs="Arial" w:eastAsia="Arial" w:hAnsi="Arial"/>
                <w:sz w:val="14"/>
                <w:szCs w:val="14"/>
                <w:color w:val="auto"/>
              </w:rPr>
              <w:t>Currency exchange rate fluctuations</w:t>
            </w: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0.2</w:t>
            </w:r>
          </w:p>
        </w:tc>
        <w:tc>
          <w:tcPr>
            <w:tcW w:w="1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244"/>
        </w:trPr>
        <w:tc>
          <w:tcPr>
            <w:tcW w:w="5580" w:type="dxa"/>
            <w:vAlign w:val="bottom"/>
          </w:tcPr>
          <w:p>
            <w:pPr>
              <w:ind w:left="240"/>
              <w:spacing w:after="0"/>
              <w:rPr>
                <w:sz w:val="20"/>
                <w:szCs w:val="20"/>
                <w:color w:val="auto"/>
              </w:rPr>
            </w:pPr>
            <w:r>
              <w:rPr>
                <w:rFonts w:ascii="Arial" w:cs="Arial" w:eastAsia="Arial" w:hAnsi="Arial"/>
                <w:sz w:val="14"/>
                <w:szCs w:val="14"/>
                <w:color w:val="auto"/>
              </w:rPr>
              <w:t>Adjusted segment contribution 2019 Q2</w:t>
            </w:r>
          </w:p>
        </w:tc>
        <w:tc>
          <w:tcPr>
            <w:tcW w:w="840" w:type="dxa"/>
            <w:vAlign w:val="bottom"/>
            <w:gridSpan w:val="3"/>
          </w:tcPr>
          <w:p>
            <w:pPr>
              <w:jc w:val="right"/>
              <w:ind w:right="8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28.4</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00" w:type="dxa"/>
            <w:vAlign w:val="bottom"/>
          </w:tcPr>
          <w:p>
            <w:pPr>
              <w:jc w:val="right"/>
              <w:ind w:right="771"/>
              <w:spacing w:after="0"/>
              <w:rPr>
                <w:sz w:val="20"/>
                <w:szCs w:val="20"/>
                <w:color w:val="auto"/>
              </w:rPr>
            </w:pPr>
            <w:r>
              <w:rPr>
                <w:rFonts w:ascii="Arial" w:cs="Arial" w:eastAsia="Arial" w:hAnsi="Arial"/>
                <w:sz w:val="10"/>
                <w:szCs w:val="10"/>
                <w:color w:val="auto"/>
                <w:w w:val="71"/>
              </w:rPr>
              <w:t>$</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60" w:type="dxa"/>
            <w:vAlign w:val="bottom"/>
          </w:tcPr>
          <w:p>
            <w:pPr>
              <w:jc w:val="right"/>
              <w:ind w:right="48"/>
              <w:spacing w:after="0"/>
              <w:rPr>
                <w:sz w:val="20"/>
                <w:szCs w:val="20"/>
                <w:color w:val="auto"/>
              </w:rPr>
            </w:pPr>
            <w:r>
              <w:rPr>
                <w:rFonts w:ascii="Arial" w:cs="Arial" w:eastAsia="Arial" w:hAnsi="Arial"/>
                <w:sz w:val="14"/>
                <w:szCs w:val="14"/>
                <w:color w:val="auto"/>
              </w:rPr>
              <w:t>7.8</w:t>
            </w:r>
          </w:p>
        </w:tc>
        <w:tc>
          <w:tcPr>
            <w:tcW w:w="460" w:type="dxa"/>
            <w:vAlign w:val="bottom"/>
            <w:gridSpan w:val="2"/>
          </w:tcPr>
          <w:p>
            <w:pPr>
              <w:jc w:val="right"/>
              <w:ind w:right="18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36.2</w:t>
            </w:r>
          </w:p>
        </w:tc>
        <w:tc>
          <w:tcPr>
            <w:tcW w:w="0" w:type="dxa"/>
            <w:vAlign w:val="bottom"/>
          </w:tcPr>
          <w:p>
            <w:pPr>
              <w:spacing w:after="0"/>
              <w:rPr>
                <w:sz w:val="1"/>
                <w:szCs w:val="1"/>
                <w:color w:val="auto"/>
              </w:rPr>
            </w:pPr>
          </w:p>
        </w:tc>
      </w:tr>
      <w:tr>
        <w:trPr>
          <w:trHeight w:val="411"/>
        </w:trPr>
        <w:tc>
          <w:tcPr>
            <w:tcW w:w="5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gridSpan w:val="3"/>
          </w:tcPr>
          <w:p>
            <w:pPr>
              <w:jc w:val="center"/>
              <w:ind w:left="88"/>
              <w:spacing w:after="0"/>
              <w:rPr>
                <w:sz w:val="20"/>
                <w:szCs w:val="20"/>
                <w:color w:val="auto"/>
              </w:rPr>
            </w:pPr>
            <w:r>
              <w:rPr>
                <w:rFonts w:ascii="Arial" w:cs="Arial" w:eastAsia="Arial" w:hAnsi="Arial"/>
                <w:sz w:val="14"/>
                <w:szCs w:val="14"/>
                <w:b w:val="1"/>
                <w:bCs w:val="1"/>
                <w:color w:val="auto"/>
                <w:w w:val="94"/>
              </w:rPr>
              <w:t>U.S. Pawn</w:t>
            </w:r>
          </w:p>
        </w:tc>
        <w:tc>
          <w:tcPr>
            <w:tcW w:w="3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9"/>
        </w:trPr>
        <w:tc>
          <w:tcPr>
            <w:tcW w:w="5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gridSpan w:val="3"/>
          </w:tcPr>
          <w:p>
            <w:pPr>
              <w:jc w:val="center"/>
              <w:ind w:left="88"/>
              <w:spacing w:after="0"/>
              <w:rPr>
                <w:sz w:val="20"/>
                <w:szCs w:val="20"/>
                <w:color w:val="auto"/>
              </w:rPr>
            </w:pPr>
            <w:r>
              <w:rPr>
                <w:rFonts w:ascii="Arial" w:cs="Arial" w:eastAsia="Arial" w:hAnsi="Arial"/>
                <w:sz w:val="14"/>
                <w:szCs w:val="14"/>
                <w:i w:val="1"/>
                <w:iCs w:val="1"/>
                <w:color w:val="auto"/>
              </w:rPr>
              <w:t>(in millions)</w:t>
            </w: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4"/>
                <w:szCs w:val="14"/>
                <w:color w:val="auto"/>
              </w:rPr>
              <w:t>Segment contribution 2018 Q2</w:t>
            </w:r>
          </w:p>
        </w:tc>
        <w:tc>
          <w:tcPr>
            <w:tcW w:w="840" w:type="dxa"/>
            <w:vAlign w:val="bottom"/>
            <w:gridSpan w:val="3"/>
          </w:tcPr>
          <w:p>
            <w:pPr>
              <w:jc w:val="center"/>
              <w:ind w:left="388"/>
              <w:spacing w:after="0"/>
              <w:rPr>
                <w:sz w:val="20"/>
                <w:szCs w:val="20"/>
                <w:color w:val="auto"/>
              </w:rPr>
            </w:pPr>
            <w:r>
              <w:rPr>
                <w:rFonts w:ascii="Arial" w:cs="Arial" w:eastAsia="Arial" w:hAnsi="Arial"/>
                <w:sz w:val="14"/>
                <w:szCs w:val="14"/>
                <w:color w:val="auto"/>
                <w:w w:val="76"/>
              </w:rPr>
              <w:t>$</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28.2</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4"/>
                <w:szCs w:val="14"/>
                <w:color w:val="auto"/>
              </w:rPr>
              <w:t>Charge-off of aged assets</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0.1</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580" w:type="dxa"/>
            <w:vAlign w:val="bottom"/>
          </w:tcPr>
          <w:p>
            <w:pPr>
              <w:spacing w:after="0"/>
              <w:rPr>
                <w:sz w:val="20"/>
                <w:szCs w:val="20"/>
                <w:color w:val="auto"/>
              </w:rPr>
            </w:pPr>
            <w:r>
              <w:rPr>
                <w:rFonts w:ascii="Arial" w:cs="Arial" w:eastAsia="Arial" w:hAnsi="Arial"/>
                <w:sz w:val="14"/>
                <w:szCs w:val="14"/>
                <w:color w:val="auto"/>
              </w:rPr>
              <w:t>Impact from hurricane store operating expenses</w:t>
            </w:r>
          </w:p>
        </w:tc>
        <w:tc>
          <w:tcPr>
            <w:tcW w:w="5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0.3</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5580" w:type="dxa"/>
            <w:vAlign w:val="bottom"/>
          </w:tcPr>
          <w:p>
            <w:pPr>
              <w:ind w:left="240"/>
              <w:spacing w:after="0"/>
              <w:rPr>
                <w:sz w:val="20"/>
                <w:szCs w:val="20"/>
                <w:color w:val="auto"/>
              </w:rPr>
            </w:pPr>
            <w:r>
              <w:rPr>
                <w:rFonts w:ascii="Arial" w:cs="Arial" w:eastAsia="Arial" w:hAnsi="Arial"/>
                <w:sz w:val="14"/>
                <w:szCs w:val="14"/>
                <w:color w:val="auto"/>
              </w:rPr>
              <w:t>Adjusted segment contribution 2018 Q2</w:t>
            </w:r>
          </w:p>
        </w:tc>
        <w:tc>
          <w:tcPr>
            <w:tcW w:w="840" w:type="dxa"/>
            <w:vAlign w:val="bottom"/>
            <w:gridSpan w:val="3"/>
          </w:tcPr>
          <w:p>
            <w:pPr>
              <w:jc w:val="center"/>
              <w:ind w:left="388"/>
              <w:spacing w:after="0"/>
              <w:rPr>
                <w:sz w:val="20"/>
                <w:szCs w:val="20"/>
                <w:color w:val="auto"/>
              </w:rPr>
            </w:pPr>
            <w:r>
              <w:rPr>
                <w:rFonts w:ascii="Arial" w:cs="Arial" w:eastAsia="Arial" w:hAnsi="Arial"/>
                <w:sz w:val="14"/>
                <w:szCs w:val="14"/>
                <w:color w:val="auto"/>
                <w:w w:val="76"/>
              </w:rPr>
              <w:t>$</w:t>
            </w: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28.6</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80" w:top="726" w:right="239" w:bottom="1440" w:gutter="0" w:footer="0" w:header="0"/>
        </w:sectPr>
      </w:pPr>
    </w:p>
    <w:bookmarkStart w:id="17" w:name="page18"/>
    <w:bookmarkEnd w:id="1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2019 Q2:</w:t>
            </w:r>
          </w:p>
        </w:tc>
        <w:tc>
          <w:tcPr>
            <w:tcW w:w="134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5"/>
              </w:rPr>
              <w:t>U.S. Dollar Amount</w:t>
            </w:r>
          </w:p>
        </w:tc>
        <w:tc>
          <w:tcPr>
            <w:tcW w:w="120" w:type="dxa"/>
            <w:vAlign w:val="bottom"/>
            <w:vMerge w:val="restart"/>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4"/>
                <w:szCs w:val="14"/>
                <w:b w:val="1"/>
                <w:bCs w:val="1"/>
                <w:color w:val="auto"/>
                <w:w w:val="93"/>
              </w:rPr>
              <w:t>Percentage Change</w:t>
            </w:r>
          </w:p>
        </w:tc>
        <w:tc>
          <w:tcPr>
            <w:tcW w:w="0" w:type="dxa"/>
            <w:vAlign w:val="bottom"/>
          </w:tcPr>
          <w:p>
            <w:pPr>
              <w:spacing w:after="0"/>
              <w:rPr>
                <w:sz w:val="1"/>
                <w:szCs w:val="1"/>
                <w:color w:val="auto"/>
              </w:rPr>
            </w:pPr>
          </w:p>
        </w:tc>
      </w:tr>
      <w:tr>
        <w:trPr>
          <w:trHeight w:val="192"/>
        </w:trPr>
        <w:tc>
          <w:tcPr>
            <w:tcW w:w="8640" w:type="dxa"/>
            <w:vAlign w:val="bottom"/>
            <w:vMerge w:val="continue"/>
          </w:tcPr>
          <w:p>
            <w:pPr>
              <w:spacing w:after="0"/>
              <w:rPr>
                <w:sz w:val="16"/>
                <w:szCs w:val="16"/>
                <w:color w:val="auto"/>
              </w:rPr>
            </w:pPr>
          </w:p>
        </w:tc>
        <w:tc>
          <w:tcPr>
            <w:tcW w:w="1340" w:type="dxa"/>
            <w:vAlign w:val="bottom"/>
            <w:tcBorders>
              <w:bottom w:val="single" w:sz="8" w:color="auto"/>
            </w:tcBorders>
            <w:gridSpan w:val="2"/>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28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YOY</w:t>
            </w:r>
          </w:p>
        </w:tc>
        <w:tc>
          <w:tcPr>
            <w:tcW w:w="0" w:type="dxa"/>
            <w:vAlign w:val="bottom"/>
          </w:tcPr>
          <w:p>
            <w:pPr>
              <w:spacing w:after="0"/>
              <w:rPr>
                <w:sz w:val="1"/>
                <w:szCs w:val="1"/>
                <w:color w:val="auto"/>
              </w:rPr>
            </w:pPr>
          </w:p>
        </w:tc>
      </w:tr>
      <w:tr>
        <w:trPr>
          <w:trHeight w:val="379"/>
        </w:trPr>
        <w:tc>
          <w:tcPr>
            <w:tcW w:w="8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i w:val="1"/>
                <w:iCs w:val="1"/>
                <w:color w:val="auto"/>
                <w:w w:val="98"/>
              </w:rPr>
              <w:t>(in millions)</w:t>
            </w: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8640" w:type="dxa"/>
            <w:vAlign w:val="bottom"/>
          </w:tcPr>
          <w:p>
            <w:pPr>
              <w:spacing w:after="0"/>
              <w:rPr>
                <w:sz w:val="20"/>
                <w:szCs w:val="20"/>
                <w:color w:val="auto"/>
              </w:rPr>
            </w:pPr>
            <w:r>
              <w:rPr>
                <w:rFonts w:ascii="Arial" w:cs="Arial" w:eastAsia="Arial" w:hAnsi="Arial"/>
                <w:sz w:val="14"/>
                <w:szCs w:val="14"/>
                <w:color w:val="auto"/>
              </w:rPr>
              <w:t>Latin America Pawn PLO</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42.6</w:t>
            </w:r>
          </w:p>
        </w:tc>
        <w:tc>
          <w:tcPr>
            <w:tcW w:w="12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276"/>
        </w:trPr>
        <w:tc>
          <w:tcPr>
            <w:tcW w:w="8640" w:type="dxa"/>
            <w:vAlign w:val="bottom"/>
          </w:tcPr>
          <w:p>
            <w:pPr>
              <w:spacing w:after="0"/>
              <w:rPr>
                <w:sz w:val="20"/>
                <w:szCs w:val="20"/>
                <w:color w:val="auto"/>
              </w:rPr>
            </w:pPr>
            <w:r>
              <w:rPr>
                <w:rFonts w:ascii="Arial" w:cs="Arial" w:eastAsia="Arial" w:hAnsi="Arial"/>
                <w:sz w:val="14"/>
                <w:szCs w:val="14"/>
                <w:color w:val="auto"/>
              </w:rPr>
              <w:t>Currency exchange rate fluctuations</w:t>
            </w:r>
          </w:p>
        </w:tc>
        <w:tc>
          <w:tcPr>
            <w:tcW w:w="2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2.1</w:t>
            </w:r>
          </w:p>
        </w:tc>
        <w:tc>
          <w:tcPr>
            <w:tcW w:w="120" w:type="dxa"/>
            <w:vAlign w:val="bottom"/>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8640" w:type="dxa"/>
            <w:vAlign w:val="bottom"/>
          </w:tcPr>
          <w:p>
            <w:pPr>
              <w:ind w:left="240"/>
              <w:spacing w:after="0"/>
              <w:rPr>
                <w:sz w:val="20"/>
                <w:szCs w:val="20"/>
                <w:color w:val="auto"/>
              </w:rPr>
            </w:pPr>
            <w:r>
              <w:rPr>
                <w:rFonts w:ascii="Arial" w:cs="Arial" w:eastAsia="Arial" w:hAnsi="Arial"/>
                <w:sz w:val="14"/>
                <w:szCs w:val="14"/>
                <w:color w:val="auto"/>
              </w:rPr>
              <w:t>Constant currency Latin America Pawn PLO</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44.7</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392"/>
        </w:trPr>
        <w:tc>
          <w:tcPr>
            <w:tcW w:w="8640" w:type="dxa"/>
            <w:vAlign w:val="bottom"/>
          </w:tcPr>
          <w:p>
            <w:pPr>
              <w:spacing w:after="0"/>
              <w:rPr>
                <w:sz w:val="20"/>
                <w:szCs w:val="20"/>
                <w:color w:val="auto"/>
              </w:rPr>
            </w:pPr>
            <w:r>
              <w:rPr>
                <w:rFonts w:ascii="Arial" w:cs="Arial" w:eastAsia="Arial" w:hAnsi="Arial"/>
                <w:sz w:val="14"/>
                <w:szCs w:val="14"/>
                <w:color w:val="auto"/>
              </w:rPr>
              <w:t>Latin America Pawn same store PLO</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36.8</w:t>
            </w:r>
          </w:p>
        </w:tc>
        <w:tc>
          <w:tcPr>
            <w:tcW w:w="12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76"/>
        </w:trPr>
        <w:tc>
          <w:tcPr>
            <w:tcW w:w="8640" w:type="dxa"/>
            <w:vAlign w:val="bottom"/>
          </w:tcPr>
          <w:p>
            <w:pPr>
              <w:spacing w:after="0"/>
              <w:rPr>
                <w:sz w:val="20"/>
                <w:szCs w:val="20"/>
                <w:color w:val="auto"/>
              </w:rPr>
            </w:pPr>
            <w:r>
              <w:rPr>
                <w:rFonts w:ascii="Arial" w:cs="Arial" w:eastAsia="Arial" w:hAnsi="Arial"/>
                <w:sz w:val="14"/>
                <w:szCs w:val="14"/>
                <w:color w:val="auto"/>
              </w:rPr>
              <w:t>Currency exchange rate fluctuations</w:t>
            </w:r>
          </w:p>
        </w:tc>
        <w:tc>
          <w:tcPr>
            <w:tcW w:w="2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1.9</w:t>
            </w:r>
          </w:p>
        </w:tc>
        <w:tc>
          <w:tcPr>
            <w:tcW w:w="120" w:type="dxa"/>
            <w:vAlign w:val="bottom"/>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8640" w:type="dxa"/>
            <w:vAlign w:val="bottom"/>
          </w:tcPr>
          <w:p>
            <w:pPr>
              <w:ind w:left="240"/>
              <w:spacing w:after="0"/>
              <w:rPr>
                <w:sz w:val="20"/>
                <w:szCs w:val="20"/>
                <w:color w:val="auto"/>
              </w:rPr>
            </w:pPr>
            <w:r>
              <w:rPr>
                <w:rFonts w:ascii="Arial" w:cs="Arial" w:eastAsia="Arial" w:hAnsi="Arial"/>
                <w:sz w:val="14"/>
                <w:szCs w:val="14"/>
                <w:color w:val="auto"/>
              </w:rPr>
              <w:t>Constant currency Latin America Pawn same store PLO</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38.7</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392"/>
        </w:trPr>
        <w:tc>
          <w:tcPr>
            <w:tcW w:w="8640" w:type="dxa"/>
            <w:vAlign w:val="bottom"/>
          </w:tcPr>
          <w:p>
            <w:pPr>
              <w:spacing w:after="0"/>
              <w:rPr>
                <w:sz w:val="20"/>
                <w:szCs w:val="20"/>
                <w:color w:val="auto"/>
              </w:rPr>
            </w:pPr>
            <w:r>
              <w:rPr>
                <w:rFonts w:ascii="Arial" w:cs="Arial" w:eastAsia="Arial" w:hAnsi="Arial"/>
                <w:sz w:val="14"/>
                <w:szCs w:val="14"/>
                <w:color w:val="auto"/>
              </w:rPr>
              <w:t>Consolidated revenue (three months ended March 31, 2019)</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214.7</w:t>
            </w:r>
          </w:p>
        </w:tc>
        <w:tc>
          <w:tcPr>
            <w:tcW w:w="12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276"/>
        </w:trPr>
        <w:tc>
          <w:tcPr>
            <w:tcW w:w="8640" w:type="dxa"/>
            <w:vAlign w:val="bottom"/>
          </w:tcPr>
          <w:p>
            <w:pPr>
              <w:spacing w:after="0"/>
              <w:rPr>
                <w:sz w:val="20"/>
                <w:szCs w:val="20"/>
                <w:color w:val="auto"/>
              </w:rPr>
            </w:pPr>
            <w:r>
              <w:rPr>
                <w:rFonts w:ascii="Arial" w:cs="Arial" w:eastAsia="Arial" w:hAnsi="Arial"/>
                <w:sz w:val="14"/>
                <w:szCs w:val="14"/>
                <w:color w:val="auto"/>
              </w:rPr>
              <w:t>Currency exchange rate fluctuations</w:t>
            </w:r>
          </w:p>
        </w:tc>
        <w:tc>
          <w:tcPr>
            <w:tcW w:w="2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1.4</w:t>
            </w:r>
          </w:p>
        </w:tc>
        <w:tc>
          <w:tcPr>
            <w:tcW w:w="120" w:type="dxa"/>
            <w:vAlign w:val="bottom"/>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8640" w:type="dxa"/>
            <w:vAlign w:val="bottom"/>
          </w:tcPr>
          <w:p>
            <w:pPr>
              <w:ind w:left="240"/>
              <w:spacing w:after="0"/>
              <w:rPr>
                <w:sz w:val="20"/>
                <w:szCs w:val="20"/>
                <w:color w:val="auto"/>
              </w:rPr>
            </w:pPr>
            <w:r>
              <w:rPr>
                <w:rFonts w:ascii="Arial" w:cs="Arial" w:eastAsia="Arial" w:hAnsi="Arial"/>
                <w:sz w:val="14"/>
                <w:szCs w:val="14"/>
                <w:color w:val="auto"/>
              </w:rPr>
              <w:t>Constant currency consolidated revenue (three months ended March 31, 2019)</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216.1</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392"/>
        </w:trPr>
        <w:tc>
          <w:tcPr>
            <w:tcW w:w="8640" w:type="dxa"/>
            <w:vAlign w:val="bottom"/>
          </w:tcPr>
          <w:p>
            <w:pPr>
              <w:spacing w:after="0"/>
              <w:rPr>
                <w:sz w:val="20"/>
                <w:szCs w:val="20"/>
                <w:color w:val="auto"/>
              </w:rPr>
            </w:pPr>
            <w:r>
              <w:rPr>
                <w:rFonts w:ascii="Arial" w:cs="Arial" w:eastAsia="Arial" w:hAnsi="Arial"/>
                <w:sz w:val="14"/>
                <w:szCs w:val="14"/>
                <w:color w:val="auto"/>
              </w:rPr>
              <w:t>Consolidated net revenue (three months ended March 31, 2019)</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127.7</w:t>
            </w:r>
          </w:p>
        </w:tc>
        <w:tc>
          <w:tcPr>
            <w:tcW w:w="12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276"/>
        </w:trPr>
        <w:tc>
          <w:tcPr>
            <w:tcW w:w="8640" w:type="dxa"/>
            <w:vAlign w:val="bottom"/>
          </w:tcPr>
          <w:p>
            <w:pPr>
              <w:spacing w:after="0"/>
              <w:rPr>
                <w:sz w:val="20"/>
                <w:szCs w:val="20"/>
                <w:color w:val="auto"/>
              </w:rPr>
            </w:pPr>
            <w:r>
              <w:rPr>
                <w:rFonts w:ascii="Arial" w:cs="Arial" w:eastAsia="Arial" w:hAnsi="Arial"/>
                <w:sz w:val="14"/>
                <w:szCs w:val="14"/>
                <w:color w:val="auto"/>
              </w:rPr>
              <w:t>Currency exchange rate fluctuations</w:t>
            </w:r>
          </w:p>
        </w:tc>
        <w:tc>
          <w:tcPr>
            <w:tcW w:w="2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0.8</w:t>
            </w:r>
          </w:p>
        </w:tc>
        <w:tc>
          <w:tcPr>
            <w:tcW w:w="120" w:type="dxa"/>
            <w:vAlign w:val="bottom"/>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8640" w:type="dxa"/>
            <w:vAlign w:val="bottom"/>
          </w:tcPr>
          <w:p>
            <w:pPr>
              <w:ind w:left="240"/>
              <w:spacing w:after="0"/>
              <w:rPr>
                <w:sz w:val="20"/>
                <w:szCs w:val="20"/>
                <w:color w:val="auto"/>
              </w:rPr>
            </w:pPr>
            <w:r>
              <w:rPr>
                <w:rFonts w:ascii="Arial" w:cs="Arial" w:eastAsia="Arial" w:hAnsi="Arial"/>
                <w:sz w:val="14"/>
                <w:szCs w:val="14"/>
                <w:color w:val="auto"/>
              </w:rPr>
              <w:t>Constant currency consolidated net revenue (three months ended March 31, 2019)</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128.5</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392"/>
        </w:trPr>
        <w:tc>
          <w:tcPr>
            <w:tcW w:w="8640" w:type="dxa"/>
            <w:vAlign w:val="bottom"/>
          </w:tcPr>
          <w:p>
            <w:pPr>
              <w:spacing w:after="0"/>
              <w:rPr>
                <w:sz w:val="20"/>
                <w:szCs w:val="20"/>
                <w:color w:val="auto"/>
              </w:rPr>
            </w:pPr>
            <w:r>
              <w:rPr>
                <w:rFonts w:ascii="Arial" w:cs="Arial" w:eastAsia="Arial" w:hAnsi="Arial"/>
                <w:sz w:val="14"/>
                <w:szCs w:val="14"/>
                <w:color w:val="auto"/>
              </w:rPr>
              <w:t>Consolidated PSC revenue (three months ended March 31, 2019)</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81.8</w:t>
            </w:r>
          </w:p>
        </w:tc>
        <w:tc>
          <w:tcPr>
            <w:tcW w:w="12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276"/>
        </w:trPr>
        <w:tc>
          <w:tcPr>
            <w:tcW w:w="8640" w:type="dxa"/>
            <w:vAlign w:val="bottom"/>
          </w:tcPr>
          <w:p>
            <w:pPr>
              <w:spacing w:after="0"/>
              <w:rPr>
                <w:sz w:val="20"/>
                <w:szCs w:val="20"/>
                <w:color w:val="auto"/>
              </w:rPr>
            </w:pPr>
            <w:r>
              <w:rPr>
                <w:rFonts w:ascii="Arial" w:cs="Arial" w:eastAsia="Arial" w:hAnsi="Arial"/>
                <w:sz w:val="14"/>
                <w:szCs w:val="14"/>
                <w:color w:val="auto"/>
              </w:rPr>
              <w:t>Currency exchange rate fluctuations</w:t>
            </w:r>
          </w:p>
        </w:tc>
        <w:tc>
          <w:tcPr>
            <w:tcW w:w="2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0.6</w:t>
            </w:r>
          </w:p>
        </w:tc>
        <w:tc>
          <w:tcPr>
            <w:tcW w:w="120" w:type="dxa"/>
            <w:vAlign w:val="bottom"/>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8640" w:type="dxa"/>
            <w:vAlign w:val="bottom"/>
          </w:tcPr>
          <w:p>
            <w:pPr>
              <w:ind w:left="240"/>
              <w:spacing w:after="0"/>
              <w:rPr>
                <w:sz w:val="20"/>
                <w:szCs w:val="20"/>
                <w:color w:val="auto"/>
              </w:rPr>
            </w:pPr>
            <w:r>
              <w:rPr>
                <w:rFonts w:ascii="Arial" w:cs="Arial" w:eastAsia="Arial" w:hAnsi="Arial"/>
                <w:sz w:val="14"/>
                <w:szCs w:val="14"/>
                <w:color w:val="auto"/>
              </w:rPr>
              <w:t>Constant currency consolidated PSC revenue (three months ended March 31, 2019)</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82.4</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405"/>
        </w:trPr>
        <w:tc>
          <w:tcPr>
            <w:tcW w:w="8640" w:type="dxa"/>
            <w:vAlign w:val="bottom"/>
          </w:tcPr>
          <w:p>
            <w:pPr>
              <w:spacing w:after="0"/>
              <w:rPr>
                <w:sz w:val="20"/>
                <w:szCs w:val="20"/>
                <w:color w:val="auto"/>
              </w:rPr>
            </w:pPr>
            <w:r>
              <w:rPr>
                <w:rFonts w:ascii="Arial" w:cs="Arial" w:eastAsia="Arial" w:hAnsi="Arial"/>
                <w:sz w:val="14"/>
                <w:szCs w:val="14"/>
                <w:color w:val="auto"/>
              </w:rPr>
              <w:t>Consolidated merchandise sales gross profit (three months ended March 31, 2019)</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43.5</w:t>
            </w:r>
          </w:p>
        </w:tc>
        <w:tc>
          <w:tcPr>
            <w:tcW w:w="12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76"/>
        </w:trPr>
        <w:tc>
          <w:tcPr>
            <w:tcW w:w="8640" w:type="dxa"/>
            <w:vAlign w:val="bottom"/>
          </w:tcPr>
          <w:p>
            <w:pPr>
              <w:spacing w:after="0"/>
              <w:rPr>
                <w:sz w:val="20"/>
                <w:szCs w:val="20"/>
                <w:color w:val="auto"/>
              </w:rPr>
            </w:pPr>
            <w:r>
              <w:rPr>
                <w:rFonts w:ascii="Arial" w:cs="Arial" w:eastAsia="Arial" w:hAnsi="Arial"/>
                <w:sz w:val="14"/>
                <w:szCs w:val="14"/>
                <w:color w:val="auto"/>
              </w:rPr>
              <w:t>Currency exchange rate fluctuations</w:t>
            </w:r>
          </w:p>
        </w:tc>
        <w:tc>
          <w:tcPr>
            <w:tcW w:w="2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0.2</w:t>
            </w:r>
          </w:p>
        </w:tc>
        <w:tc>
          <w:tcPr>
            <w:tcW w:w="120" w:type="dxa"/>
            <w:vAlign w:val="bottom"/>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8640" w:type="dxa"/>
            <w:vAlign w:val="bottom"/>
          </w:tcPr>
          <w:p>
            <w:pPr>
              <w:ind w:left="240"/>
              <w:spacing w:after="0"/>
              <w:rPr>
                <w:sz w:val="20"/>
                <w:szCs w:val="20"/>
                <w:color w:val="auto"/>
              </w:rPr>
            </w:pPr>
            <w:r>
              <w:rPr>
                <w:rFonts w:ascii="Arial" w:cs="Arial" w:eastAsia="Arial" w:hAnsi="Arial"/>
                <w:sz w:val="14"/>
                <w:szCs w:val="14"/>
                <w:color w:val="auto"/>
              </w:rPr>
              <w:t>Constant currency consolidated merchandise sales gross profit (three months ended March 31, 2019)</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43.7</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392"/>
        </w:trPr>
        <w:tc>
          <w:tcPr>
            <w:tcW w:w="8640" w:type="dxa"/>
            <w:vAlign w:val="bottom"/>
          </w:tcPr>
          <w:p>
            <w:pPr>
              <w:spacing w:after="0"/>
              <w:rPr>
                <w:sz w:val="20"/>
                <w:szCs w:val="20"/>
                <w:color w:val="auto"/>
              </w:rPr>
            </w:pPr>
            <w:r>
              <w:rPr>
                <w:rFonts w:ascii="Arial" w:cs="Arial" w:eastAsia="Arial" w:hAnsi="Arial"/>
                <w:sz w:val="14"/>
                <w:szCs w:val="14"/>
                <w:color w:val="auto"/>
              </w:rPr>
              <w:t>Consolidated operations expenses (three months ended March 31, 2019)</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88.2</w:t>
            </w:r>
          </w:p>
        </w:tc>
        <w:tc>
          <w:tcPr>
            <w:tcW w:w="12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276"/>
        </w:trPr>
        <w:tc>
          <w:tcPr>
            <w:tcW w:w="8640" w:type="dxa"/>
            <w:vAlign w:val="bottom"/>
          </w:tcPr>
          <w:p>
            <w:pPr>
              <w:spacing w:after="0"/>
              <w:rPr>
                <w:sz w:val="20"/>
                <w:szCs w:val="20"/>
                <w:color w:val="auto"/>
              </w:rPr>
            </w:pPr>
            <w:r>
              <w:rPr>
                <w:rFonts w:ascii="Arial" w:cs="Arial" w:eastAsia="Arial" w:hAnsi="Arial"/>
                <w:sz w:val="14"/>
                <w:szCs w:val="14"/>
                <w:color w:val="auto"/>
              </w:rPr>
              <w:t>Currency exchange rate fluctuations</w:t>
            </w:r>
          </w:p>
        </w:tc>
        <w:tc>
          <w:tcPr>
            <w:tcW w:w="2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0.6</w:t>
            </w:r>
          </w:p>
        </w:tc>
        <w:tc>
          <w:tcPr>
            <w:tcW w:w="120" w:type="dxa"/>
            <w:vAlign w:val="bottom"/>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8640" w:type="dxa"/>
            <w:vAlign w:val="bottom"/>
          </w:tcPr>
          <w:p>
            <w:pPr>
              <w:ind w:left="240"/>
              <w:spacing w:after="0"/>
              <w:rPr>
                <w:sz w:val="20"/>
                <w:szCs w:val="20"/>
                <w:color w:val="auto"/>
              </w:rPr>
            </w:pPr>
            <w:r>
              <w:rPr>
                <w:rFonts w:ascii="Arial" w:cs="Arial" w:eastAsia="Arial" w:hAnsi="Arial"/>
                <w:sz w:val="14"/>
                <w:szCs w:val="14"/>
                <w:color w:val="auto"/>
              </w:rPr>
              <w:t>Constant currency consolidated operations expenses (three months ended March 31, 2019)</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88.8</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392"/>
        </w:trPr>
        <w:tc>
          <w:tcPr>
            <w:tcW w:w="8640" w:type="dxa"/>
            <w:vAlign w:val="bottom"/>
          </w:tcPr>
          <w:p>
            <w:pPr>
              <w:spacing w:after="0"/>
              <w:rPr>
                <w:sz w:val="20"/>
                <w:szCs w:val="20"/>
                <w:color w:val="auto"/>
              </w:rPr>
            </w:pPr>
            <w:r>
              <w:rPr>
                <w:rFonts w:ascii="Arial" w:cs="Arial" w:eastAsia="Arial" w:hAnsi="Arial"/>
                <w:sz w:val="14"/>
                <w:szCs w:val="14"/>
                <w:color w:val="auto"/>
              </w:rPr>
              <w:t>Latin America Pawn net revenue (three months ended March 31, 2019)</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28.0</w:t>
            </w:r>
          </w:p>
        </w:tc>
        <w:tc>
          <w:tcPr>
            <w:tcW w:w="12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276"/>
        </w:trPr>
        <w:tc>
          <w:tcPr>
            <w:tcW w:w="8640" w:type="dxa"/>
            <w:vAlign w:val="bottom"/>
          </w:tcPr>
          <w:p>
            <w:pPr>
              <w:spacing w:after="0"/>
              <w:rPr>
                <w:sz w:val="20"/>
                <w:szCs w:val="20"/>
                <w:color w:val="auto"/>
              </w:rPr>
            </w:pPr>
            <w:r>
              <w:rPr>
                <w:rFonts w:ascii="Arial" w:cs="Arial" w:eastAsia="Arial" w:hAnsi="Arial"/>
                <w:sz w:val="14"/>
                <w:szCs w:val="14"/>
                <w:color w:val="auto"/>
              </w:rPr>
              <w:t>Currency exchange rate fluctuations</w:t>
            </w:r>
          </w:p>
        </w:tc>
        <w:tc>
          <w:tcPr>
            <w:tcW w:w="2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0.8</w:t>
            </w:r>
          </w:p>
        </w:tc>
        <w:tc>
          <w:tcPr>
            <w:tcW w:w="120" w:type="dxa"/>
            <w:vAlign w:val="bottom"/>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8640" w:type="dxa"/>
            <w:vAlign w:val="bottom"/>
          </w:tcPr>
          <w:p>
            <w:pPr>
              <w:ind w:left="240"/>
              <w:spacing w:after="0"/>
              <w:rPr>
                <w:sz w:val="20"/>
                <w:szCs w:val="20"/>
                <w:color w:val="auto"/>
              </w:rPr>
            </w:pPr>
            <w:r>
              <w:rPr>
                <w:rFonts w:ascii="Arial" w:cs="Arial" w:eastAsia="Arial" w:hAnsi="Arial"/>
                <w:sz w:val="14"/>
                <w:szCs w:val="14"/>
                <w:color w:val="auto"/>
              </w:rPr>
              <w:t>Constant currency Latin America Pawn net revenue (three months ended March 31, 2019)</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28.8</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392"/>
        </w:trPr>
        <w:tc>
          <w:tcPr>
            <w:tcW w:w="8640" w:type="dxa"/>
            <w:vAlign w:val="bottom"/>
          </w:tcPr>
          <w:p>
            <w:pPr>
              <w:spacing w:after="0"/>
              <w:rPr>
                <w:sz w:val="20"/>
                <w:szCs w:val="20"/>
                <w:color w:val="auto"/>
              </w:rPr>
            </w:pPr>
            <w:r>
              <w:rPr>
                <w:rFonts w:ascii="Arial" w:cs="Arial" w:eastAsia="Arial" w:hAnsi="Arial"/>
                <w:sz w:val="14"/>
                <w:szCs w:val="14"/>
                <w:color w:val="auto"/>
              </w:rPr>
              <w:t>Latin America Pawn PSC revenue (three months ended March 31, 2019)</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20.0</w:t>
            </w:r>
          </w:p>
        </w:tc>
        <w:tc>
          <w:tcPr>
            <w:tcW w:w="12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276"/>
        </w:trPr>
        <w:tc>
          <w:tcPr>
            <w:tcW w:w="8640" w:type="dxa"/>
            <w:vAlign w:val="bottom"/>
          </w:tcPr>
          <w:p>
            <w:pPr>
              <w:spacing w:after="0"/>
              <w:rPr>
                <w:sz w:val="20"/>
                <w:szCs w:val="20"/>
                <w:color w:val="auto"/>
              </w:rPr>
            </w:pPr>
            <w:r>
              <w:rPr>
                <w:rFonts w:ascii="Arial" w:cs="Arial" w:eastAsia="Arial" w:hAnsi="Arial"/>
                <w:sz w:val="14"/>
                <w:szCs w:val="14"/>
                <w:color w:val="auto"/>
              </w:rPr>
              <w:t>Currency exchange rate fluctuations</w:t>
            </w:r>
          </w:p>
        </w:tc>
        <w:tc>
          <w:tcPr>
            <w:tcW w:w="2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0.6</w:t>
            </w:r>
          </w:p>
        </w:tc>
        <w:tc>
          <w:tcPr>
            <w:tcW w:w="120" w:type="dxa"/>
            <w:vAlign w:val="bottom"/>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8640" w:type="dxa"/>
            <w:vAlign w:val="bottom"/>
          </w:tcPr>
          <w:p>
            <w:pPr>
              <w:ind w:left="240"/>
              <w:spacing w:after="0"/>
              <w:rPr>
                <w:sz w:val="20"/>
                <w:szCs w:val="20"/>
                <w:color w:val="auto"/>
              </w:rPr>
            </w:pPr>
            <w:r>
              <w:rPr>
                <w:rFonts w:ascii="Arial" w:cs="Arial" w:eastAsia="Arial" w:hAnsi="Arial"/>
                <w:sz w:val="14"/>
                <w:szCs w:val="14"/>
                <w:color w:val="auto"/>
              </w:rPr>
              <w:t>Constant currency Latin America Pawn PSC revenue (three months ended March 31, 2019)</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20.6</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392"/>
        </w:trPr>
        <w:tc>
          <w:tcPr>
            <w:tcW w:w="8640" w:type="dxa"/>
            <w:vAlign w:val="bottom"/>
          </w:tcPr>
          <w:p>
            <w:pPr>
              <w:spacing w:after="0"/>
              <w:rPr>
                <w:sz w:val="20"/>
                <w:szCs w:val="20"/>
                <w:color w:val="auto"/>
              </w:rPr>
            </w:pPr>
            <w:r>
              <w:rPr>
                <w:rFonts w:ascii="Arial" w:cs="Arial" w:eastAsia="Arial" w:hAnsi="Arial"/>
                <w:sz w:val="14"/>
                <w:szCs w:val="14"/>
                <w:color w:val="auto"/>
              </w:rPr>
              <w:t>Latin America Pawn segment profit before tax (three months ended March 31, 2019)</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9.5</w:t>
            </w:r>
          </w:p>
        </w:tc>
        <w:tc>
          <w:tcPr>
            <w:tcW w:w="12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276"/>
        </w:trPr>
        <w:tc>
          <w:tcPr>
            <w:tcW w:w="8640" w:type="dxa"/>
            <w:vAlign w:val="bottom"/>
          </w:tcPr>
          <w:p>
            <w:pPr>
              <w:spacing w:after="0"/>
              <w:rPr>
                <w:sz w:val="20"/>
                <w:szCs w:val="20"/>
                <w:color w:val="auto"/>
              </w:rPr>
            </w:pPr>
            <w:r>
              <w:rPr>
                <w:rFonts w:ascii="Arial" w:cs="Arial" w:eastAsia="Arial" w:hAnsi="Arial"/>
                <w:sz w:val="14"/>
                <w:szCs w:val="14"/>
                <w:color w:val="auto"/>
              </w:rPr>
              <w:t>Currency exchange rate fluctuations</w:t>
            </w:r>
          </w:p>
        </w:tc>
        <w:tc>
          <w:tcPr>
            <w:tcW w:w="2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0.2</w:t>
            </w:r>
          </w:p>
        </w:tc>
        <w:tc>
          <w:tcPr>
            <w:tcW w:w="120" w:type="dxa"/>
            <w:vAlign w:val="bottom"/>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8640" w:type="dxa"/>
            <w:vAlign w:val="bottom"/>
          </w:tcPr>
          <w:p>
            <w:pPr>
              <w:ind w:left="240"/>
              <w:spacing w:after="0"/>
              <w:rPr>
                <w:sz w:val="20"/>
                <w:szCs w:val="20"/>
                <w:color w:val="auto"/>
              </w:rPr>
            </w:pPr>
            <w:r>
              <w:rPr>
                <w:rFonts w:ascii="Arial" w:cs="Arial" w:eastAsia="Arial" w:hAnsi="Arial"/>
                <w:sz w:val="14"/>
                <w:szCs w:val="14"/>
                <w:color w:val="auto"/>
              </w:rPr>
              <w:t>Constant currency Latin America Pawn segment profit before tax (three months ended March 31, 2019)</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9.7</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380"/>
      </w:cols>
      <w:pgMar w:left="280" w:top="72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o"/>
      <w:numFmt w:val="bullet"/>
      <w:start w:val="1"/>
    </w:lvl>
  </w:abstractNum>
  <w:abstractNum w:abstractNumId="1">
    <w:nsid w:val="625558EC"/>
    <w:multiLevelType w:val="hybridMultilevel"/>
    <w:lvl w:ilvl="0">
      <w:lvlJc w:val="left"/>
      <w:lvlText w:val="(%1)"/>
      <w:numFmt w:val="lowerLetter"/>
      <w:start w:val="4"/>
    </w:lvl>
  </w:abstractNum>
  <w:abstractNum w:abstractNumId="2">
    <w:nsid w:val="238E1F29"/>
    <w:multiLevelType w:val="hybridMultilevel"/>
    <w:lvl w:ilvl="0">
      <w:lvlJc w:val="left"/>
      <w:lvlText w:val="•"/>
      <w:numFmt w:val="bullet"/>
      <w:start w:val="1"/>
    </w:lvl>
    <w:lvl w:ilvl="1">
      <w:lvlJc w:val="left"/>
      <w:lvlText w:val="\endash "/>
      <w:numFmt w:val="bullet"/>
      <w:start w:val="1"/>
    </w:lvl>
  </w:abstractNum>
  <w:abstractNum w:abstractNumId="3">
    <w:nsid w:val="46E87CCD"/>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2019-12-02T21:55:28Z</dcterms:created>
  <dcterms:modified xsi:type="dcterms:W3CDTF">2019-12-02T21:55:28Z</dcterms:modified>
</cp:coreProperties>
</file>