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11,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11, 2014, EZCORP, Inc. will host an Institutional Investor Day in Austin, Texas, where senior management will discuss strategic initiatives, operations and recent events. A copy of the presentation materials has been posted in the Investor Relations section of EZCORP, Inc.’s website at http://investors.ezcorp.com.</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sectPr>
          <w:pgSz w:w="11900" w:h="16838" w:orient="portrait"/>
          <w:cols w:equalWidth="0" w:num="1">
            <w:col w:w="11180"/>
          </w:cols>
          <w:pgMar w:left="240" w:top="580" w:right="4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200" w:val="left"/>
          <w:tab w:leader="none" w:pos="6980" w:val="left"/>
        </w:tabs>
        <w:rPr>
          <w:sz w:val="20"/>
          <w:szCs w:val="20"/>
          <w:color w:val="auto"/>
        </w:rPr>
      </w:pPr>
      <w:r>
        <w:rPr>
          <w:rFonts w:ascii="Arial" w:cs="Arial" w:eastAsia="Arial" w:hAnsi="Arial"/>
          <w:sz w:val="18"/>
          <w:szCs w:val="18"/>
          <w:color w:val="auto"/>
        </w:rPr>
        <w:t>Date:</w:t>
        <w:tab/>
        <w:t>December 11,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Senior Vice President, General Counsel and Secretary</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2020-01-30T08:55:07Z</dcterms:created>
  <dcterms:modified xsi:type="dcterms:W3CDTF">2020-01-30T08:55:07Z</dcterms:modified>
</cp:coreProperties>
</file>