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11, 2017</w:t>
      </w:r>
    </w:p>
    <w:p>
      <w:pPr>
        <w:spacing w:after="0" w:line="19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333-202626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2 to</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37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EZCORP, INC.</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p>
      <w:pPr>
        <w:ind w:left="1620"/>
        <w:spacing w:after="0"/>
        <w:tabs>
          <w:tab w:leader="none" w:pos="89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74-2540145</w:t>
      </w:r>
    </w:p>
    <w:p>
      <w:pPr>
        <w:spacing w:after="0" w:line="91" w:lineRule="exact"/>
        <w:rPr>
          <w:sz w:val="24"/>
          <w:szCs w:val="24"/>
          <w:color w:val="auto"/>
        </w:rPr>
      </w:pPr>
    </w:p>
    <w:p>
      <w:pPr>
        <w:ind w:left="1100"/>
        <w:spacing w:after="0"/>
        <w:tabs>
          <w:tab w:leader="none" w:pos="83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4"/>
          <w:szCs w:val="14"/>
          <w:color w:val="auto"/>
        </w:rPr>
        <w:t>(I.R.S. Employer Identification No.)</w:t>
      </w:r>
    </w:p>
    <w:p>
      <w:pPr>
        <w:spacing w:after="0" w:line="1" w:lineRule="exact"/>
        <w:rPr>
          <w:sz w:val="24"/>
          <w:szCs w:val="24"/>
          <w:color w:val="auto"/>
        </w:rPr>
      </w:pPr>
    </w:p>
    <w:p>
      <w:pPr>
        <w:ind w:left="1080"/>
        <w:spacing w:after="0"/>
        <w:rPr>
          <w:sz w:val="20"/>
          <w:szCs w:val="20"/>
          <w:color w:val="auto"/>
        </w:rPr>
      </w:pPr>
      <w:r>
        <w:rPr>
          <w:rFonts w:ascii="Arial" w:cs="Arial" w:eastAsia="Arial" w:hAnsi="Arial"/>
          <w:sz w:val="14"/>
          <w:szCs w:val="14"/>
          <w:color w:val="auto"/>
        </w:rPr>
        <w:t>incorporation or organization)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to:</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 Kimball</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Ross Avenue, Suite 3700, Dallas, Texas 75201-2975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220-7700</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2" w:lineRule="exact"/>
        <w:rPr>
          <w:sz w:val="24"/>
          <w:szCs w:val="24"/>
          <w:color w:val="auto"/>
        </w:rPr>
      </w:pPr>
    </w:p>
    <w:p>
      <w:pPr>
        <w:ind w:right="100"/>
        <w:spacing w:after="0" w:line="219"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44"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9"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39"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39" w:lineRule="exact"/>
        <w:rPr>
          <w:sz w:val="24"/>
          <w:szCs w:val="24"/>
          <w:color w:val="auto"/>
        </w:rPr>
      </w:pPr>
    </w:p>
    <w:p>
      <w:pPr>
        <w:ind w:right="2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1" w:lineRule="exact"/>
        <w:rPr>
          <w:sz w:val="24"/>
          <w:szCs w:val="24"/>
          <w:color w:val="auto"/>
        </w:rPr>
      </w:pPr>
    </w:p>
    <w:p>
      <w:pPr>
        <w:ind w:left="360"/>
        <w:spacing w:after="0" w:line="207" w:lineRule="exact"/>
        <w:tabs>
          <w:tab w:leader="none" w:pos="2780" w:val="left"/>
          <w:tab w:leader="none" w:pos="5600" w:val="left"/>
          <w:tab w:leader="none" w:pos="88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6" w:lineRule="exact"/>
        <w:rPr>
          <w:sz w:val="24"/>
          <w:szCs w:val="24"/>
          <w:color w:val="auto"/>
        </w:rPr>
      </w:pPr>
    </w:p>
    <w:p>
      <w:pPr>
        <w:ind w:left="4820"/>
        <w:spacing w:after="0" w:line="184" w:lineRule="exact"/>
        <w:tabs>
          <w:tab w:leader="none" w:pos="8860" w:val="left"/>
        </w:tabs>
        <w:rPr>
          <w:sz w:val="20"/>
          <w:szCs w:val="20"/>
          <w:color w:val="auto"/>
        </w:rPr>
      </w:pP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0" w:lineRule="exact"/>
        <w:rPr>
          <w:sz w:val="24"/>
          <w:szCs w:val="24"/>
          <w:color w:val="auto"/>
        </w:rPr>
      </w:pPr>
    </w:p>
    <w:p>
      <w:pPr>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ind w:left="4100"/>
        <w:spacing w:after="0"/>
        <w:rPr>
          <w:sz w:val="20"/>
          <w:szCs w:val="20"/>
          <w:color w:val="auto"/>
        </w:rPr>
      </w:pPr>
      <w:r>
        <w:rPr>
          <w:rFonts w:ascii="Arial" w:cs="Arial" w:eastAsia="Arial" w:hAnsi="Arial"/>
          <w:sz w:val="22"/>
          <w:szCs w:val="22"/>
          <w:b w:val="1"/>
          <w:bCs w:val="1"/>
          <w:color w:val="auto"/>
        </w:rPr>
        <w:t>___________________________</w:t>
      </w:r>
    </w:p>
    <w:p>
      <w:pPr>
        <w:sectPr>
          <w:pgSz w:w="11900" w:h="16838" w:orient="portrait"/>
          <w:cols w:equalWidth="0" w:num="1">
            <w:col w:w="11420"/>
          </w:cols>
          <w:pgMar w:left="240" w:top="395" w:right="239" w:bottom="0" w:gutter="0" w:footer="0" w:header="0"/>
        </w:sectPr>
      </w:pPr>
    </w:p>
    <w:p>
      <w:pPr>
        <w:spacing w:after="0" w:line="249"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w:t>
      </w:r>
    </w:p>
    <w:p>
      <w:pPr>
        <w:sectPr>
          <w:pgSz w:w="11900" w:h="16838" w:orient="portrait"/>
          <w:cols w:equalWidth="0" w:num="1">
            <w:col w:w="11420"/>
          </w:cols>
          <w:pgMar w:left="240" w:top="395" w:right="239" w:bottom="0" w:gutter="0" w:footer="0" w:header="0"/>
          <w:type w:val="continuous"/>
        </w:sectPr>
      </w:pPr>
    </w:p>
    <w:bookmarkStart w:id="1" w:name="page2"/>
    <w:bookmarkEnd w:id="1"/>
    <w:p>
      <w:pPr>
        <w:spacing w:after="0" w:line="286" w:lineRule="auto"/>
        <w:rPr>
          <w:sz w:val="20"/>
          <w:szCs w:val="20"/>
          <w:color w:val="auto"/>
        </w:rPr>
      </w:pPr>
      <w:r>
        <w:rPr>
          <w:rFonts w:ascii="Arial" w:cs="Arial" w:eastAsia="Arial" w:hAnsi="Arial"/>
          <w:sz w:val="16"/>
          <w:szCs w:val="16"/>
          <w:b w:val="1"/>
          <w:bCs w:val="1"/>
          <w:color w:val="auto"/>
        </w:rPr>
        <w:t>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7202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 w:right="300"/>
        <w:spacing w:after="0" w:line="253"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dated May 11,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A Non-Voting 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Contracts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Units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may offer and sell the securities listed above from time to time in one or more classes or series and in amounts, at prices and on terms that we will determine at the time of the offering.</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 securities to be sold by us and the methods by which we will sell them in one or more supplements to this prospectus. A prospectus supplement may also add, update or change information contained in this prospectus. You should read this prospectus and any supplement carefully before you invest. This prospectus may not be used to offer or sell securities without a prospectus supplement describing the methods and terms of the offering. We may sell the securities directly or we may distribute them through underwriters or dealers. In addition, the underwriters may overallot a portion of the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Class A Non-Voting Common Stock is traded on The NASDAQ Global Select Market under the symbol “EZPW.”</w:t>
      </w:r>
    </w:p>
    <w:p>
      <w:pPr>
        <w:spacing w:after="0" w:line="163"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color w:val="auto"/>
        </w:rPr>
        <w:t>Investing in these securities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1.</w:t>
      </w:r>
    </w:p>
    <w:p>
      <w:pPr>
        <w:spacing w:after="0" w:line="12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 2017.</w:t>
      </w:r>
    </w:p>
    <w:p>
      <w:pPr>
        <w:sectPr>
          <w:pgSz w:w="11900" w:h="16838" w:orient="portrait"/>
          <w:cols w:equalWidth="0" w:num="1">
            <w:col w:w="11360"/>
          </w:cols>
          <w:pgMar w:left="240" w:top="28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2"/>
          </w:tcPr>
          <w:p>
            <w:pPr>
              <w:ind w:left="140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Incorporation of Documents by Reference</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EZCORP, Inc.</w:t>
              </w:r>
            </w:hyperlink>
          </w:p>
        </w:tc>
        <w:tc>
          <w:tcPr>
            <w:tcW w:w="2240" w:type="dxa"/>
            <w:vAlign w:val="bottom"/>
            <w:gridSpan w:val="11"/>
          </w:tcPr>
          <w:p>
            <w:pPr>
              <w:spacing w:after="0"/>
              <w:rPr>
                <w:sz w:val="20"/>
                <w:szCs w:val="20"/>
                <w:color w:val="auto"/>
              </w:rPr>
            </w:pPr>
          </w:p>
        </w:tc>
        <w:tc>
          <w:tcPr>
            <w:tcW w:w="5460" w:type="dxa"/>
            <w:vAlign w:val="bottom"/>
            <w:gridSpan w:val="2"/>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Risk Factors</w:t>
              </w:r>
            </w:hyperlink>
          </w:p>
        </w:tc>
        <w:tc>
          <w:tcPr>
            <w:tcW w:w="80" w:type="dxa"/>
            <w:vAlign w:val="bottom"/>
          </w:tcPr>
          <w:p>
            <w:pPr>
              <w:spacing w:after="0"/>
              <w:rPr>
                <w:sz w:val="20"/>
                <w:szCs w:val="20"/>
                <w:color w:val="auto"/>
              </w:rPr>
            </w:pPr>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Ratio of Earnings to Fixed Charges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36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Capital Stock</w:t>
              </w:r>
            </w:hyperlink>
          </w:p>
        </w:tc>
        <w:tc>
          <w:tcPr>
            <w:tcW w:w="6420" w:type="dxa"/>
            <w:vAlign w:val="bottom"/>
            <w:gridSpan w:val="5"/>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Description of Warrants</w:t>
              </w:r>
            </w:hyperlink>
          </w:p>
        </w:tc>
        <w:tc>
          <w:tcPr>
            <w:tcW w:w="6580" w:type="dxa"/>
            <w:vAlign w:val="bottom"/>
            <w:gridSpan w:val="7"/>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Stock Purchase Contracts and Stock Purchase Units</w:t>
              </w:r>
            </w:hyperlink>
          </w:p>
        </w:tc>
        <w:tc>
          <w:tcPr>
            <w:tcW w:w="258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3440" w:type="dxa"/>
            <w:vAlign w:val="bottom"/>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0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7280" w:type="dxa"/>
            <w:vAlign w:val="bottom"/>
            <w:gridSpan w:val="10"/>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prospectus is a part of a "shelf" registration statement on Form S-3 that we filed with the Securities and Exchange Commission (the “SEC”). Under the shelf registration process, we may from time to time offer and sell any combination of the securities described in this prospectus in one or more offerings. This prospectus provides a general description of the securities we may offer. Each time we offer and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the documents incorporated by reference into this prospectus as described below under “Information Incorporated by Reference.”</w:t>
      </w:r>
    </w:p>
    <w:p>
      <w:pPr>
        <w:spacing w:after="0" w:line="1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27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and discussed in the accompanying prospectus supplement and in our SEC filings that are incorporated by reference into this prospectus. See “Risk Factors” and “Incorporation of Documents by Reference”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Room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www.sec.gov.</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5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December 31, 2016 and March 31,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Reports on Form 8-K dated October 4, 2016, December 21, 2016, March 22, 2017 and May 3, 2017; and</w:t>
      </w:r>
    </w:p>
    <w:p>
      <w:pPr>
        <w:spacing w:after="0" w:line="171"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87"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 securities terminates or we have filed with the SEC an amendment to the Registration Statement relating to this offering that deregisters all securities then remaining unsold. All filings that we file pursuant to the Exchange Act after the date of the pre-effective amendment to the registration statement and prior to the effectiveness of the registration statement shall be deemed to be incorporated by reference into the prospectus. 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202" w:lineRule="exact"/>
        <w:rPr>
          <w:sz w:val="20"/>
          <w:szCs w:val="20"/>
          <w:color w:val="auto"/>
        </w:rPr>
      </w:pPr>
    </w:p>
    <w:p>
      <w:pPr>
        <w:ind w:right="4180"/>
        <w:spacing w:after="0" w:line="262" w:lineRule="auto"/>
        <w:rPr>
          <w:sz w:val="20"/>
          <w:szCs w:val="20"/>
          <w:color w:val="auto"/>
        </w:rPr>
      </w:pPr>
      <w:r>
        <w:rPr>
          <w:rFonts w:ascii="Arial" w:cs="Arial" w:eastAsia="Arial" w:hAnsi="Arial"/>
          <w:sz w:val="18"/>
          <w:szCs w:val="18"/>
          <w:color w:val="auto"/>
        </w:rPr>
        <w:t>EZCORP, Inc., 2500 Bee Cave Road, Building One, Suite 200, Rollingwood, Texas 78746 Attn: Corporate Secretary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Telephone — 512-314-3400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 Investor_Relations@ezcorp.com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7"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19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We are a leading provider of pawn loans in the United States and Mexico with approximately 5,600 team members and almost 800 locations.</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4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our pawn stores (517 in the U.S. and 240 in Mexico as of March 31, 2017), we offer pawn loans, which are non-recourse loans collateralized by tangible property, and we sell merchandise, primarily collateral forfeited from pawn lending operations and used merchandise purchased from customers.</w:t>
      </w:r>
    </w:p>
    <w:p>
      <w:pPr>
        <w:spacing w:after="0" w:line="1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32% of Cash Converters International Limited (“Cash Converters International”), based in Australia, which franchises and operates a worldwide network of nearly 700 locations that provide financial services and also buy and sell second-hand goods.</w:t>
      </w:r>
    </w:p>
    <w:p>
      <w:pPr>
        <w:spacing w:after="0" w:line="14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2500 Bee Cave Road, Building One, Suite 200, Rollingwood,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Investing in our securities involves risks. Before making an investment decision, you should carefully consider the specific risks described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prospectus supplement and the documents we incorporate by reference in evaluating an investment in our securities.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Unless we inform you otherwise in the prospectus supplement, we expect to use the net proceeds from the sale of securities for general corporate purposes. These purposes may include the following:</w:t>
      </w:r>
    </w:p>
    <w:p>
      <w:pPr>
        <w:spacing w:after="0" w:line="1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or refinancing of debt or other corporate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Pending any specific application, we may initially invest funds in short-term marketable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7" w:right="279" w:bottom="1440" w:gutter="0" w:footer="0" w:header="0"/>
        </w:sectPr>
      </w:pPr>
    </w:p>
    <w:bookmarkStart w:id="7" w:name="page8"/>
    <w:bookmarkEnd w:id="7"/>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consolidated earnings to fixed charges for the periods presented: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08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 March</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3160" w:type="dxa"/>
            <w:vAlign w:val="bottom"/>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2012</w:t>
            </w:r>
          </w:p>
        </w:tc>
      </w:tr>
      <w:tr>
        <w:trPr>
          <w:trHeight w:val="237"/>
        </w:trPr>
        <w:tc>
          <w:tcPr>
            <w:tcW w:w="3160" w:type="dxa"/>
            <w:vAlign w:val="bottom"/>
          </w:tcPr>
          <w:p>
            <w:pPr>
              <w:spacing w:after="0"/>
              <w:rPr>
                <w:sz w:val="20"/>
                <w:szCs w:val="20"/>
                <w:color w:val="auto"/>
              </w:rPr>
            </w:pPr>
            <w:r>
              <w:rPr>
                <w:rFonts w:ascii="Arial" w:cs="Arial" w:eastAsia="Arial" w:hAnsi="Arial"/>
                <w:sz w:val="16"/>
                <w:szCs w:val="16"/>
                <w:color w:val="auto"/>
              </w:rPr>
              <w:t>Ratio of earnings to fixed charges (a)</w:t>
            </w: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rPr>
              <w:t>2.45x</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1.06x</w:t>
            </w:r>
          </w:p>
        </w:tc>
        <w:tc>
          <w:tcPr>
            <w:tcW w:w="800" w:type="dxa"/>
            <w:vAlign w:val="bottom"/>
          </w:tcPr>
          <w:p>
            <w:pPr>
              <w:jc w:val="center"/>
              <w:ind w:left="243"/>
              <w:spacing w:after="0"/>
              <w:rPr>
                <w:sz w:val="20"/>
                <w:szCs w:val="20"/>
                <w:color w:val="auto"/>
              </w:rPr>
            </w:pPr>
            <w:r>
              <w:rPr>
                <w:rFonts w:ascii="Arial" w:cs="Arial" w:eastAsia="Arial" w:hAnsi="Arial"/>
                <w:sz w:val="16"/>
                <w:szCs w:val="16"/>
                <w:color w:val="auto"/>
              </w:rPr>
              <w:t>(b)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6"/>
                <w:szCs w:val="16"/>
                <w:color w:val="auto"/>
              </w:rPr>
              <w:t>1.09x</w:t>
            </w:r>
          </w:p>
        </w:tc>
        <w:tc>
          <w:tcPr>
            <w:tcW w:w="940" w:type="dxa"/>
            <w:vAlign w:val="bottom"/>
            <w:gridSpan w:val="2"/>
          </w:tcPr>
          <w:p>
            <w:pPr>
              <w:jc w:val="center"/>
              <w:ind w:right="420"/>
              <w:spacing w:after="0"/>
              <w:rPr>
                <w:sz w:val="20"/>
                <w:szCs w:val="20"/>
                <w:color w:val="auto"/>
              </w:rPr>
            </w:pPr>
            <w:r>
              <w:rPr>
                <w:rFonts w:ascii="Arial" w:cs="Arial" w:eastAsia="Arial" w:hAnsi="Arial"/>
                <w:sz w:val="16"/>
                <w:szCs w:val="16"/>
                <w:color w:val="auto"/>
              </w:rPr>
              <w:t>1.55x</w:t>
            </w:r>
          </w:p>
        </w:tc>
        <w:tc>
          <w:tcPr>
            <w:tcW w:w="1140" w:type="dxa"/>
            <w:vAlign w:val="bottom"/>
          </w:tcPr>
          <w:p>
            <w:pPr>
              <w:jc w:val="center"/>
              <w:spacing w:after="0"/>
              <w:rPr>
                <w:sz w:val="20"/>
                <w:szCs w:val="20"/>
                <w:color w:val="auto"/>
              </w:rPr>
            </w:pPr>
            <w:r>
              <w:rPr>
                <w:rFonts w:ascii="Arial" w:cs="Arial" w:eastAsia="Arial" w:hAnsi="Arial"/>
                <w:sz w:val="16"/>
                <w:szCs w:val="16"/>
                <w:color w:val="auto"/>
              </w:rPr>
              <w:t>5.36x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123825</wp:posOffset>
            </wp:positionV>
            <wp:extent cx="12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3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ratio has been computed by dividing earnings by fixed charges. For purposes of computing this ratio:</w:t>
      </w:r>
    </w:p>
    <w:p>
      <w:pPr>
        <w:spacing w:after="0" w:line="171" w:lineRule="exact"/>
        <w:rPr>
          <w:rFonts w:ascii="Arial" w:cs="Arial" w:eastAsia="Arial" w:hAnsi="Arial"/>
          <w:sz w:val="18"/>
          <w:szCs w:val="18"/>
          <w:color w:val="auto"/>
        </w:rPr>
      </w:pPr>
    </w:p>
    <w:p>
      <w:pPr>
        <w:ind w:left="660" w:right="200" w:hanging="328"/>
        <w:spacing w:after="0" w:line="274"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Earnings consist of income from continuing operations before income taxes (excluding the results of operations discontinued in fiscal 2016 and prior), cumulative effect of change in accounting principle, adjustments for net income or loss attributable to noncontrolling interests and our share of investees’ income or loss accounted for under the equity method, and adjustment for capitalized interest, plus fixed charges and our share of distributed income from investees accounted for under the equity method; and</w:t>
      </w:r>
    </w:p>
    <w:p>
      <w:pPr>
        <w:spacing w:after="0" w:line="133" w:lineRule="exact"/>
        <w:rPr>
          <w:rFonts w:ascii="Arial" w:cs="Arial" w:eastAsia="Arial" w:hAnsi="Arial"/>
          <w:sz w:val="17"/>
          <w:szCs w:val="17"/>
          <w:color w:val="auto"/>
        </w:rPr>
      </w:pPr>
    </w:p>
    <w:p>
      <w:pPr>
        <w:ind w:left="660" w:right="320" w:hanging="328"/>
        <w:spacing w:after="0" w:line="262"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Fixed charges consist of interest expense, capitalized interest and the portion of rental expense deemed to be representative of the interest component of rental expense.</w:t>
      </w:r>
    </w:p>
    <w:p>
      <w:pPr>
        <w:spacing w:after="0" w:line="142"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ratio as computed for fiscal 2015 was less than 1.0 as earnings were not adequate to cover fixed charges. Additional earnings of approximately $56 million would have been necessary to bring the ratio to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62"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9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Debt Securities will be debt securities issued under an indenture (the “Indenture”) between us and a trustee to be selected by us (the “Trustee”).</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Debt Securities may be issued from time to time in one or more series. The particular terms of each series that are offered by a prospectus supplement will be described in the prospectus supplement.</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Debt Securities are not guaranteed by our subsidiaries, and the rights of EZCORP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summarized selected provisions of the Indenture below. The summary is not complete. The form of the Indenture has been filed with the SEC as an exhibit to the registration statement of which this prospectus is a part, and you should read the Indenture for provisions that may be important to you. In the summary below, we have included references to article or section numbers of the Indenture so that you can easily locate these provisions. Whenever we refer in this prospectus or in the prospectus supplement to particular articles or sections or defined terms of the Indenture, those articles or sections or defined terms are incorporated by reference herein or therein, as applicable. Capitalized terms used in the summary have the meanings specified in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Indenture provides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may be our secured or unsecured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the prospectus supplement so indicates, the Debt Securities will be convertible into our Class A Non-Voting Common Stock (Section 301).</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142"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71" w:lineRule="exact"/>
        <w:rPr>
          <w:rFonts w:ascii="Arial" w:cs="Arial" w:eastAsia="Arial" w:hAnsi="Arial"/>
          <w:sz w:val="18"/>
          <w:szCs w:val="18"/>
          <w:color w:val="auto"/>
        </w:rPr>
      </w:pPr>
    </w:p>
    <w:p>
      <w:pPr>
        <w:ind w:left="980" w:right="260" w:hanging="648"/>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71" w:lineRule="exact"/>
        <w:rPr>
          <w:rFonts w:ascii="Arial" w:cs="Arial" w:eastAsia="Arial" w:hAnsi="Arial"/>
          <w:sz w:val="18"/>
          <w:szCs w:val="18"/>
          <w:color w:val="auto"/>
        </w:rPr>
      </w:pPr>
    </w:p>
    <w:p>
      <w:pPr>
        <w:ind w:left="980" w:right="140" w:hanging="648"/>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Class A Non-Voting Common Stock and, if so, the terms and conditions upon which conversion will be effected, including the initial conversion price or conversion rate and any adjustments thereto and the conversion period;</w:t>
      </w:r>
    </w:p>
    <w:p>
      <w:pPr>
        <w:spacing w:after="0" w:line="14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9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14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other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other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Indenture.</w:t>
      </w:r>
    </w:p>
    <w:p>
      <w:pPr>
        <w:spacing w:after="0" w:line="15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Notwithstanding any provision of the Indenture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48" w:lineRule="exact"/>
        <w:rPr>
          <w:sz w:val="20"/>
          <w:szCs w:val="20"/>
          <w:color w:val="auto"/>
        </w:rPr>
      </w:pPr>
    </w:p>
    <w:p>
      <w:pPr>
        <w:ind w:left="980" w:hanging="648"/>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for such Global Security or has ceased to be qualified to act as such as required by the Indenture, and in either case we fail to appoint a successor Depositary within 90 days;</w:t>
      </w: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7"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the rules of the Depositary, we have elected to terminate the book-entry system through the Depositary; or</w:t>
      </w:r>
    </w:p>
    <w:p>
      <w:pPr>
        <w:spacing w:after="0" w:line="171" w:lineRule="exact"/>
        <w:rPr>
          <w:rFonts w:ascii="Arial" w:cs="Arial" w:eastAsia="Arial" w:hAnsi="Arial"/>
          <w:sz w:val="18"/>
          <w:szCs w:val="18"/>
          <w:color w:val="auto"/>
        </w:rPr>
      </w:pPr>
    </w:p>
    <w:p>
      <w:pPr>
        <w:ind w:left="980" w:right="400" w:hanging="648"/>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circumstances exist, in addition to or in lieu of those described above, as may be described in the applicable prospectus supplement (Section 305).</w:t>
      </w:r>
    </w:p>
    <w:p>
      <w:pPr>
        <w:spacing w:after="0" w:line="142"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All certificated Debt Securities issued in exchange for a Global Security or any portion thereof will be registered in such names as the Depositary may direct (Section 305).</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w:t>
      </w:r>
    </w:p>
    <w:p>
      <w:pPr>
        <w:spacing w:after="0" w:line="15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Trustee, or the agents of us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Indenture in New York, New York will be designated as sole Paying Agent for payments with respect to Senior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 (Section 1003).</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7"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w:t>
      </w:r>
    </w:p>
    <w:p>
      <w:pPr>
        <w:spacing w:after="0" w:line="148" w:lineRule="exact"/>
        <w:rPr>
          <w:sz w:val="20"/>
          <w:szCs w:val="20"/>
          <w:color w:val="auto"/>
        </w:rPr>
      </w:pPr>
    </w:p>
    <w:p>
      <w:pPr>
        <w:ind w:left="98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successor Person (if any) is a corporation, partnership, trust or other entity organized and validly existing under the laws of any domestic jurisdiction and assumes our obligations on the Debt Securities and under the Indenture;</w:t>
      </w:r>
    </w:p>
    <w:p>
      <w:pPr>
        <w:spacing w:after="0" w:line="142" w:lineRule="exact"/>
        <w:rPr>
          <w:rFonts w:ascii="Arial" w:cs="Arial" w:eastAsia="Arial" w:hAnsi="Arial"/>
          <w:sz w:val="18"/>
          <w:szCs w:val="18"/>
          <w:color w:val="auto"/>
        </w:rPr>
      </w:pPr>
    </w:p>
    <w:p>
      <w:pPr>
        <w:ind w:left="980" w:right="40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 and</w:t>
      </w:r>
    </w:p>
    <w:p>
      <w:pPr>
        <w:spacing w:after="0" w:line="142" w:lineRule="exact"/>
        <w:rPr>
          <w:rFonts w:ascii="Arial" w:cs="Arial" w:eastAsia="Arial" w:hAnsi="Arial"/>
          <w:sz w:val="18"/>
          <w:szCs w:val="18"/>
          <w:color w:val="auto"/>
        </w:rPr>
      </w:pPr>
    </w:p>
    <w:p>
      <w:pPr>
        <w:ind w:left="980" w:right="82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 (Section 801).</w:t>
      </w:r>
    </w:p>
    <w:p>
      <w:pPr>
        <w:spacing w:after="0" w:line="14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successor Person (if not us) will be substituted for us under the Indenture with the same effect as if it had been an original party to the Indenture, and, except in the case of a lease, we will be relieved from any further obligations under the Indenture and the Debt Securities (Section 802).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9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Indenture with respect to Debt Securities of any series:</w:t>
      </w:r>
    </w:p>
    <w:p>
      <w:pPr>
        <w:spacing w:after="0" w:line="14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 in respect of any Debt Security of that series;</w:t>
      </w:r>
    </w:p>
    <w:p>
      <w:pPr>
        <w:spacing w:after="0" w:line="171" w:lineRule="exact"/>
        <w:rPr>
          <w:rFonts w:ascii="Arial" w:cs="Arial" w:eastAsia="Arial" w:hAnsi="Arial"/>
          <w:sz w:val="18"/>
          <w:szCs w:val="18"/>
          <w:color w:val="auto"/>
        </w:rPr>
      </w:pPr>
    </w:p>
    <w:p>
      <w:pPr>
        <w:ind w:left="980" w:right="6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“Description of Debt Securities-Consolidation, Merger and Sale of Assets”;</w:t>
      </w:r>
    </w:p>
    <w:p>
      <w:pPr>
        <w:spacing w:after="0" w:line="142" w:lineRule="exact"/>
        <w:rPr>
          <w:rFonts w:ascii="Arial" w:cs="Arial" w:eastAsia="Arial" w:hAnsi="Arial"/>
          <w:sz w:val="18"/>
          <w:szCs w:val="18"/>
          <w:color w:val="auto"/>
        </w:rPr>
      </w:pPr>
    </w:p>
    <w:p>
      <w:pPr>
        <w:ind w:left="980" w:hanging="648"/>
        <w:spacing w:after="0" w:line="25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perform any of our other covenants in the Indenture (other than a covenant included in the Indenture solely for the benefit of a series other than that series), continued for 60 days after written notice has been given by the Trustee, or the Holders of at least 25% in principal amount of the Outstanding Debt Securities of that series, as provided in the Indenture;</w:t>
      </w:r>
    </w:p>
    <w:p>
      <w:pPr>
        <w:spacing w:after="0" w:line="147" w:lineRule="exact"/>
        <w:rPr>
          <w:rFonts w:ascii="Arial" w:cs="Arial" w:eastAsia="Arial" w:hAnsi="Arial"/>
          <w:sz w:val="18"/>
          <w:szCs w:val="18"/>
          <w:color w:val="auto"/>
        </w:rPr>
      </w:pPr>
    </w:p>
    <w:p>
      <w:pPr>
        <w:ind w:left="980" w:right="6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Debt of ours or of any Significant Subsidiary, is not paid within any applicable grace period after final maturity or is accelerated by its holders because of a default and the total amount of such Debt unpaid or accelerated exceeds $20 million;</w:t>
      </w:r>
    </w:p>
    <w:p>
      <w:pPr>
        <w:spacing w:after="0" w:line="142" w:lineRule="exact"/>
        <w:rPr>
          <w:rFonts w:ascii="Arial" w:cs="Arial" w:eastAsia="Arial" w:hAnsi="Arial"/>
          <w:sz w:val="18"/>
          <w:szCs w:val="18"/>
          <w:color w:val="auto"/>
        </w:rPr>
      </w:pPr>
    </w:p>
    <w:p>
      <w:pPr>
        <w:ind w:left="980" w:hanging="648"/>
        <w:spacing w:after="0" w:line="25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judgment or decree for the payment of money in excess of $20 million is entered against us or against any Significant Subsidiary, remains outstanding for a period of 60 consecutive days following entry of such judgment and is not discharged, waived or stayed; and</w:t>
      </w:r>
    </w:p>
    <w:p>
      <w:pPr>
        <w:spacing w:after="0" w:line="14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17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an Event of Default (other than an Event of Default with respect to EZCORP described in clause (8) above) with respect to the Debt Securities of any series at the time Outstanding occurs and is continuing, either the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Debt Security, such portion of the principal amount of such Debt Security as may be specified in the terms of such Debt Security) to be due and payable immediately, together with any accrued and unpaid interest thereon. If an Event of Default with respect to EZCORP described in clause (8)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consequences if all Events of Default, other than the non-payment of accelerated principal (or other specified amount), have been cured or waived as provided in the Indenture (Section 502). For information as to waiver of defaults, see “Description of Debt Securities-Modification and Waiver” below.</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has occurred and is continuing, the Trustee will be under no obligation to exercise any of its rights or powers under the Indenture at the request or direction of any of the Holders, unless such Holders have offered to such Trustee reasonable security or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Indenture, or for the appointment of a receiver or a trustee, or for any other remedy thereunder, unless:</w:t>
      </w:r>
    </w:p>
    <w:p>
      <w:pPr>
        <w:spacing w:after="0" w:line="142" w:lineRule="exact"/>
        <w:rPr>
          <w:sz w:val="20"/>
          <w:szCs w:val="20"/>
          <w:color w:val="auto"/>
        </w:rPr>
      </w:pPr>
    </w:p>
    <w:p>
      <w:pPr>
        <w:ind w:left="980" w:right="120" w:hanging="648"/>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Indenture written notice of a continuing Event of Default with respect to the Debt Securities of that series;</w:t>
      </w:r>
    </w:p>
    <w:p>
      <w:pPr>
        <w:spacing w:after="0" w:line="142"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142" w:lineRule="exact"/>
        <w:rPr>
          <w:rFonts w:ascii="Arial" w:cs="Arial" w:eastAsia="Arial" w:hAnsi="Arial"/>
          <w:sz w:val="18"/>
          <w:szCs w:val="18"/>
          <w:color w:val="auto"/>
        </w:rPr>
      </w:pPr>
    </w:p>
    <w:p>
      <w:pPr>
        <w:jc w:val="both"/>
        <w:ind w:left="980" w:right="120" w:hanging="648"/>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14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14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will be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modify or amend the Indenture without the consent of any Holders of the Debt Securities in certain circumstances, including:</w:t>
      </w:r>
    </w:p>
    <w:p>
      <w:pPr>
        <w:spacing w:after="0" w:line="171" w:lineRule="exact"/>
        <w:rPr>
          <w:sz w:val="20"/>
          <w:szCs w:val="20"/>
          <w:color w:val="auto"/>
        </w:rPr>
      </w:pPr>
    </w:p>
    <w:p>
      <w:pPr>
        <w:ind w:left="980" w:right="220" w:hanging="648"/>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or and to provide for its assumption of our obligations to Holders of Debt Securities;</w:t>
      </w:r>
    </w:p>
    <w:p>
      <w:pPr>
        <w:spacing w:after="0" w:line="142" w:lineRule="exact"/>
        <w:rPr>
          <w:rFonts w:ascii="Arial" w:cs="Arial" w:eastAsia="Arial" w:hAnsi="Arial"/>
          <w:sz w:val="18"/>
          <w:szCs w:val="18"/>
          <w:color w:val="auto"/>
        </w:rPr>
      </w:pPr>
    </w:p>
    <w:p>
      <w:pPr>
        <w:ind w:left="980" w:right="100" w:hanging="648"/>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changes that would add any additional covenants of us for the benefit of the Holders of Debt Securities or that do not adversely affect the rights under the Indenture of the Holders of Debt Securities in any material respect;</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 or</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modifications and amendments of the Indenture may be made by us and the Trustee only with the consent of the Holders of a majority in principal amount of the Outstanding Debt Securities of each series affected by such</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amendment; provided, however, that no such modification or amendment may, without the consent of the Holder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Security affected thereby:</w:t>
      </w:r>
    </w:p>
    <w:p>
      <w:pPr>
        <w:spacing w:after="0" w:line="171"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71" w:lineRule="exact"/>
        <w:rPr>
          <w:rFonts w:ascii="Arial" w:cs="Arial" w:eastAsia="Arial" w:hAnsi="Arial"/>
          <w:sz w:val="18"/>
          <w:szCs w:val="18"/>
          <w:color w:val="auto"/>
        </w:rPr>
      </w:pPr>
    </w:p>
    <w:p>
      <w:pPr>
        <w:ind w:left="980" w:right="4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or any other Debt Security payable upon acceleration of the Maturity thereof;</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71" w:lineRule="exact"/>
        <w:rPr>
          <w:rFonts w:ascii="Arial" w:cs="Arial" w:eastAsia="Arial" w:hAnsi="Arial"/>
          <w:sz w:val="18"/>
          <w:szCs w:val="18"/>
          <w:color w:val="auto"/>
        </w:rPr>
      </w:pPr>
    </w:p>
    <w:p>
      <w:pPr>
        <w:ind w:left="980" w:right="64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any conversion right with respect to any Debt Security;</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any conversion provisions in a manner adverse to the Holders of the applicable Debt Securities;</w:t>
      </w:r>
    </w:p>
    <w:p>
      <w:pPr>
        <w:spacing w:after="0" w:line="171" w:lineRule="exact"/>
        <w:rPr>
          <w:rFonts w:ascii="Arial" w:cs="Arial" w:eastAsia="Arial" w:hAnsi="Arial"/>
          <w:sz w:val="18"/>
          <w:szCs w:val="18"/>
          <w:color w:val="auto"/>
        </w:rPr>
      </w:pPr>
    </w:p>
    <w:p>
      <w:pPr>
        <w:ind w:left="980" w:right="2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142" w:lineRule="exact"/>
        <w:rPr>
          <w:rFonts w:ascii="Arial" w:cs="Arial" w:eastAsia="Arial" w:hAnsi="Arial"/>
          <w:sz w:val="18"/>
          <w:szCs w:val="18"/>
          <w:color w:val="auto"/>
        </w:rPr>
      </w:pPr>
    </w:p>
    <w:p>
      <w:pPr>
        <w:ind w:left="980" w:right="16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71"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making of an offer to purchase Debt Securities from any Holder that has been made pursuant to a covenant in the Indenture, modify such covenant in a manner adverse to such Holder (Section 902).</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Holders of a majority in principal amount of the Outstanding Debt Securities of any series may waive compliance by us with certain restrictive provisions of the Indenture (Section 1009). The Holders of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Indenture provides that in determining whether the Holders of the requisite principal amount of the Outstanding Debt Securities have given or taken any direction, notice, consent, waiver or other action under the Indenture as of any date:</w:t>
      </w:r>
    </w:p>
    <w:p>
      <w:pPr>
        <w:spacing w:after="0" w:line="142" w:lineRule="exact"/>
        <w:rPr>
          <w:sz w:val="20"/>
          <w:szCs w:val="20"/>
          <w:color w:val="auto"/>
        </w:rPr>
      </w:pPr>
    </w:p>
    <w:p>
      <w:pPr>
        <w:ind w:left="980" w:right="58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142" w:lineRule="exact"/>
        <w:rPr>
          <w:rFonts w:ascii="Arial" w:cs="Arial" w:eastAsia="Arial" w:hAnsi="Arial"/>
          <w:sz w:val="18"/>
          <w:szCs w:val="18"/>
          <w:color w:val="auto"/>
        </w:rPr>
      </w:pPr>
    </w:p>
    <w:p>
      <w:pPr>
        <w:ind w:left="980" w:right="80" w:hanging="648"/>
        <w:spacing w:after="0" w:line="25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147" w:lineRule="exact"/>
        <w:rPr>
          <w:rFonts w:ascii="Arial" w:cs="Arial" w:eastAsia="Arial" w:hAnsi="Arial"/>
          <w:sz w:val="18"/>
          <w:szCs w:val="18"/>
          <w:color w:val="auto"/>
        </w:rPr>
      </w:pPr>
    </w:p>
    <w:p>
      <w:pPr>
        <w:ind w:left="980" w:hanging="648"/>
        <w:spacing w:after="0" w:line="25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150"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or any of our Affiliates, will not be deemed to be Outstanding (Section 101).</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Indenture, in the manner and subject to the limitations provided in the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7"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9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Indenture will be discharged and will cease to be of further effect as to all outstanding Debt Securities of any series issued thereunder, when:</w:t>
      </w:r>
    </w:p>
    <w:p>
      <w:pPr>
        <w:spacing w:after="0" w:line="14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jc w:val="both"/>
        <w:ind w:left="1460" w:right="140" w:hanging="480"/>
        <w:spacing w:after="0" w:line="256"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7" w:lineRule="exact"/>
        <w:rPr>
          <w:rFonts w:ascii="Arial" w:cs="Arial" w:eastAsia="Arial" w:hAnsi="Arial"/>
          <w:sz w:val="18"/>
          <w:szCs w:val="18"/>
          <w:color w:val="auto"/>
        </w:rPr>
      </w:pPr>
    </w:p>
    <w:p>
      <w:pPr>
        <w:ind w:left="1460" w:right="40" w:hanging="480"/>
        <w:spacing w:after="0" w:line="252"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54" w:lineRule="exact"/>
        <w:rPr>
          <w:rFonts w:ascii="Arial" w:cs="Arial" w:eastAsia="Arial" w:hAnsi="Arial"/>
          <w:sz w:val="18"/>
          <w:szCs w:val="18"/>
          <w:color w:val="auto"/>
        </w:rPr>
      </w:pPr>
    </w:p>
    <w:p>
      <w:pPr>
        <w:ind w:left="980" w:right="380" w:hanging="648"/>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with respect to the Debt Securities of that series; and</w:t>
      </w:r>
    </w:p>
    <w:p>
      <w:pPr>
        <w:spacing w:after="0" w:line="142" w:lineRule="exact"/>
        <w:rPr>
          <w:rFonts w:ascii="Arial" w:cs="Arial" w:eastAsia="Arial" w:hAnsi="Arial"/>
          <w:sz w:val="18"/>
          <w:szCs w:val="18"/>
          <w:color w:val="auto"/>
        </w:rPr>
      </w:pPr>
    </w:p>
    <w:p>
      <w:pPr>
        <w:ind w:left="980" w:right="540" w:hanging="648"/>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has been satisfied (Article Four).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Legal Defeasance — </w:t>
      </w:r>
      <w:r>
        <w:rPr>
          <w:rFonts w:ascii="Arial" w:cs="Arial" w:eastAsia="Arial" w:hAnsi="Arial"/>
          <w:sz w:val="18"/>
          <w:szCs w:val="18"/>
          <w:color w:val="auto"/>
        </w:rPr>
        <w:t>The Indenture provides that, upon our exercise of our option (if any) to have Section 1502 applied to any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be discharged from all our obligations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accounts)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149" w:lineRule="exact"/>
        <w:rPr>
          <w:sz w:val="20"/>
          <w:szCs w:val="20"/>
          <w:color w:val="auto"/>
        </w:rPr>
      </w:pPr>
    </w:p>
    <w:p>
      <w:pPr>
        <w:ind w:left="980" w:hanging="648"/>
        <w:spacing w:after="0" w:line="25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line="25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(8) under “-Events of Default,” at any time until 121 days after such deposit;</w:t>
      </w:r>
    </w:p>
    <w:p>
      <w:pPr>
        <w:spacing w:after="0" w:line="147" w:lineRule="exact"/>
        <w:rPr>
          <w:rFonts w:ascii="Arial" w:cs="Arial" w:eastAsia="Arial" w:hAnsi="Arial"/>
          <w:sz w:val="18"/>
          <w:szCs w:val="18"/>
          <w:color w:val="auto"/>
        </w:rPr>
      </w:pPr>
    </w:p>
    <w:p>
      <w:pPr>
        <w:ind w:left="980" w:right="660" w:hanging="648"/>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(other than the Indenture) to which we are a party or by which we are bound; and</w:t>
      </w:r>
    </w:p>
    <w:p>
      <w:pPr>
        <w:spacing w:after="0" w:line="142"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Covenant Defeasance — </w:t>
      </w:r>
      <w:r>
        <w:rPr>
          <w:rFonts w:ascii="Arial" w:cs="Arial" w:eastAsia="Arial" w:hAnsi="Arial"/>
          <w:sz w:val="18"/>
          <w:szCs w:val="18"/>
          <w:color w:val="auto"/>
        </w:rPr>
        <w:t>The Indenture provides that, upon our exercise of our option (if any) to have Section 1503 applied to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we may omit to comply with certain restrictive covenants (but not to conversion, if applicable), including those that may be described in the applicable prospectus supplement, and the occurrence of certain Events of Default, which are described above in clause (5) (with respect to such restrictive covenants), clauses (6) and (7) under “-Events of Default” and any other that may be described in the applicable prospectus supplement, will not be deemed to either be or result in an Event of Default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in the preceding paragraph are satisfied. If we exercise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may appear in the Security Register (Sections 101 and 106).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the Trustee, and any agent of us or the Trustee may treat the Person in whose name a Debt Security is registered as the absolute owner of the Debt Security (whether or not such Debt Security may be overdue) for the purpose of making payment and for all other purposes (Section 308).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 of the State of New York.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prospectus supplement relating to a particular series of debt securities will identify the Trustee with respect to such series. We may maintain banking and other commercial relationships with the Trustee and its affiliates in the ordinary course of business, and the Trustee may own debt securities issued under the Indenture.</w:t>
      </w:r>
    </w:p>
    <w:p>
      <w:pPr>
        <w:spacing w:after="0" w:line="1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Resignation or Removal of Trustee </w:t>
      </w:r>
      <w:r>
        <w:rPr>
          <w:rFonts w:ascii="Arial" w:cs="Arial" w:eastAsia="Arial" w:hAnsi="Arial"/>
          <w:sz w:val="18"/>
          <w:szCs w:val="18"/>
          <w:color w:val="auto"/>
        </w:rPr>
        <w:t>— If the Trustee under the Indenture has or acquires a conflicting interest within the meaning of the Trust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Act of 1939, the Trustee must either eliminate its conflicting interest or resign, to the extent and in the manner provided by, and subject to the provisions of, the Trust Indenture Act and the Indenture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(Section 608). Any resignation will require the appointment of a successor Trustee under the Indenture in accordance with the terms and conditions of the Indenture (Sections 610 and 611).</w:t>
      </w:r>
    </w:p>
    <w:p>
      <w:pPr>
        <w:spacing w:after="0" w:line="14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 Trustee may resign or be removed by us with respect to one or more series of Debt Securities and a successor Trustee may be appointed to act with respect to any such series. The holders of a majority in principal amount of the Outstanding Debt Securities of any series may remove the Trustee with respect to the Debt Securities of such series (Section 610).</w:t>
      </w:r>
    </w:p>
    <w:p>
      <w:pPr>
        <w:spacing w:after="0" w:line="13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Limitations on Trustee if It Is Our Creditor -— </w:t>
      </w:r>
      <w:r>
        <w:rPr>
          <w:rFonts w:ascii="Arial" w:cs="Arial" w:eastAsia="Arial" w:hAnsi="Arial"/>
          <w:sz w:val="18"/>
          <w:szCs w:val="18"/>
          <w:color w:val="auto"/>
        </w:rPr>
        <w:t>The Indenture contains certain limitations on the right of the Trustee, in the event that it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creditor, to obtain payment of claims in certain cases, or to realize on certain property received in respect of any such claim as security or otherwise (Section 613).</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Certificates and Opinions to Be Furnished to Trustee -— </w:t>
      </w:r>
      <w:r>
        <w:rPr>
          <w:rFonts w:ascii="Arial" w:cs="Arial" w:eastAsia="Arial" w:hAnsi="Arial"/>
          <w:sz w:val="18"/>
          <w:szCs w:val="18"/>
          <w:color w:val="auto"/>
        </w:rPr>
        <w:t>The Indenture provides that, in addition to other certificates or opinions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required by other provisions of the Indenture, every application by us for action by the Trustee must be accompanied by an Officers’ Certificate and an Opinion of Counsel stating that, in the opinion of the signers, all conditions precedent to such action have been complied with by us (Section 102).</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Delaware General Corporation Act.</w:t>
      </w:r>
    </w:p>
    <w:p>
      <w:pPr>
        <w:spacing w:after="0" w:line="12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Authorized and Outstanding Capital Stock — </w:t>
      </w:r>
      <w:r>
        <w:rPr>
          <w:rFonts w:ascii="Arial" w:cs="Arial" w:eastAsia="Arial" w:hAnsi="Arial"/>
          <w:sz w:val="18"/>
          <w:szCs w:val="18"/>
          <w:color w:val="auto"/>
        </w:rPr>
        <w:t>We are authorized to issue 100,000,000 shares of Class A Non-Voting Common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$0.01 per share, and 3,000,000 shares of Class B Voting Common Stock, par value $0.01 per share. As of April 30, 2017, there were 51,321,915 shares of Class A Non-Voting Common Stock and 2,970,171 shares of Class B Voting Common Stock issued and outstanding.</w:t>
      </w:r>
    </w:p>
    <w:p>
      <w:pPr>
        <w:spacing w:after="0" w:line="14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Class A Non-Voting Common Stock will be entitled to vote on all matters submitted to a vote of the Company’s stockholders and will be entitled to one vote per share of Class A Non-Voting Common Stock held.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do not anticipate paying any cash dividends in the immediate future. Any future determination to pay cash dividends will be at the discretion of our Board of Directors.</w:t>
      </w:r>
    </w:p>
    <w:p>
      <w:pPr>
        <w:spacing w:after="0" w:line="124"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acts or omission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issue warrants for the purchase of our Class A Non-Voting Common Stock. 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Non-Voting Common Stock Warrants</w:t>
      </w:r>
    </w:p>
    <w:p>
      <w:pPr>
        <w:spacing w:after="0" w:line="19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prospectus supplement relating to a particular issue of warrants to purchase our Class A Non-Voting Common Stock will describe the terms of the Class A Non-Voting Common Stock warrants, including the following:</w:t>
      </w:r>
    </w:p>
    <w:p>
      <w:pPr>
        <w:spacing w:after="0" w:line="14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the Class A Non-Voting Common Stock that maybe purchased upon exercise of the warrants;</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of Class A Non-Voting Common Stock that may be purchased upon exercise of a warrant and the price at which the shares may be purchased upon exercise;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71"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shares of Class A Non-Voting Common Stock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Until a warrant holder exercises such holder’s warrants to purchase Class A Non-Voting Common Stock, the holder will not have any rights as a holder of Class A Non-Voting Common Stock by virtue of the holder’s ownership of warrants.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STOCK PURCHASE CONTRACTS AND STOCK PURCHASE UNITS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may issue stock purchase contracts, including contracts obligating holders to purchase from us and contracts obligating us to sell to the holders, a specified number of shares of Class A Non-Voting Common Stock or other securities at a future date or dates,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warrants or other securities or debt obligations of third parties, including U.S. treasury securities, securing the holders’ obligations to purchase the securities under the stock purchase contracts, which we refer to in this prospectus as “stock purchase units.” The stock purchase contracts may require holders to secure their obligations under the stock purchase contracts in a specified manner. The stock purchase contracts also may require us to make periodic payments to the holders of the stock purchase units or vice versa, and those payments may be unsecured or refunded on some basis.</w:t>
      </w:r>
    </w:p>
    <w:p>
      <w:pPr>
        <w:spacing w:after="0" w:line="15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stock purchase contracts, and, if applicable, collateral or depositary arrangements, relating to the stock purchase contracts or stock purchase units, will be filed with the SEC in connection with the offering of stock purchase contracts or stock purchase units. The prospectus supplement relating to a particular issue of stock purchase contracts or stock purchase units will describe the terms of those stock purchase contracts or stock purchase units, including the following:</w:t>
      </w:r>
    </w:p>
    <w:p>
      <w:pPr>
        <w:spacing w:after="0" w:line="15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we think important about the stock purchase contracts or the stock purchase units.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7"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sell or distribute the securities offered by this prospectus in one or more of the following ways:</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 the market offerings” to or through a market maker or into an existing trading market, or a securities exchange or otherwise;</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 transaction not involving market makers or established trading markets, including direct sales or privately negotiated transactions;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sell some or all of the securities included in this prospectus through:</w:t>
      </w:r>
    </w:p>
    <w:p>
      <w:pPr>
        <w:spacing w:after="0" w:line="171" w:lineRule="exact"/>
        <w:rPr>
          <w:sz w:val="20"/>
          <w:szCs w:val="20"/>
          <w:color w:val="auto"/>
        </w:rPr>
      </w:pPr>
    </w:p>
    <w:p>
      <w:pPr>
        <w:ind w:left="660" w:right="4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addition, we may enter into option or other types of transactions that require us to deliver common shares to a broker-dealer, who will then resell or transfer the common shares under this prospectus. We may enter into hedging transactions with respect to our securities. For example, we may:</w:t>
      </w:r>
    </w:p>
    <w:p>
      <w:pPr>
        <w:spacing w:after="0" w:line="1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common shares by 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common shares short and redeliver the shares to close out short positions;</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shares to a broker-dealer, who will then resell or transfer the common shares under this prospectus; or</w:t>
      </w:r>
    </w:p>
    <w:p>
      <w:pPr>
        <w:spacing w:after="0" w:line="142"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Loan or pledge the common shares to a broker-dealer, who may sell the loaned shares or, in the event of default, sell the pledged shares.</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is currently no market for any of the securities included in this prospectus, other than the shares of Class A Non-Voting Common Stock listed on The NASDAQ Global Select Market. If the securities are traded after their initial issuance, they may trade at a discount from their initial offering price, depending on prevailing interest rates, the market for similar securities and other factors. While it is possible that an underwriter could inform us that it intends to make a market in the securities, such underwriter would not be obligated to do so, and any such market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making could be discontinued at any time without notice. Therefore, we cannot assure you as to whether an active trading market will develop for these other securities. We have no current plans for listing any such other securities on any securities exchange; any such listing with respect to any particular of such other securities will be described in the applicable prospectus supplement.</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4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At the time that any particular offering of securities is made, to the extent required by the Securities Act, a prospectus supplement will be distributed setting forth the terms of the offering, including the aggregate number of securities being offered, the purchase price of the securities, the initial offering price of the securities, the names of any underwriters, dealers or agents, any discounts, commissions and other items constituting compensation from us and any discounts, commissions or concessions allowed or reallowed or paid to dealers.</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underwriters are used in the sale, the underwriters will acquire the securities for their own account for resale to the public, either on a firm commitment basis or a best efforts basis. The underwriters may resell the securities from time-to-time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time-to-time any initial public offering price and any discounts or concessions allowed or reallowed or paid to dealers.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also sell the securities through agents designated from time-to-time.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dealers are used in the sale of securities, we will sell the securities to them as principals. The dealers may then resell those securities to the public at varying prices determined by the dealers at the time of resale. We will include in the prospectus supplement the names of the dealers and the terms of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Securities may also be sold directly by us. In this case, no underwriters or agents would be involved.</w:t>
      </w:r>
    </w:p>
    <w:p>
      <w:pPr>
        <w:spacing w:after="0" w:line="17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If a prospectus supplement so indicates, underwriters, brokers or dealers, in compliance with applicable law, may engage in transactions that stabilize, maintain or otherwise affect the market price of the securities at levels above those that might otherwise prevail in the open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will bear costs relating to all of the securities being registered under this registration statement of which this prospectus forms a part.</w:t>
      </w:r>
    </w:p>
    <w:p>
      <w:pPr>
        <w:spacing w:after="0" w:line="17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1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(the “FINRA”), the maximum commission or discount to be received by any FINRA member or independent broker/dealer may not be greater than 8% of the gross proceeds received by us for the sale of any securities being registered pursuant to SEC Rule 415 under the Securities Act.</w:t>
      </w:r>
    </w:p>
    <w:p>
      <w:pPr>
        <w:spacing w:after="0" w:line="14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7"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Except as set forth in the applicable prospectus supplement, Vinson &amp; Elkins L.L.P., Dallas, Texas, will pass upon the validity of the securities offered hereby.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consolidated financial statements as of September 30, 2016 and 2015 and for each of the two years in the period ended September 30, 2016, the adjustments to the 2014 financial statements to retrospectively report the results of Grupo Finmart within discontinued operations and management's assessment of the effectiveness of internal control over financial reporting as of September 30, 2016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consolidated statements of operations and comprehensive income, stockholders' equity, and cash flows of EZCORP, Inc. (the “Company”) for the year ended September 30, 2014 (the “2014 financial statements”) (before the effects of the retrospective adjustments to the 2014 financial statements for the adoption of ASU 2014-08) (not separately presented herein) have been audited by Deloitte &amp; Touche LLP, an independent registered public accounting firm, as stated in their report (which report expresses an unqualified opinion on the 2014 financial statements; includes an explanatory paragraph that the retrospective adjustments to the 2014 financial statements for the adoption of ASU 2014-08 were audited by other auditors; and includes an explanatory paragraph related to the restatement of the 2014 consolidated financial statements), which is incorporated in this Prospectus by reference from the Company's Annual Report on Form 10-K. The retrospective adjustments to the 2014 financial statements have been audited by BDO USA, LLP. The 2014 financial statements incorporated in this Prospectus by reference from the Company's Annual Report on Form 10-K have been so incorporated in reliance upon the reports of Deloitte &amp; Touche LLP and BDO USA, LLP given upon their authority as experts in accounting and auditing.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900"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Other Expenses of Issuance and Distribution</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are the estimated expenses of the issuance and distribution of the securities being registered, other than selling or underwriting discounts and commissions, all of which are payable by EZCORP, Inc. (“EZCORP”).</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Registration fee</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$57,950</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Accountant’s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Printing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Legal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8"/>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20"/>
        </w:trPr>
        <w:tc>
          <w:tcPr>
            <w:tcW w:w="3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3340" w:type="dxa"/>
            <w:vAlign w:val="bottom"/>
            <w:tcBorders>
              <w:bottom w:val="single" w:sz="8" w:color="auto"/>
            </w:tcBorders>
          </w:tcPr>
          <w:p>
            <w:pPr>
              <w:spacing w:after="0"/>
              <w:rPr>
                <w:sz w:val="17"/>
                <w:szCs w:val="17"/>
                <w:color w:val="auto"/>
              </w:rPr>
            </w:pPr>
          </w:p>
        </w:tc>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2" w:lineRule="exact"/>
        <w:rPr>
          <w:sz w:val="20"/>
          <w:szCs w:val="20"/>
          <w:color w:val="auto"/>
        </w:rPr>
      </w:pPr>
    </w:p>
    <w:p>
      <w:pPr>
        <w:ind w:left="500" w:hanging="478"/>
        <w:spacing w:after="0" w:line="262" w:lineRule="auto"/>
        <w:tabs>
          <w:tab w:leader="none" w:pos="500" w:val="left"/>
        </w:tabs>
        <w:numPr>
          <w:ilvl w:val="0"/>
          <w:numId w:val="25"/>
        </w:numPr>
        <w:rPr>
          <w:rFonts w:ascii="Arial" w:cs="Arial" w:eastAsia="Arial" w:hAnsi="Arial"/>
          <w:sz w:val="25"/>
          <w:szCs w:val="25"/>
          <w:color w:val="auto"/>
        </w:rPr>
      </w:pPr>
      <w:r>
        <w:rPr>
          <w:rFonts w:ascii="Arial" w:cs="Arial" w:eastAsia="Arial" w:hAnsi="Arial"/>
          <w:sz w:val="18"/>
          <w:szCs w:val="18"/>
          <w:color w:val="auto"/>
        </w:rPr>
        <w:t>These fees are calculated based on the number of issuances or amount of securities offered, and accordingly, these fees cannot be estimated at this time.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Indemnification of Directors and Officers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ectPr>
          <w:pgSz w:w="11900" w:h="16838" w:orient="portrait"/>
          <w:cols w:equalWidth="0" w:num="1">
            <w:col w:w="11400"/>
          </w:cols>
          <w:pgMar w:left="240" w:top="287" w:right="259" w:bottom="1440" w:gutter="0" w:footer="0" w:header="0"/>
        </w:sectPr>
      </w:pP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40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7"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3"/>
          <w:szCs w:val="13"/>
          <w:color w:val="auto"/>
        </w:rPr>
        <w:t>(a)</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3"/>
          <w:szCs w:val="13"/>
          <w:color w:val="auto"/>
        </w:rPr>
        <w:t>(b)</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3"/>
          <w:szCs w:val="13"/>
          <w:color w:val="auto"/>
        </w:rPr>
        <w:t>(b)</w:t>
      </w:r>
    </w:p>
    <w:p>
      <w:pPr>
        <w:spacing w:after="0" w:line="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9"/>
          <w:szCs w:val="19"/>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588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between EZCORP, Inc. and Trustee to be named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Opinion of Vinson &amp; Elkins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Vinson &amp; Elkins L.L.P. (included in Exhibit 5.1)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 Indenture</w:t>
      </w:r>
    </w:p>
    <w:p>
      <w:pPr>
        <w:spacing w:after="0" w:line="200" w:lineRule="exact"/>
        <w:rPr>
          <w:sz w:val="20"/>
          <w:szCs w:val="20"/>
          <w:color w:val="auto"/>
        </w:rPr>
      </w:pPr>
    </w:p>
    <w:p>
      <w:pPr>
        <w:sectPr>
          <w:pgSz w:w="11900" w:h="16838" w:orient="portrait"/>
          <w:cols w:equalWidth="0" w:num="2">
            <w:col w:w="1080" w:space="600"/>
            <w:col w:w="9720"/>
          </w:cols>
          <w:pgMar w:left="240" w:top="287" w:right="259" w:bottom="1440" w:gutter="0" w:footer="0" w:header="0"/>
          <w:type w:val="continuous"/>
        </w:sectPr>
      </w:pPr>
    </w:p>
    <w:p>
      <w:pPr>
        <w:spacing w:after="0" w:line="26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 Undertakings</w:t>
      </w:r>
    </w:p>
    <w:p>
      <w:pPr>
        <w:spacing w:after="0" w:line="193"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hanging="655"/>
        <w:spacing w:after="0" w:line="252" w:lineRule="auto"/>
        <w:tabs>
          <w:tab w:leader="none" w:pos="1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87"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right="200" w:hanging="655"/>
        <w:spacing w:after="0" w:line="262"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2" w:lineRule="exact"/>
        <w:rPr>
          <w:sz w:val="20"/>
          <w:szCs w:val="20"/>
          <w:color w:val="auto"/>
        </w:rPr>
      </w:pPr>
    </w:p>
    <w:p>
      <w:pPr>
        <w:ind w:left="1300" w:right="40"/>
        <w:spacing w:after="0" w:line="254" w:lineRule="auto"/>
        <w:rPr>
          <w:sz w:val="20"/>
          <w:szCs w:val="20"/>
          <w:color w:val="auto"/>
        </w:rPr>
      </w:pPr>
      <w:r>
        <w:rPr>
          <w:rFonts w:ascii="Arial" w:cs="Arial" w:eastAsia="Arial" w:hAnsi="Arial"/>
          <w:sz w:val="18"/>
          <w:szCs w:val="18"/>
          <w:color w:val="auto"/>
        </w:rPr>
        <w:t>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0" w:lineRule="exact"/>
        <w:rPr>
          <w:sz w:val="20"/>
          <w:szCs w:val="20"/>
          <w:color w:val="auto"/>
        </w:rPr>
      </w:pPr>
    </w:p>
    <w:p>
      <w:pPr>
        <w:ind w:left="1300" w:right="160" w:hanging="644"/>
        <w:spacing w:after="0" w:line="25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left="1300" w:right="480" w:hanging="644"/>
        <w:spacing w:after="0" w:line="26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71" w:lineRule="exact"/>
        <w:rPr>
          <w:rFonts w:ascii="Arial" w:cs="Arial" w:eastAsia="Arial" w:hAnsi="Arial"/>
          <w:sz w:val="18"/>
          <w:szCs w:val="18"/>
          <w:color w:val="auto"/>
        </w:rPr>
      </w:pPr>
    </w:p>
    <w:p>
      <w:pPr>
        <w:ind w:left="1960" w:right="380" w:hanging="655"/>
        <w:spacing w:after="0" w:line="291"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0" w:lineRule="exact"/>
        <w:rPr>
          <w:rFonts w:ascii="Arial" w:cs="Arial" w:eastAsia="Arial" w:hAnsi="Arial"/>
          <w:sz w:val="17"/>
          <w:szCs w:val="17"/>
          <w:color w:val="auto"/>
        </w:rPr>
      </w:pPr>
    </w:p>
    <w:p>
      <w:pPr>
        <w:ind w:left="1960" w:hanging="605"/>
        <w:spacing w:after="0" w:line="251"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6" w:lineRule="exact"/>
        <w:rPr>
          <w:rFonts w:ascii="Arial" w:cs="Arial" w:eastAsia="Arial" w:hAnsi="Arial"/>
          <w:sz w:val="18"/>
          <w:szCs w:val="18"/>
          <w:color w:val="auto"/>
        </w:rPr>
      </w:pPr>
    </w:p>
    <w:p>
      <w:pPr>
        <w:ind w:left="1300" w:right="300" w:hanging="644"/>
        <w:spacing w:after="0" w:line="25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5" w:lineRule="exact"/>
        <w:rPr>
          <w:sz w:val="20"/>
          <w:szCs w:val="20"/>
          <w:color w:val="auto"/>
        </w:rPr>
      </w:pPr>
    </w:p>
    <w:p>
      <w:pPr>
        <w:ind w:left="1960" w:right="380" w:hanging="655"/>
        <w:spacing w:after="0" w:line="26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8"/>
          <w:szCs w:val="18"/>
          <w:color w:val="auto"/>
        </w:rPr>
      </w:pPr>
    </w:p>
    <w:p>
      <w:pPr>
        <w:ind w:left="1960" w:right="180" w:hanging="655"/>
        <w:spacing w:after="0" w:line="26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2" w:lineRule="exact"/>
        <w:rPr>
          <w:rFonts w:ascii="Arial" w:cs="Arial" w:eastAsia="Arial" w:hAnsi="Arial"/>
          <w:sz w:val="18"/>
          <w:szCs w:val="18"/>
          <w:color w:val="auto"/>
        </w:rPr>
      </w:pPr>
    </w:p>
    <w:p>
      <w:pPr>
        <w:ind w:left="1960" w:right="560" w:hanging="655"/>
        <w:spacing w:after="0" w:line="26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287"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hanging="655"/>
        <w:spacing w:after="0"/>
        <w:tabs>
          <w:tab w:leader="none" w:pos="19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180" w:hanging="652"/>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8"/>
          <w:szCs w:val="18"/>
          <w:color w:val="auto"/>
        </w:rPr>
      </w:pPr>
    </w:p>
    <w:p>
      <w:pPr>
        <w:ind w:left="660" w:right="60" w:hanging="652"/>
        <w:spacing w:after="0" w:line="25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to the extent that the securities are offered to existing security holders pursuant to warrants or rights and any securities not taken by security 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54" w:lineRule="exact"/>
        <w:rPr>
          <w:rFonts w:ascii="Arial" w:cs="Arial" w:eastAsia="Arial" w:hAnsi="Arial"/>
          <w:sz w:val="18"/>
          <w:szCs w:val="18"/>
          <w:color w:val="auto"/>
        </w:rPr>
      </w:pPr>
    </w:p>
    <w:p>
      <w:pPr>
        <w:ind w:left="660" w:right="20" w:hanging="652"/>
        <w:spacing w:after="0" w:line="25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registrants pursuant to the provisions described under Item 15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registrants is against public policy as expressed in the Securities Act and will be governed by the final adjudication of such issue.</w:t>
      </w:r>
    </w:p>
    <w:p>
      <w:pPr>
        <w:spacing w:after="0" w:line="15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ind w:left="1300" w:right="60" w:hanging="644"/>
        <w:spacing w:after="0" w:line="25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registrants pursuant to Rule 424(b)(1) or (4) or 497(h) under the Securities Act shall be deemed to be part of this registration statement as of the time it was declared effective.</w:t>
      </w:r>
    </w:p>
    <w:p>
      <w:pPr>
        <w:spacing w:after="0" w:line="150"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related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jc w:val="both"/>
        <w:ind w:left="660" w:right="34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28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Rollingwood, State of Texas, on May 11, 2017.</w:t>
      </w:r>
    </w:p>
    <w:p>
      <w:pPr>
        <w:spacing w:after="0" w:line="16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39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23495</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Stuart I. Grimshaw, Chief Executive Officer</w:t>
      </w:r>
    </w:p>
    <w:p>
      <w:pPr>
        <w:spacing w:after="0" w:line="38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14" w:lineRule="exact"/>
        <w:rPr>
          <w:sz w:val="20"/>
          <w:szCs w:val="20"/>
          <w:color w:val="auto"/>
        </w:rPr>
      </w:pPr>
    </w:p>
    <w:p>
      <w:pPr>
        <w:ind w:left="1540"/>
        <w:spacing w:after="0"/>
        <w:tabs>
          <w:tab w:leader="none" w:pos="5660" w:val="left"/>
          <w:tab w:leader="none" w:pos="94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80"/>
          </w:cols>
          <w:pgMar w:left="240" w:top="2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Daniel M. Chism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David McGuire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Lachlan P. Given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Santiago Creel Miranda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Santiago Creel Miranda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Peter Cumins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20"/>
                <w:szCs w:val="20"/>
                <w:color w:val="auto"/>
              </w:rPr>
            </w:pPr>
            <w:r>
              <w:rPr>
                <w:rFonts w:ascii="Arial" w:cs="Arial" w:eastAsia="Arial" w:hAnsi="Arial"/>
                <w:sz w:val="16"/>
                <w:szCs w:val="16"/>
                <w:color w:val="auto"/>
              </w:rPr>
              <w:t>Chief Executive Officer and Director</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2240" w:type="dxa"/>
            <w:vAlign w:val="bottom"/>
          </w:tcPr>
          <w:p>
            <w:pPr>
              <w:spacing w:after="0"/>
              <w:rPr>
                <w:sz w:val="23"/>
                <w:szCs w:val="23"/>
                <w:color w:val="auto"/>
              </w:rPr>
            </w:pPr>
          </w:p>
        </w:tc>
      </w:tr>
      <w:tr>
        <w:trPr>
          <w:trHeight w:val="918"/>
        </w:trPr>
        <w:tc>
          <w:tcPr>
            <w:tcW w:w="38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(principal financial officer)</w:t>
            </w:r>
          </w:p>
        </w:tc>
        <w:tc>
          <w:tcPr>
            <w:tcW w:w="2240" w:type="dxa"/>
            <w:vAlign w:val="bottom"/>
          </w:tcPr>
          <w:p>
            <w:pPr>
              <w:spacing w:after="0"/>
              <w:rPr>
                <w:sz w:val="23"/>
                <w:szCs w:val="23"/>
                <w:color w:val="auto"/>
              </w:rPr>
            </w:pPr>
          </w:p>
        </w:tc>
      </w:tr>
      <w:tr>
        <w:trPr>
          <w:trHeight w:val="918"/>
        </w:trPr>
        <w:tc>
          <w:tcPr>
            <w:tcW w:w="3840" w:type="dxa"/>
            <w:vAlign w:val="bottom"/>
          </w:tcPr>
          <w:p>
            <w:pPr>
              <w:spacing w:after="0"/>
              <w:rPr>
                <w:sz w:val="20"/>
                <w:szCs w:val="20"/>
                <w:color w:val="auto"/>
              </w:rPr>
            </w:pPr>
            <w:r>
              <w:rPr>
                <w:rFonts w:ascii="Arial" w:cs="Arial" w:eastAsia="Arial" w:hAnsi="Arial"/>
                <w:sz w:val="16"/>
                <w:szCs w:val="16"/>
                <w:color w:val="auto"/>
              </w:rPr>
              <w:t>Deputy Chief Financial Officer and</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Chief Accounting Officer</w:t>
            </w:r>
          </w:p>
        </w:tc>
        <w:tc>
          <w:tcPr>
            <w:tcW w:w="2240" w:type="dxa"/>
            <w:vAlign w:val="bottom"/>
          </w:tcPr>
          <w:p>
            <w:pPr>
              <w:spacing w:after="0"/>
              <w:rPr>
                <w:sz w:val="23"/>
                <w:szCs w:val="23"/>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(principal accounting officer)</w:t>
            </w:r>
          </w:p>
        </w:tc>
        <w:tc>
          <w:tcPr>
            <w:tcW w:w="2240" w:type="dxa"/>
            <w:vAlign w:val="bottom"/>
          </w:tcPr>
          <w:p>
            <w:pPr>
              <w:spacing w:after="0"/>
              <w:rPr>
                <w:sz w:val="23"/>
                <w:szCs w:val="23"/>
                <w:color w:val="auto"/>
              </w:rPr>
            </w:pPr>
          </w:p>
        </w:tc>
      </w:tr>
      <w:tr>
        <w:trPr>
          <w:trHeight w:val="918"/>
        </w:trPr>
        <w:tc>
          <w:tcPr>
            <w:tcW w:w="3840" w:type="dxa"/>
            <w:vAlign w:val="bottom"/>
          </w:tcPr>
          <w:p>
            <w:pPr>
              <w:spacing w:after="0"/>
              <w:rPr>
                <w:sz w:val="20"/>
                <w:szCs w:val="20"/>
                <w:color w:val="auto"/>
              </w:rPr>
            </w:pPr>
            <w:r>
              <w:rPr>
                <w:rFonts w:ascii="Arial" w:cs="Arial" w:eastAsia="Arial" w:hAnsi="Arial"/>
                <w:sz w:val="16"/>
                <w:szCs w:val="16"/>
                <w:color w:val="auto"/>
              </w:rPr>
              <w:t>Executive Chairman of the Board</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r>
        <w:trPr>
          <w:trHeight w:val="1188"/>
        </w:trPr>
        <w:tc>
          <w:tcPr>
            <w:tcW w:w="3840" w:type="dxa"/>
            <w:vAlign w:val="bottom"/>
          </w:tcPr>
          <w:p>
            <w:pPr>
              <w:spacing w:after="0"/>
              <w:rPr>
                <w:sz w:val="20"/>
                <w:szCs w:val="20"/>
                <w:color w:val="auto"/>
              </w:rPr>
            </w:pPr>
            <w:r>
              <w:rPr>
                <w:rFonts w:ascii="Arial" w:cs="Arial" w:eastAsia="Arial" w:hAnsi="Arial"/>
                <w:sz w:val="16"/>
                <w:szCs w:val="16"/>
                <w:color w:val="auto"/>
              </w:rPr>
              <w:t>Director</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r>
        <w:trPr>
          <w:trHeight w:val="1188"/>
        </w:trPr>
        <w:tc>
          <w:tcPr>
            <w:tcW w:w="3840" w:type="dxa"/>
            <w:vAlign w:val="bottom"/>
          </w:tcPr>
          <w:p>
            <w:pPr>
              <w:spacing w:after="0"/>
              <w:rPr>
                <w:sz w:val="20"/>
                <w:szCs w:val="20"/>
                <w:color w:val="auto"/>
              </w:rPr>
            </w:pPr>
            <w:r>
              <w:rPr>
                <w:rFonts w:ascii="Arial" w:cs="Arial" w:eastAsia="Arial" w:hAnsi="Arial"/>
                <w:sz w:val="16"/>
                <w:szCs w:val="16"/>
                <w:color w:val="auto"/>
              </w:rPr>
              <w:t>Director</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r>
        <w:trPr>
          <w:trHeight w:val="1188"/>
        </w:trPr>
        <w:tc>
          <w:tcPr>
            <w:tcW w:w="3840" w:type="dxa"/>
            <w:vAlign w:val="bottom"/>
          </w:tcPr>
          <w:p>
            <w:pPr>
              <w:spacing w:after="0"/>
              <w:rPr>
                <w:sz w:val="20"/>
                <w:szCs w:val="20"/>
                <w:color w:val="auto"/>
              </w:rPr>
            </w:pPr>
            <w:r>
              <w:rPr>
                <w:rFonts w:ascii="Arial" w:cs="Arial" w:eastAsia="Arial" w:hAnsi="Arial"/>
                <w:sz w:val="16"/>
                <w:szCs w:val="16"/>
                <w:color w:val="auto"/>
              </w:rPr>
              <w:t>Director</w:t>
            </w:r>
          </w:p>
        </w:tc>
        <w:tc>
          <w:tcPr>
            <w:tcW w:w="2240" w:type="dxa"/>
            <w:vAlign w:val="bottom"/>
          </w:tcPr>
          <w:p>
            <w:pPr>
              <w:ind w:left="1260"/>
              <w:spacing w:after="0"/>
              <w:rPr>
                <w:sz w:val="20"/>
                <w:szCs w:val="20"/>
                <w:color w:val="auto"/>
              </w:rPr>
            </w:pPr>
            <w:r>
              <w:rPr>
                <w:rFonts w:ascii="Arial" w:cs="Arial" w:eastAsia="Arial" w:hAnsi="Arial"/>
                <w:sz w:val="16"/>
                <w:szCs w:val="16"/>
                <w:color w:val="auto"/>
                <w:w w:val="98"/>
              </w:rPr>
              <w:t>May 11, 2017</w:t>
            </w:r>
          </w:p>
        </w:tc>
      </w:tr>
    </w:tbl>
    <w:p>
      <w:pPr>
        <w:spacing w:after="0" w:line="459" w:lineRule="exact"/>
        <w:rPr>
          <w:sz w:val="20"/>
          <w:szCs w:val="20"/>
          <w:color w:val="auto"/>
        </w:rPr>
      </w:pPr>
    </w:p>
    <w:p>
      <w:pPr>
        <w:sectPr>
          <w:pgSz w:w="11900" w:h="16838" w:orient="portrait"/>
          <w:cols w:equalWidth="0" w:num="2">
            <w:col w:w="3320" w:space="720"/>
            <w:col w:w="7240"/>
          </w:cols>
          <w:pgMar w:left="240" w:top="28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80"/>
          </w:cols>
          <w:pgMar w:left="240" w:top="287" w:right="37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84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Pablo Lagos Espinosa*</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Pablo Lagos Espinosa</w:t>
            </w:r>
          </w:p>
        </w:tc>
        <w:tc>
          <w:tcPr>
            <w:tcW w:w="2840" w:type="dxa"/>
            <w:vAlign w:val="bottom"/>
          </w:tcPr>
          <w:p>
            <w:pPr>
              <w:spacing w:after="0"/>
              <w:rPr>
                <w:sz w:val="20"/>
                <w:szCs w:val="20"/>
                <w:color w:val="auto"/>
              </w:rPr>
            </w:pPr>
          </w:p>
        </w:tc>
      </w:tr>
      <w:tr>
        <w:trPr>
          <w:trHeight w:val="931"/>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Thomas C. Roberts*</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Thomas C. Roberts</w:t>
            </w:r>
          </w:p>
        </w:tc>
        <w:tc>
          <w:tcPr>
            <w:tcW w:w="2840" w:type="dxa"/>
            <w:vAlign w:val="bottom"/>
          </w:tcPr>
          <w:p>
            <w:pPr>
              <w:spacing w:after="0"/>
              <w:rPr>
                <w:sz w:val="20"/>
                <w:szCs w:val="20"/>
                <w:color w:val="auto"/>
              </w:rPr>
            </w:pPr>
          </w:p>
        </w:tc>
      </w:tr>
      <w:tr>
        <w:trPr>
          <w:trHeight w:val="931"/>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Joseph L. Rotunda*</w:t>
            </w:r>
          </w:p>
        </w:tc>
        <w:tc>
          <w:tcPr>
            <w:tcW w:w="2840" w:type="dxa"/>
            <w:vAlign w:val="bottom"/>
          </w:tcPr>
          <w:p>
            <w:pPr>
              <w:ind w:left="260"/>
              <w:spacing w:after="0"/>
              <w:rPr>
                <w:sz w:val="20"/>
                <w:szCs w:val="20"/>
                <w:color w:val="auto"/>
              </w:rPr>
            </w:pPr>
            <w:r>
              <w:rPr>
                <w:rFonts w:ascii="Arial" w:cs="Arial" w:eastAsia="Arial" w:hAnsi="Arial"/>
                <w:sz w:val="16"/>
                <w:szCs w:val="16"/>
                <w:color w:val="auto"/>
              </w:rPr>
              <w:t>Chief Operating Officer and 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Joseph L. Rotunda</w:t>
            </w:r>
          </w:p>
        </w:tc>
        <w:tc>
          <w:tcPr>
            <w:tcW w:w="2840" w:type="dxa"/>
            <w:vAlign w:val="bottom"/>
          </w:tcPr>
          <w:p>
            <w:pPr>
              <w:spacing w:after="0"/>
              <w:rPr>
                <w:sz w:val="20"/>
                <w:szCs w:val="20"/>
                <w:color w:val="auto"/>
              </w:rPr>
            </w:pPr>
          </w:p>
        </w:tc>
      </w:tr>
    </w:tbl>
    <w:p>
      <w:pPr>
        <w:spacing w:after="0" w:line="181" w:lineRule="exact"/>
        <w:rPr>
          <w:sz w:val="20"/>
          <w:szCs w:val="20"/>
          <w:color w:val="auto"/>
        </w:rPr>
      </w:pPr>
    </w:p>
    <w:p>
      <w:pPr>
        <w:ind w:left="5580" w:right="2000" w:hanging="5572"/>
        <w:spacing w:after="0" w:line="731" w:lineRule="auto"/>
        <w:tabs>
          <w:tab w:leader="none" w:pos="3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Executed on behalf of the Director by Thomas H. Welch, Jr., attorney-in-fact. 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May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May 11, 2017</w:t>
      </w:r>
    </w:p>
    <w:p>
      <w:pPr>
        <w:sectPr>
          <w:pgSz w:w="11900" w:h="16838" w:orient="portrait"/>
          <w:cols w:equalWidth="0" w:num="2">
            <w:col w:w="8420" w:space="720"/>
            <w:col w:w="1079"/>
          </w:cols>
          <w:pgMar w:left="240" w:top="270" w:right="1440"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19050</wp:posOffset>
            </wp:positionV>
            <wp:extent cx="840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4"/>
          <w:szCs w:val="14"/>
          <w:color w:val="auto"/>
        </w:rPr>
        <w:t>(a)</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4"/>
          <w:szCs w:val="14"/>
          <w:color w:val="auto"/>
        </w:rPr>
        <w:t>(b)</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4"/>
          <w:szCs w:val="14"/>
          <w:color w:val="auto"/>
        </w:rPr>
        <w:t>(b)</w:t>
      </w:r>
    </w:p>
    <w:p>
      <w:pPr>
        <w:spacing w:after="0" w:line="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22"/>
          <w:szCs w:val="22"/>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294640</wp:posOffset>
            </wp:positionV>
            <wp:extent cx="1046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58832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between EZCORP, Inc. and Trustee to be named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Opinion of Vinson &amp; Elkins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Vinson &amp; Elkins L.L.P. (included in Exhibit 5.1)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 Indenture</w:t>
      </w:r>
    </w:p>
    <w:p>
      <w:pPr>
        <w:spacing w:after="0" w:line="200" w:lineRule="exact"/>
        <w:rPr>
          <w:sz w:val="20"/>
          <w:szCs w:val="20"/>
          <w:color w:val="auto"/>
        </w:rPr>
      </w:pPr>
    </w:p>
    <w:p>
      <w:pPr>
        <w:sectPr>
          <w:pgSz w:w="11900" w:h="16838" w:orient="portrait"/>
          <w:cols w:equalWidth="0" w:num="2">
            <w:col w:w="1340" w:space="600"/>
            <w:col w:w="9200"/>
          </w:cols>
          <w:pgMar w:left="240" w:top="287" w:right="519" w:bottom="1440" w:gutter="0" w:footer="0" w:header="0"/>
        </w:sectPr>
      </w:pPr>
    </w:p>
    <w:p>
      <w:pPr>
        <w:spacing w:after="0" w:line="267"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287" w:right="51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173990</wp:posOffset>
            </wp:positionV>
            <wp:extent cx="168973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11, 2017</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2500 Bee Cave Road, Bldg One,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Rollingwood, TX 78746</w:t>
      </w:r>
    </w:p>
    <w:p>
      <w:pPr>
        <w:spacing w:after="0" w:line="211" w:lineRule="exact"/>
        <w:rPr>
          <w:sz w:val="20"/>
          <w:szCs w:val="20"/>
          <w:color w:val="auto"/>
        </w:rPr>
      </w:pPr>
    </w:p>
    <w:p>
      <w:pPr>
        <w:ind w:left="4"/>
        <w:spacing w:after="0"/>
        <w:tabs>
          <w:tab w:leader="none" w:pos="403"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We have acted as counsel for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respect to certain legal matters in connection with the preparation of a registration statement on Form S-3 and the Pre-Effective Amendment No. 2 to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with respect to the Company’s (i)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in one or more series, certain of which may be convertible or exchangeable into shares of Class A Non-Voting Common Stock, par value $0.01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the Common Stock, (iii) warrants for the purchase of shares of the Common Stock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(iv) contracts to purchase shares of the Common Stock or other securities at a future date or dates (the “</w:t>
      </w:r>
      <w:r>
        <w:rPr>
          <w:rFonts w:ascii="Arial" w:cs="Arial" w:eastAsia="Arial" w:hAnsi="Arial"/>
          <w:sz w:val="16"/>
          <w:szCs w:val="16"/>
          <w:b w:val="1"/>
          <w:bCs w:val="1"/>
          <w:i w:val="1"/>
          <w:iCs w:val="1"/>
          <w:color w:val="auto"/>
        </w:rPr>
        <w:t>Stock Purchase Contracts</w:t>
      </w:r>
      <w:r>
        <w:rPr>
          <w:rFonts w:ascii="Arial" w:cs="Arial" w:eastAsia="Arial" w:hAnsi="Arial"/>
          <w:sz w:val="16"/>
          <w:szCs w:val="16"/>
          <w:color w:val="auto"/>
        </w:rPr>
        <w:t>”), and (v) Stock Purchase Contracts issued as a part of units consisting of a Stock Purchase Contract and warrants or other securities or debt obligations of third parties, including U.S. treasury securities, securing the holders’ obligations to purchase the securities under the Stock Purchase Contracts (the “</w:t>
      </w:r>
      <w:r>
        <w:rPr>
          <w:rFonts w:ascii="Arial" w:cs="Arial" w:eastAsia="Arial" w:hAnsi="Arial"/>
          <w:sz w:val="16"/>
          <w:szCs w:val="16"/>
          <w:b w:val="1"/>
          <w:bCs w:val="1"/>
          <w:i w:val="1"/>
          <w:iCs w:val="1"/>
          <w:color w:val="auto"/>
        </w:rPr>
        <w:t>Stock Purchase Units</w:t>
      </w:r>
      <w:r>
        <w:rPr>
          <w:rFonts w:ascii="Arial" w:cs="Arial" w:eastAsia="Arial" w:hAnsi="Arial"/>
          <w:sz w:val="16"/>
          <w:szCs w:val="16"/>
          <w:color w:val="auto"/>
        </w:rPr>
        <w:t>” and, together with the Debt Securities, the shares of the Common Stock, the Warrants and the Stock Purchase Contracts,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each on terms to be determined at the time of the offering thereof. The Securities may be issued from time to time pursuant to Rule 415 under the Securities Act.</w:t>
      </w:r>
    </w:p>
    <w:p>
      <w:pPr>
        <w:spacing w:after="0" w:line="173"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In connection with the opinions expressed herein, we have examined, among other things, the (i) the Amended and Restated Certificate of Incorporation, as amended, and the Amended and Restated Bylaws of the Company, each as amended to the date hereof (collectively,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(ii) the Registration Statement, (iii) the form of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filed as an exhibit to the Registration Statement and</w:t>
      </w:r>
    </w:p>
    <w:p>
      <w:pPr>
        <w:jc w:val="both"/>
        <w:ind w:left="4" w:hanging="4"/>
        <w:spacing w:after="0" w:line="295" w:lineRule="auto"/>
        <w:tabs>
          <w:tab w:leader="none" w:pos="33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records of corporate proceedings that have occurred prior to the date hereof with respect to 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 no independent investigation as to the facts set forth therein.</w:t>
      </w:r>
    </w:p>
    <w:p>
      <w:pPr>
        <w:spacing w:after="0" w:line="162"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In connection with this opinion,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any document reviewed by us had authority to sign in such capacity; (vi) the Registration Statement, and any amendments thereto (including post-effective amendments), will have become effective and comply with all applicable laws; (vii) a prospectus supplement will have been prepared and filed with the Commission describing the Securities offered thereby; (viii) all Securities will be issued and sold in compliance with applicable federal and state securities laws and in the manner stated in the Registration Statement and the applicable prospectus supplement; (ix) any supplemental indenture relating to a series of Debt Securities to be issued under the Indenture will be duly authorized, executed and delivered by the parties thereto in substantially the form reviewed by us; (x) a definitive purchase, underwriting or similar agreement with respect to any Securities offered will have been duly authorized and validly executed and delivered by the Company and the other parties thereto; (xi) any Securities issuable upon conversion, exchange or exercise of any Security being offered will have been duly authorized, created and, if appropriate, reserved for issuance upon such conversion, exchange or exercise; and (xii) with respect to shares of the Common Stock offered, that there will be sufficient shares of the Common Stock authorized under the Charter Documents and not otherwise reserved for issuance.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left="644" w:hanging="644"/>
        <w:spacing w:after="0" w:line="268" w:lineRule="auto"/>
        <w:tabs>
          <w:tab w:leader="none" w:pos="6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respect to the Debt Securities to be issued under the Indenture, when (a) the applicable Indenture relating to the Debt Securities have been duly qualified under the Trust Indenture Act of 1939, as amended; (b)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 duly constituted and acting committee thereof) has taken all necessary corporate action to approve the issuance and terms of any such Debt Securities, the terms of the offering thereof and related matters; (c) the terms of such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requirements or restrictions imposed by any court or governmental body having jurisdiction over the Company; (d) any shares of the Common Stock issuable upon the conversion of such Debt Securities, if applicable, have been duly and validly authorized for issuance; and (e) such Debt Securities have been duly executed and authenticated in accordance with the Indenture and issued and sold as contemplated in the applicable prospectus supplement and in accordance with the applicable definitive purchase, underwriting or similar agreement approved by the Board (or a duly constituted and acting committee thereof) and, upon payment of the consideration therefor provided for therein, such Debt Securities will be legally issued and will constitute valid and binding obligations of the Company enforceable against the Company in accordance with their terms and will be entitled to the benefits of the Indenture.</w:t>
      </w:r>
    </w:p>
    <w:p>
      <w:pPr>
        <w:spacing w:after="0" w:line="187"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respect to shares of the Common Stock, when (a) the Board (or a duly constituted and acting committee thereof) has taken all necessary corporate action to approve the issuance and terms of the offering thereof and related matters; and (b) the shares of the Common Stock have been duly registered and delivered either (i) in accordance with the applicable definitive purchase, underwriting or similar agreement approved by the Board (or a duly constituted and acting committee thereof) upon payment of the consideration therefor (not less than the par value of the Common Stock) provided for therein, or (ii) upon conversion, exchange or exercise of any other Security in accordance with the terms of the Security or the instrument governing the Security providing for the conversion, exchange or exercise as approved by the Board (or a duly constituted and acting committee thereof), for the consideration (not less than the par value of the Common Stock) approved by the Board (or a duly constituted and acting committee thereof), such shares of the Common Stock will be legally issued, fully paid and non-assessable</w:t>
      </w:r>
    </w:p>
    <w:p>
      <w:pPr>
        <w:sectPr>
          <w:pgSz w:w="11900" w:h="16838" w:orient="portrait"/>
          <w:cols w:equalWidth="0" w:num="1">
            <w:col w:w="10764"/>
          </w:cols>
          <w:pgMar w:left="896" w:top="118" w:right="239" w:bottom="0" w:gutter="0" w:footer="0" w:header="0"/>
        </w:sectPr>
      </w:pPr>
    </w:p>
    <w:bookmarkStart w:id="30" w:name="page31"/>
    <w:bookmarkEnd w:id="30"/>
    <w:p>
      <w:pPr>
        <w:jc w:val="both"/>
        <w:ind w:left="1160" w:hanging="644"/>
        <w:spacing w:after="0" w:line="272" w:lineRule="auto"/>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respect to the Warrants, when (i) the Board (or a duly constituted and acting committee thereof)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the Company and the warrant agent appointed by the Company;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a duly constituted and acting committee thereof) upon payment of the consideration therefor provided for therein, such Warrants will be legally issued.</w:t>
      </w:r>
    </w:p>
    <w:p>
      <w:pPr>
        <w:spacing w:after="0" w:line="177" w:lineRule="exact"/>
        <w:rPr>
          <w:rFonts w:ascii="Arial" w:cs="Arial" w:eastAsia="Arial" w:hAnsi="Arial"/>
          <w:sz w:val="17"/>
          <w:szCs w:val="17"/>
          <w:color w:val="auto"/>
        </w:rPr>
      </w:pPr>
    </w:p>
    <w:p>
      <w:pPr>
        <w:jc w:val="both"/>
        <w:ind w:left="1160" w:hanging="644"/>
        <w:spacing w:after="0" w:line="255"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Stock Purchase Contracts, when (i) the purchase agreement for the Stock Purchase Contracts has been duly authorized and validly executed by the parties thereto; (ii) the Board (or a duly constituted and acting committee thereof) has taken all necessary corporate action to approve and establish the terms of the Stock Purchase Contracts and to authorize and approve the issuance thereof, the terms of the offering and related matters; and (iii) the Stock Purchase Contracts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for therein, such Stock Purchase Contracts will be legally issued.</w:t>
      </w:r>
    </w:p>
    <w:p>
      <w:pPr>
        <w:spacing w:after="0" w:line="189" w:lineRule="exact"/>
        <w:rPr>
          <w:rFonts w:ascii="Arial" w:cs="Arial" w:eastAsia="Arial" w:hAnsi="Arial"/>
          <w:sz w:val="18"/>
          <w:szCs w:val="18"/>
          <w:color w:val="auto"/>
        </w:rPr>
      </w:pPr>
    </w:p>
    <w:p>
      <w:pPr>
        <w:jc w:val="both"/>
        <w:ind w:left="1160" w:hanging="644"/>
        <w:spacing w:after="0" w:line="293"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Stock Purchase Units, when (i) the purchase agreement for the Stock Purchase Units has been duly authorized and validly executed by the parties thereto; (ii) the Board (or a duly constituted and acting committee thereof) has taken all necessary corporate action to approve and establish the terms of the Stock Purchase Units and to authorize and approve the issuance thereof, the terms of the offering and related matters; and (iii) the Stock Purchase Units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therein, the Stock Purchase Units will be legally issued.</w:t>
      </w:r>
    </w:p>
    <w:p>
      <w:pPr>
        <w:spacing w:after="0" w:line="165" w:lineRule="exact"/>
        <w:rPr>
          <w:sz w:val="20"/>
          <w:szCs w:val="20"/>
          <w:color w:val="auto"/>
        </w:rPr>
      </w:pPr>
    </w:p>
    <w:p>
      <w:pPr>
        <w:jc w:val="both"/>
        <w:ind w:left="520" w:firstLine="648"/>
        <w:spacing w:after="0" w:line="255" w:lineRule="auto"/>
        <w:rPr>
          <w:sz w:val="20"/>
          <w:szCs w:val="20"/>
          <w:color w:val="auto"/>
        </w:rPr>
      </w:pPr>
      <w:r>
        <w:rPr>
          <w:rFonts w:ascii="Arial" w:cs="Arial" w:eastAsia="Arial" w:hAnsi="Arial"/>
          <w:sz w:val="18"/>
          <w:szCs w:val="18"/>
          <w:color w:val="auto"/>
        </w:rPr>
        <w:t>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93" w:lineRule="exact"/>
        <w:rPr>
          <w:sz w:val="20"/>
          <w:szCs w:val="20"/>
          <w:color w:val="auto"/>
        </w:rPr>
      </w:pPr>
    </w:p>
    <w:p>
      <w:pPr>
        <w:jc w:val="both"/>
        <w:ind w:left="520" w:firstLine="648"/>
        <w:spacing w:after="0" w:line="255" w:lineRule="auto"/>
        <w:rPr>
          <w:sz w:val="20"/>
          <w:szCs w:val="20"/>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(ii) the enforceability of indemnification provisions to the extent they purport to relate to liabilities resulting from or based upon negligence or any violation of federal or state securities or blue sky laws, or (iii) the validity or enforceability of provisions that limit the obligation of a guarantor based on the potential unenforceability, invalidity or voidability of a guarantee under any applicable law, including, without limitation, any state or federal fraudulent transfer or fraudulent conveyance laws.</w:t>
      </w:r>
    </w:p>
    <w:p>
      <w:pPr>
        <w:spacing w:after="0" w:line="193" w:lineRule="exact"/>
        <w:rPr>
          <w:sz w:val="20"/>
          <w:szCs w:val="20"/>
          <w:color w:val="auto"/>
        </w:rPr>
      </w:pPr>
    </w:p>
    <w:p>
      <w:pPr>
        <w:jc w:val="both"/>
        <w:ind w:left="520" w:firstLine="648"/>
        <w:spacing w:after="0" w:line="312" w:lineRule="auto"/>
        <w:rPr>
          <w:sz w:val="20"/>
          <w:szCs w:val="20"/>
          <w:color w:val="auto"/>
        </w:rPr>
      </w:pPr>
      <w:r>
        <w:rPr>
          <w:rFonts w:ascii="Arial" w:cs="Arial" w:eastAsia="Arial" w:hAnsi="Arial"/>
          <w:sz w:val="16"/>
          <w:szCs w:val="16"/>
          <w:color w:val="auto"/>
        </w:rPr>
        <w:t>The foregoing opinions are limited to the laws of the State of New York,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147" w:lineRule="exact"/>
        <w:rPr>
          <w:sz w:val="20"/>
          <w:szCs w:val="20"/>
          <w:color w:val="auto"/>
        </w:rPr>
      </w:pPr>
    </w:p>
    <w:p>
      <w:pPr>
        <w:jc w:val="both"/>
        <w:ind w:left="520" w:firstLine="648"/>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and the rules and regulations thereunder.</w:t>
      </w:r>
    </w:p>
    <w:p>
      <w:pPr>
        <w:spacing w:after="0" w:line="16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280"/>
          </w:cols>
          <w:pgMar w:left="380" w:top="125"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Vinson &amp; Elkins LLP Attorneys at Law</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Austin Beijing Dallas Dubai Hong Kong Houston London</w:t>
      </w:r>
    </w:p>
    <w:p>
      <w:pPr>
        <w:spacing w:after="0"/>
        <w:rPr>
          <w:sz w:val="20"/>
          <w:szCs w:val="20"/>
          <w:color w:val="auto"/>
        </w:rPr>
      </w:pPr>
      <w:r>
        <w:rPr>
          <w:rFonts w:ascii="Arial" w:cs="Arial" w:eastAsia="Arial" w:hAnsi="Arial"/>
          <w:sz w:val="10"/>
          <w:szCs w:val="10"/>
          <w:color w:val="auto"/>
        </w:rPr>
        <w:t>Moscow New York Palo Alto Richmond Riyadh San Francisco Taipei Tokyo Washington</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auto"/>
        </w:rPr>
        <w:t>Trammell Crow Center, 2001 Ross Avenue, Suite 3700</w:t>
      </w:r>
    </w:p>
    <w:p>
      <w:pPr>
        <w:spacing w:after="0" w:line="230" w:lineRule="auto"/>
        <w:rPr>
          <w:sz w:val="20"/>
          <w:szCs w:val="20"/>
          <w:color w:val="auto"/>
        </w:rPr>
      </w:pPr>
      <w:r>
        <w:rPr>
          <w:rFonts w:ascii="Arial" w:cs="Arial" w:eastAsia="Arial" w:hAnsi="Arial"/>
          <w:sz w:val="11"/>
          <w:szCs w:val="11"/>
          <w:color w:val="auto"/>
        </w:rPr>
        <w:t>Dallas, TX 75201-2975</w:t>
      </w:r>
    </w:p>
    <w:p>
      <w:pPr>
        <w:spacing w:after="0"/>
        <w:rPr>
          <w:sz w:val="20"/>
          <w:szCs w:val="20"/>
          <w:color w:val="auto"/>
        </w:rPr>
      </w:pPr>
      <w:r>
        <w:rPr>
          <w:rFonts w:ascii="Arial" w:cs="Arial" w:eastAsia="Arial" w:hAnsi="Arial"/>
          <w:sz w:val="10"/>
          <w:szCs w:val="10"/>
          <w:b w:val="1"/>
          <w:bCs w:val="1"/>
          <w:color w:val="auto"/>
        </w:rPr>
        <w:t xml:space="preserve">Tel </w:t>
      </w:r>
      <w:r>
        <w:rPr>
          <w:rFonts w:ascii="Arial" w:cs="Arial" w:eastAsia="Arial" w:hAnsi="Arial"/>
          <w:sz w:val="10"/>
          <w:szCs w:val="10"/>
          <w:color w:val="auto"/>
        </w:rPr>
        <w:t>+1.214.220.7700</w:t>
      </w:r>
      <w:r>
        <w:rPr>
          <w:rFonts w:ascii="Arial" w:cs="Arial" w:eastAsia="Arial" w:hAnsi="Arial"/>
          <w:sz w:val="10"/>
          <w:szCs w:val="10"/>
          <w:b w:val="1"/>
          <w:bCs w:val="1"/>
          <w:color w:val="auto"/>
        </w:rPr>
        <w:t xml:space="preserve"> Fax </w:t>
      </w:r>
      <w:r>
        <w:rPr>
          <w:rFonts w:ascii="Arial" w:cs="Arial" w:eastAsia="Arial" w:hAnsi="Arial"/>
          <w:sz w:val="10"/>
          <w:szCs w:val="10"/>
          <w:color w:val="auto"/>
        </w:rPr>
        <w:t>+1.214.220.7716</w:t>
      </w:r>
      <w:r>
        <w:rPr>
          <w:rFonts w:ascii="Arial" w:cs="Arial" w:eastAsia="Arial" w:hAnsi="Arial"/>
          <w:sz w:val="10"/>
          <w:szCs w:val="10"/>
          <w:b w:val="1"/>
          <w:bCs w:val="1"/>
          <w:color w:val="auto"/>
        </w:rPr>
        <w:t xml:space="preserve"> www.velaw.com</w:t>
      </w:r>
    </w:p>
    <w:p>
      <w:pPr>
        <w:sectPr>
          <w:pgSz w:w="11900" w:h="16838" w:orient="portrait"/>
          <w:cols w:equalWidth="0" w:num="2">
            <w:col w:w="6340" w:space="720"/>
            <w:col w:w="4220"/>
          </w:cols>
          <w:pgMar w:left="380" w:top="125"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Income (loss) from continuing</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operations before income taxes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26,728</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(66,207)</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7,889</w:t>
            </w: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29,687</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146,139</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(Income) loss from investments in</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6"/>
                <w:szCs w:val="16"/>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(2,721)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Distributed income from</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6"/>
                <w:szCs w:val="16"/>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10,632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5,560</w:t>
            </w:r>
          </w:p>
        </w:tc>
        <w:tc>
          <w:tcPr>
            <w:tcW w:w="0" w:type="dxa"/>
            <w:vAlign w:val="bottom"/>
          </w:tcPr>
          <w:p>
            <w:pPr>
              <w:spacing w:after="0"/>
              <w:rPr>
                <w:sz w:val="1"/>
                <w:szCs w:val="1"/>
                <w:color w:val="auto"/>
              </w:rPr>
            </w:pPr>
          </w:p>
        </w:tc>
      </w:tr>
      <w:tr>
        <w:trPr>
          <w:trHeight w:val="283"/>
        </w:trPr>
        <w:tc>
          <w:tcPr>
            <w:tcW w:w="2640" w:type="dxa"/>
            <w:vAlign w:val="bottom"/>
          </w:tcPr>
          <w:p>
            <w:pPr>
              <w:ind w:left="180"/>
              <w:spacing w:after="0"/>
              <w:rPr>
                <w:sz w:val="20"/>
                <w:szCs w:val="20"/>
                <w:color w:val="auto"/>
              </w:rPr>
            </w:pPr>
            <w:r>
              <w:rPr>
                <w:rFonts w:ascii="Arial" w:cs="Arial" w:eastAsia="Arial" w:hAnsi="Arial"/>
                <w:sz w:val="16"/>
                <w:szCs w:val="16"/>
                <w:color w:val="auto"/>
              </w:rPr>
              <w:t>Fixed charges</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17,388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86,724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75,743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51,749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31,103</w:t>
            </w:r>
          </w:p>
        </w:tc>
        <w:tc>
          <w:tcPr>
            <w:tcW w:w="0" w:type="dxa"/>
            <w:vAlign w:val="bottom"/>
          </w:tcPr>
          <w:p>
            <w:pPr>
              <w:spacing w:after="0"/>
              <w:rPr>
                <w:sz w:val="1"/>
                <w:szCs w:val="1"/>
                <w:color w:val="auto"/>
              </w:rPr>
            </w:pPr>
          </w:p>
        </w:tc>
      </w:tr>
      <w:tr>
        <w:trPr>
          <w:trHeight w:val="204"/>
        </w:trPr>
        <w:tc>
          <w:tcPr>
            <w:tcW w:w="2640" w:type="dxa"/>
            <w:vAlign w:val="bottom"/>
          </w:tcPr>
          <w:p>
            <w:pPr>
              <w:spacing w:after="0"/>
              <w:rPr>
                <w:sz w:val="20"/>
                <w:szCs w:val="20"/>
                <w:color w:val="auto"/>
              </w:rPr>
            </w:pPr>
            <w:r>
              <w:rPr>
                <w:rFonts w:ascii="Arial" w:cs="Arial" w:eastAsia="Arial" w:hAnsi="Arial"/>
                <w:sz w:val="16"/>
                <w:szCs w:val="16"/>
                <w:color w:val="auto"/>
              </w:rPr>
              <w:t>Total earnings available for fixed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vMerge w:val="restart"/>
          </w:tcPr>
          <w:p>
            <w:pPr>
              <w:jc w:val="right"/>
              <w:ind w:right="61"/>
              <w:spacing w:after="0"/>
              <w:rPr>
                <w:sz w:val="20"/>
                <w:szCs w:val="20"/>
                <w:color w:val="auto"/>
              </w:rPr>
            </w:pPr>
            <w:r>
              <w:rPr>
                <w:rFonts w:ascii="Arial" w:cs="Arial" w:eastAsia="Arial" w:hAnsi="Arial"/>
                <w:sz w:val="16"/>
                <w:szCs w:val="16"/>
                <w:color w:val="auto"/>
              </w:rPr>
              <w:t>42,548</w:t>
            </w:r>
          </w:p>
        </w:tc>
        <w:tc>
          <w:tcPr>
            <w:tcW w:w="10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50,889</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30,832</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82,813</w:t>
            </w:r>
          </w:p>
        </w:tc>
        <w:tc>
          <w:tcPr>
            <w:tcW w:w="120" w:type="dxa"/>
            <w:vAlign w:val="bottom"/>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auto"/>
              </w:rPr>
              <w:t>80,190</w:t>
            </w:r>
          </w:p>
        </w:tc>
        <w:tc>
          <w:tcPr>
            <w:tcW w:w="1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color w:val="auto"/>
              </w:rPr>
              <w:t>166,764</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20"/>
                <w:szCs w:val="20"/>
                <w:color w:val="auto"/>
              </w:rPr>
            </w:pPr>
            <w:r>
              <w:rPr>
                <w:rFonts w:ascii="Arial" w:cs="Arial" w:eastAsia="Arial" w:hAnsi="Arial"/>
                <w:sz w:val="16"/>
                <w:szCs w:val="16"/>
                <w:color w:val="auto"/>
              </w:rPr>
              <w:t>charges</w:t>
            </w:r>
          </w:p>
        </w:tc>
        <w:tc>
          <w:tcPr>
            <w:tcW w:w="1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Fixed charges:</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Interest expense including</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amortization of discounts and</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capitalized expenses related to</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indebtedness (b)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11,193</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33,444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42,202</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28,388</w:t>
            </w: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16,190</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Estimated interest portion of</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rental expense</w:t>
            </w:r>
          </w:p>
        </w:tc>
        <w:tc>
          <w:tcPr>
            <w:tcW w:w="160" w:type="dxa"/>
            <w:vAlign w:val="bottom"/>
          </w:tcPr>
          <w:p>
            <w:pPr>
              <w:spacing w:after="0"/>
              <w:rPr>
                <w:sz w:val="16"/>
                <w:szCs w:val="16"/>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6,195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15,450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12,645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10,863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7,674</w:t>
            </w:r>
          </w:p>
        </w:tc>
        <w:tc>
          <w:tcPr>
            <w:tcW w:w="0" w:type="dxa"/>
            <w:vAlign w:val="bottom"/>
          </w:tcPr>
          <w:p>
            <w:pPr>
              <w:spacing w:after="0"/>
              <w:rPr>
                <w:sz w:val="1"/>
                <w:szCs w:val="1"/>
                <w:color w:val="auto"/>
              </w:rPr>
            </w:pPr>
          </w:p>
        </w:tc>
      </w:tr>
      <w:tr>
        <w:trPr>
          <w:trHeight w:val="283"/>
        </w:trPr>
        <w:tc>
          <w:tcPr>
            <w:tcW w:w="2640" w:type="dxa"/>
            <w:vAlign w:val="bottom"/>
          </w:tcPr>
          <w:p>
            <w:pPr>
              <w:ind w:left="180"/>
              <w:spacing w:after="0"/>
              <w:rPr>
                <w:sz w:val="20"/>
                <w:szCs w:val="20"/>
                <w:color w:val="auto"/>
              </w:rPr>
            </w:pPr>
            <w:r>
              <w:rPr>
                <w:rFonts w:ascii="Arial" w:cs="Arial" w:eastAsia="Arial" w:hAnsi="Arial"/>
                <w:sz w:val="16"/>
                <w:szCs w:val="16"/>
                <w:color w:val="auto"/>
              </w:rPr>
              <w:t>Losses under guarantees, net (c)</w:t>
            </w:r>
          </w:p>
        </w:tc>
        <w:tc>
          <w:tcPr>
            <w:tcW w:w="160" w:type="dxa"/>
            <w:vAlign w:val="bottom"/>
          </w:tcPr>
          <w:p>
            <w:pPr>
              <w:spacing w:after="0"/>
              <w:rPr>
                <w:sz w:val="24"/>
                <w:szCs w:val="2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29,072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34,710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24,696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24,171</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6"/>
                <w:szCs w:val="16"/>
                <w:color w:val="auto"/>
              </w:rPr>
              <w:t>Total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17,388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86,724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75,743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51,749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31,103</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b w:val="1"/>
                <w:bCs w:val="1"/>
                <w:color w:val="auto"/>
              </w:rPr>
              <w:t>Ratio of earnings to fixed</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vMerge w:val="restart"/>
          </w:tcPr>
          <w:p>
            <w:pPr>
              <w:ind w:left="1100"/>
              <w:spacing w:after="0"/>
              <w:rPr>
                <w:sz w:val="20"/>
                <w:szCs w:val="20"/>
                <w:color w:val="auto"/>
              </w:rPr>
            </w:pPr>
            <w:r>
              <w:rPr>
                <w:rFonts w:ascii="Arial" w:cs="Arial" w:eastAsia="Arial" w:hAnsi="Arial"/>
                <w:sz w:val="16"/>
                <w:szCs w:val="16"/>
                <w:b w:val="1"/>
                <w:bCs w:val="1"/>
                <w:color w:val="auto"/>
              </w:rPr>
              <w:t>2.45x</w:t>
            </w:r>
          </w:p>
        </w:tc>
        <w:tc>
          <w:tcPr>
            <w:tcW w:w="260" w:type="dxa"/>
            <w:vAlign w:val="bottom"/>
          </w:tcPr>
          <w:p>
            <w:pPr>
              <w:spacing w:after="0"/>
              <w:rPr>
                <w:sz w:val="24"/>
                <w:szCs w:val="24"/>
                <w:color w:val="auto"/>
              </w:rPr>
            </w:pPr>
          </w:p>
        </w:tc>
        <w:tc>
          <w:tcPr>
            <w:tcW w:w="98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1.06x</w:t>
            </w:r>
          </w:p>
        </w:tc>
        <w:tc>
          <w:tcPr>
            <w:tcW w:w="160" w:type="dxa"/>
            <w:vAlign w:val="bottom"/>
          </w:tcPr>
          <w:p>
            <w:pPr>
              <w:spacing w:after="0"/>
              <w:rPr>
                <w:sz w:val="24"/>
                <w:szCs w:val="2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(d)</w:t>
            </w:r>
          </w:p>
        </w:tc>
        <w:tc>
          <w:tcPr>
            <w:tcW w:w="240" w:type="dxa"/>
            <w:vAlign w:val="bottom"/>
          </w:tcPr>
          <w:p>
            <w:pPr>
              <w:spacing w:after="0"/>
              <w:rPr>
                <w:sz w:val="24"/>
                <w:szCs w:val="24"/>
                <w:color w:val="auto"/>
              </w:rPr>
            </w:pPr>
          </w:p>
        </w:tc>
        <w:tc>
          <w:tcPr>
            <w:tcW w:w="9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1.09x</w:t>
            </w:r>
          </w:p>
        </w:tc>
        <w:tc>
          <w:tcPr>
            <w:tcW w:w="300" w:type="dxa"/>
            <w:vAlign w:val="bottom"/>
          </w:tcPr>
          <w:p>
            <w:pPr>
              <w:spacing w:after="0"/>
              <w:rPr>
                <w:sz w:val="24"/>
                <w:szCs w:val="24"/>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1.55x</w:t>
            </w: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5.36x</w:t>
            </w:r>
          </w:p>
        </w:tc>
        <w:tc>
          <w:tcPr>
            <w:tcW w:w="0" w:type="dxa"/>
            <w:vAlign w:val="bottom"/>
          </w:tcPr>
          <w:p>
            <w:pPr>
              <w:spacing w:after="0"/>
              <w:rPr>
                <w:sz w:val="1"/>
                <w:szCs w:val="1"/>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6"/>
                <w:szCs w:val="16"/>
                <w:b w:val="1"/>
                <w:bCs w:val="1"/>
                <w:color w:val="auto"/>
              </w:rPr>
              <w:t>charges</w:t>
            </w: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360045</wp:posOffset>
            </wp:positionV>
            <wp:extent cx="591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are presented as recast to exclude the results of operations discontinued in fiscal 2016 and prior.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was no significant interest associated with uncertain tax positions for any period presented.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are presented net of recoveries of previous losses.</w:t>
      </w:r>
    </w:p>
    <w:p>
      <w:pPr>
        <w:spacing w:after="0" w:line="55"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ratio as computed for fiscal 2015 was less than 1.0 as earnings were not adequate to cover fixed charges. Additional earnings of approximately $56 million would have been necessary to bring the ratio to 1.0.</w:t>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this Pre-Effective Amendment No. 2 to Registration Statement No. 333-202626 on Form S-3 of our reports dated December 14, 2016, relating to the consolidated financial statements and the effectiveness of EZCORP, Inc.’s internal control over financial reporting appearing in the Company’s Annual Report on Form 10 -K for the year ended September 30, 2016. We also have audited the retrospective adjustments for the 2014 financial statements related to the discontinued operations of Grupo Finmart.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2017</w:t>
      </w:r>
    </w:p>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consent to the incorporation by reference in this Amendment No. 2 to Registration No. 333-202626 on Form S-3 of our report dated November 26, 2014 (November 9, 2015 as to the effects of the restatement discussed in Note 22; December 23, 2015 as to Note 3 (relating to the adjustments for discontinued operations arising in 2015) and Note 18 (relating to the change in reportable segments in 2015); December 13, 2016 as to the effects of the restatement discussed in Note 2.), relating to the consolidated statements of operations, comprehensive loss, stockholders’ equity and cash flows for the year ended September 30, 2014 (the “2014 financial statements”) (before the retrospective adjustments to the 2014 financial statements for the adoption of ASU 2014-08 ) (not presented herein) of EZCORP, Inc. and subsidiaries (which report expresses an unqualified opinion; includes an explanatory paragraph that the retrospective adjustments to the 2014 financial statements for the adoption of ASU 2014-08 were audited by other auditors; and includes an explanatory paragraph related to the restatement of the 2014 consolidated financial statements), appearing in the Annual Report on Form 10-K of EZCORP, Inc. for the year ended September 30, 2016,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2017</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lvl w:ilvl="1">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3"/>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lvl w:ilvl="1">
      <w:lvlJc w:val="left"/>
      <w:lvlText w:val="(%2)"/>
      <w:numFmt w:val="lowerLetter"/>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4516DDE9"/>
    <w:multiLevelType w:val="hybridMultilevel"/>
    <w:lvl w:ilvl="0">
      <w:lvlJc w:val="left"/>
      <w:lvlText w:val="(%1)"/>
      <w:numFmt w:val="lowerRoman"/>
      <w:start w:val="3"/>
    </w:lvl>
  </w:abstractNum>
  <w:abstractNum w:abstractNumId="28">
    <w:nsid w:val="3006C83E"/>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2"/>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31">
    <w:nsid w:val="5577F8E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Roman"/>
      <w:start w:val="4"/>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3"/>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2020-01-17T08:25:14Z</dcterms:created>
  <dcterms:modified xsi:type="dcterms:W3CDTF">2020-01-17T08:25:14Z</dcterms:modified>
</cp:coreProperties>
</file>