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PreformattedText"/>
        <w:rPr/>
      </w:pPr>
      <w:bookmarkStart w:id="0" w:name="ezcorp13gt4.txt"/>
      <w:bookmarkStart w:id="1" w:name="ksezcorp13gt4"/>
      <w:bookmarkEnd w:id="0"/>
      <w:bookmarkEnd w:id="1"/>
      <w:r>
        <w:rPr/>
        <w:t>UNITED STATES</w:t>
      </w:r>
    </w:p>
    <w:p>
      <w:pPr>
        <w:pStyle w:val="PreformattedText"/>
        <w:rPr/>
      </w:pPr>
      <w:r>
        <w:rPr/>
        <w:t>SECURITIES AND EXCHANGE COMMISSION</w:t>
      </w:r>
    </w:p>
    <w:p>
      <w:pPr>
        <w:pStyle w:val="PreformattedText"/>
        <w:rPr/>
      </w:pPr>
      <w:r>
        <w:rPr/>
        <w:t>Washington, D.C.  20549</w:t>
      </w:r>
    </w:p>
    <w:p>
      <w:pPr>
        <w:pStyle w:val="PreformattedText"/>
        <w:rPr/>
      </w:pPr>
      <w:r>
        <w:rPr/>
        <w:t>SCHEDULE 13G</w:t>
      </w:r>
    </w:p>
    <w:p>
      <w:pPr>
        <w:pStyle w:val="PreformattedText"/>
        <w:rPr/>
      </w:pPr>
      <w:r>
        <w:rPr/>
        <w:t>Under the Securities Exchange Act of 1934</w:t>
      </w:r>
    </w:p>
    <w:p>
      <w:pPr>
        <w:pStyle w:val="PreformattedText"/>
        <w:rPr/>
      </w:pPr>
      <w:r>
        <w:rPr/>
        <w:t xml:space="preserve">                                     </w:t>
      </w:r>
      <w:r>
        <w:rPr/>
        <w:t>(Amendment No. _4__)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EZCORP, Inc.</w:t>
      </w:r>
    </w:p>
    <w:p>
      <w:pPr>
        <w:pStyle w:val="PreformattedText"/>
        <w:rPr/>
      </w:pPr>
      <w:r>
        <w:rPr/>
        <w:t xml:space="preserve">                </w:t>
      </w:r>
      <w:r>
        <w:rPr/>
        <w:t>_____________________________________________</w:t>
      </w:r>
    </w:p>
    <w:p>
      <w:pPr>
        <w:pStyle w:val="PreformattedText"/>
        <w:rPr/>
      </w:pPr>
      <w:r>
        <w:rPr/>
        <w:t xml:space="preserve">         </w:t>
      </w:r>
      <w:r>
        <w:rPr/>
        <w:t>(Name of Issuer)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Common Stock</w:t>
      </w:r>
    </w:p>
    <w:p>
      <w:pPr>
        <w:pStyle w:val="PreformattedText"/>
        <w:rPr/>
      </w:pPr>
      <w:r>
        <w:rPr/>
        <w:t xml:space="preserve">               </w:t>
      </w:r>
      <w:r>
        <w:rPr/>
        <w:t>_______________________________________________</w:t>
      </w:r>
    </w:p>
    <w:p>
      <w:pPr>
        <w:pStyle w:val="PreformattedText"/>
        <w:rPr/>
      </w:pPr>
      <w:r>
        <w:rPr/>
        <w:t>(Title of Class of Securities)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302301106</w:t>
      </w:r>
    </w:p>
    <w:p>
      <w:pPr>
        <w:pStyle w:val="PreformattedText"/>
        <w:rPr/>
      </w:pPr>
      <w:r>
        <w:rPr/>
        <w:t xml:space="preserve">              </w:t>
      </w:r>
      <w:r>
        <w:rPr/>
        <w:t>_________________________________________________</w:t>
      </w:r>
    </w:p>
    <w:p>
      <w:pPr>
        <w:pStyle w:val="PreformattedText"/>
        <w:rPr/>
      </w:pPr>
      <w:r>
        <w:rPr/>
        <w:t>(CUSIP Number)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with a copy to:</w:t>
      </w:r>
    </w:p>
    <w:p>
      <w:pPr>
        <w:pStyle w:val="PreformattedText"/>
        <w:rPr/>
      </w:pPr>
      <w:r>
        <w:rPr/>
        <w:t>Austin W. Marxe         Allen B. Levithan, Esq.</w:t>
      </w:r>
    </w:p>
    <w:p>
      <w:pPr>
        <w:pStyle w:val="PreformattedText"/>
        <w:rPr/>
      </w:pPr>
      <w:r>
        <w:rPr/>
        <w:t>527 Madison Avenue, Suite 2600          Lowenstein Sandler PC</w:t>
      </w:r>
    </w:p>
    <w:p>
      <w:pPr>
        <w:pStyle w:val="PreformattedText"/>
        <w:rPr/>
      </w:pPr>
      <w:r>
        <w:rPr/>
        <w:t>New York, New York 10022                65 Livingston Avenue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Roseland, New Jersey 07068</w:t>
      </w:r>
    </w:p>
    <w:p>
      <w:pPr>
        <w:pStyle w:val="PreformattedText"/>
        <w:rPr/>
      </w:pPr>
      <w:r>
        <w:rPr/>
        <w:t xml:space="preserve">                        </w:t>
      </w:r>
      <w:r>
        <w:rPr/>
        <w:t>(973) 597-2406</w:t>
      </w:r>
    </w:p>
    <w:p>
      <w:pPr>
        <w:pStyle w:val="PreformattedText"/>
        <w:rPr/>
      </w:pPr>
      <w:r>
        <w:rPr/>
        <w:t>(Name, Address and Telephone Number of Person</w:t>
      </w:r>
    </w:p>
    <w:p>
      <w:pPr>
        <w:pStyle w:val="PreformattedText"/>
        <w:rPr/>
      </w:pPr>
      <w:r>
        <w:rPr/>
        <w:t>Authorized to Receive Notices and Communications)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December 31, 2005</w:t>
      </w:r>
    </w:p>
    <w:p>
      <w:pPr>
        <w:pStyle w:val="PreformattedText"/>
        <w:rPr/>
      </w:pPr>
      <w:r>
        <w:rPr/>
        <w:t>(Date of Event which Requires Filing of this Statement)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Check the appropriate box to designate the rule pursuant to which this</w:t>
      </w:r>
    </w:p>
    <w:p>
      <w:pPr>
        <w:pStyle w:val="PreformattedText"/>
        <w:rPr/>
      </w:pPr>
      <w:r>
        <w:rPr/>
        <w:t>Schedule is filed: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____    Rule 13d-1(b)</w:t>
      </w:r>
    </w:p>
    <w:p>
      <w:pPr>
        <w:pStyle w:val="PreformattedText"/>
        <w:rPr/>
      </w:pPr>
      <w:r>
        <w:rPr/>
        <w:t xml:space="preserve">        </w:t>
      </w:r>
      <w:r>
        <w:rPr/>
        <w:t>_x__    Rule 13d-1(c)</w:t>
      </w:r>
    </w:p>
    <w:p>
      <w:pPr>
        <w:pStyle w:val="PreformattedText"/>
        <w:rPr/>
      </w:pPr>
      <w:r>
        <w:rPr/>
        <w:t xml:space="preserve">        </w:t>
      </w:r>
      <w:r>
        <w:rPr/>
        <w:t>____    Rule 13d-1(d)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*The remainder of this cover page shall be filled out for a reporting person's</w:t>
      </w:r>
    </w:p>
    <w:p>
      <w:pPr>
        <w:pStyle w:val="PreformattedText"/>
        <w:rPr/>
      </w:pPr>
      <w:r>
        <w:rPr/>
        <w:t>initial filing on this form with respect to the subject class of securities,</w:t>
      </w:r>
    </w:p>
    <w:p>
      <w:pPr>
        <w:pStyle w:val="PreformattedText"/>
        <w:rPr/>
      </w:pPr>
      <w:r>
        <w:rPr/>
        <w:t>and for any subsequent amendment containing information which would alter</w:t>
      </w:r>
    </w:p>
    <w:p>
      <w:pPr>
        <w:pStyle w:val="PreformattedText"/>
        <w:rPr/>
      </w:pPr>
      <w:r>
        <w:rPr/>
        <w:t>disclosures provided in a prior cover page.</w:t>
      </w:r>
    </w:p>
    <w:p>
      <w:pPr>
        <w:pStyle w:val="PreformattedText"/>
        <w:rPr/>
      </w:pPr>
      <w:r>
        <w:rPr/>
        <w:t>The information required on the remainder of this cover page shall not be</w:t>
      </w:r>
    </w:p>
    <w:p>
      <w:pPr>
        <w:pStyle w:val="PreformattedText"/>
        <w:rPr/>
      </w:pPr>
      <w:r>
        <w:rPr/>
        <w:t>deemed</w:t>
      </w:r>
    </w:p>
    <w:p>
      <w:pPr>
        <w:pStyle w:val="PreformattedText"/>
        <w:rPr/>
      </w:pPr>
      <w:r>
        <w:rPr/>
        <w:t xml:space="preserve"> </w:t>
      </w:r>
      <w:r>
        <w:rPr/>
        <w:t>to be ?filed? for the purpose of Section 18 of the Securities Exchange Act of</w:t>
      </w:r>
    </w:p>
    <w:p>
      <w:pPr>
        <w:pStyle w:val="PreformattedText"/>
        <w:rPr/>
      </w:pPr>
      <w:r>
        <w:rPr/>
        <w:t xml:space="preserve"> </w:t>
      </w:r>
      <w:r>
        <w:rPr/>
        <w:t>1934 (?Act?) or otherwise subject to the liabilities of that section of the</w:t>
      </w:r>
    </w:p>
    <w:p>
      <w:pPr>
        <w:pStyle w:val="PreformattedText"/>
        <w:rPr/>
      </w:pPr>
      <w:r>
        <w:rPr/>
        <w:t>Act</w:t>
      </w:r>
    </w:p>
    <w:p>
      <w:pPr>
        <w:pStyle w:val="PreformattedText"/>
        <w:rPr/>
      </w:pPr>
      <w:r>
        <w:rPr/>
        <w:t xml:space="preserve"> </w:t>
      </w:r>
      <w:r>
        <w:rPr/>
        <w:t>but shall be subject to all other provisions of the Act (however, see the</w:t>
      </w:r>
    </w:p>
    <w:p>
      <w:pPr>
        <w:pStyle w:val="PreformattedText"/>
        <w:rPr/>
      </w:pPr>
      <w:r>
        <w:rPr/>
        <w:t>Notes).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Cusip No. 302301106       13G                           Page 2 of 6 Pages</w:t>
      </w:r>
    </w:p>
    <w:p>
      <w:pPr>
        <w:pStyle w:val="PreformattedText"/>
        <w:rPr/>
      </w:pPr>
      <w:r>
        <w:rPr/>
        <w:t>1.Names of Reporting Persons.  I.R.S. Identification Nos. of above persons</w:t>
      </w:r>
    </w:p>
    <w:p>
      <w:pPr>
        <w:pStyle w:val="PreformattedText"/>
        <w:rPr/>
      </w:pPr>
      <w:r>
        <w:rPr/>
        <w:t>(entities only):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Austin W. Marxe and 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2.      Check the Appropriate Box if a Member of a Group (See Instructions):</w:t>
      </w:r>
    </w:p>
    <w:p>
      <w:pPr>
        <w:pStyle w:val="PreformattedText"/>
        <w:rPr/>
      </w:pPr>
      <w:r>
        <w:rPr/>
        <w:t xml:space="preserve">        </w:t>
      </w:r>
      <w:r>
        <w:rPr/>
        <w:t>(a)     [    ]          Not Applicable</w:t>
      </w:r>
    </w:p>
    <w:p>
      <w:pPr>
        <w:pStyle w:val="PreformattedText"/>
        <w:rPr/>
      </w:pPr>
      <w:r>
        <w:rPr/>
        <w:t xml:space="preserve">        </w:t>
      </w:r>
      <w:r>
        <w:rPr/>
        <w:t>(b)     [    ]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3.      SEC Use Only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4.      Source of Funds (See Instructions):  00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5.      Check if Disclosure of Legal Proceedings Is Required Pursuant to</w:t>
      </w:r>
    </w:p>
    <w:p>
      <w:pPr>
        <w:pStyle w:val="PreformattedText"/>
        <w:rPr/>
      </w:pPr>
      <w:r>
        <w:rPr/>
        <w:t>Items 2(d) or 2(e):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6.      Citizenship or Place of Organization:       United States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Number of       7.      Sole Voting Power:      0</w:t>
      </w:r>
    </w:p>
    <w:p>
      <w:pPr>
        <w:pStyle w:val="PreformattedText"/>
        <w:rPr/>
      </w:pPr>
      <w:r>
        <w:rPr/>
        <w:t xml:space="preserve">        </w:t>
      </w:r>
      <w:r>
        <w:rPr/>
        <w:t>Shares Beneficially     8.      Shared Voting Power:    698,259*</w:t>
      </w:r>
    </w:p>
    <w:p>
      <w:pPr>
        <w:pStyle w:val="PreformattedText"/>
        <w:rPr/>
      </w:pPr>
      <w:r>
        <w:rPr/>
        <w:t xml:space="preserve">        </w:t>
      </w:r>
      <w:r>
        <w:rPr/>
        <w:t>Owned by</w:t>
      </w:r>
    </w:p>
    <w:p>
      <w:pPr>
        <w:pStyle w:val="PreformattedText"/>
        <w:rPr/>
      </w:pPr>
      <w:r>
        <w:rPr/>
        <w:t xml:space="preserve">        </w:t>
      </w:r>
      <w:r>
        <w:rPr/>
        <w:t>Each Reporting  9.      Sole Dispositive Power: 0</w:t>
      </w:r>
    </w:p>
    <w:p>
      <w:pPr>
        <w:pStyle w:val="PreformattedText"/>
        <w:rPr/>
      </w:pPr>
      <w:r>
        <w:rPr/>
        <w:t xml:space="preserve">        </w:t>
      </w:r>
      <w:r>
        <w:rPr/>
        <w:t>Person With     10.     Shared Dispositive Power: 698,259*____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11.     Aggregate Amount Beneficially Owned by Each Reporting Person:</w:t>
      </w:r>
    </w:p>
    <w:p>
      <w:pPr>
        <w:pStyle w:val="PreformattedText"/>
        <w:rPr/>
      </w:pPr>
      <w:r>
        <w:rPr/>
        <w:t xml:space="preserve">         </w:t>
      </w:r>
      <w:r>
        <w:rPr/>
        <w:t>698,259*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12.     Check if the Aggregate Amount in Row (11) Excludes Certain Shares</w:t>
      </w:r>
    </w:p>
    <w:p>
      <w:pPr>
        <w:pStyle w:val="PreformattedText"/>
        <w:rPr/>
      </w:pPr>
      <w:r>
        <w:rPr/>
        <w:t xml:space="preserve">                </w:t>
      </w:r>
      <w:r>
        <w:rPr/>
        <w:t>(See Instructions):                        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13.     Percent of Class Represented by Amount in Row (11):     5.4%*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14.     Type of Reporting Person (See Instructions):       IA, IN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This is a joint filing by Austin W. Marxe (?Marxe?) and David M. Greenhouse</w:t>
      </w:r>
    </w:p>
    <w:p>
      <w:pPr>
        <w:pStyle w:val="PreformattedText"/>
        <w:rPr/>
      </w:pPr>
      <w:r>
        <w:rPr/>
        <w:t>(?Greenhouse?).  Marxe and Greenhouse share sole voting and investment power</w:t>
      </w:r>
    </w:p>
    <w:p>
      <w:pPr>
        <w:pStyle w:val="PreformattedText"/>
        <w:rPr/>
      </w:pPr>
      <w:r>
        <w:rPr/>
        <w:t>over 123,318 shares of Common Stock owned by Special Situations Cayman Fund,</w:t>
      </w:r>
    </w:p>
    <w:p>
      <w:pPr>
        <w:pStyle w:val="PreformattedText"/>
        <w:rPr/>
      </w:pPr>
      <w:r>
        <w:rPr/>
        <w:t>L.P., 528,606 shares of Common Stock owned by Special Situations Fund III QP,</w:t>
      </w:r>
    </w:p>
    <w:p>
      <w:pPr>
        <w:pStyle w:val="PreformattedText"/>
        <w:rPr/>
      </w:pPr>
      <w:r>
        <w:rPr/>
        <w:t>L.P. and 46,335 shares of Common Stock owned by Special Situations Fund III,</w:t>
      </w:r>
    </w:p>
    <w:p>
      <w:pPr>
        <w:pStyle w:val="PreformattedText"/>
        <w:rPr/>
      </w:pPr>
      <w:r>
        <w:rPr/>
        <w:t>L.P. .  See Items 2 and 4 of this Schedule for additional information.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3 of 6 Pages</w:t>
      </w:r>
    </w:p>
    <w:p>
      <w:pPr>
        <w:pStyle w:val="PreformattedText"/>
        <w:rPr/>
      </w:pPr>
      <w:r>
        <w:rPr/>
        <w:t>Item 1. Security and Issuer:</w:t>
      </w:r>
    </w:p>
    <w:p>
      <w:pPr>
        <w:pStyle w:val="PreformattedText"/>
        <w:rPr/>
      </w:pPr>
      <w:r>
        <w:rPr/>
        <w:t xml:space="preserve">        </w:t>
      </w:r>
      <w:r>
        <w:rPr/>
        <w:t>(a) EZCORP, Inc.</w:t>
      </w:r>
    </w:p>
    <w:p>
      <w:pPr>
        <w:pStyle w:val="PreformattedText"/>
        <w:rPr/>
      </w:pPr>
      <w:r>
        <w:rPr/>
        <w:t xml:space="preserve">        </w:t>
      </w:r>
      <w:r>
        <w:rPr/>
        <w:t>(b) 1901 Capital Parkway, Austin, TX  78746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2. (a)     Name of Person Filing:</w:t>
      </w:r>
    </w:p>
    <w:p>
      <w:pPr>
        <w:pStyle w:val="PreformattedText"/>
        <w:rPr/>
      </w:pPr>
      <w:r>
        <w:rPr/>
        <w:t xml:space="preserve">        </w:t>
      </w:r>
      <w:r>
        <w:rPr/>
        <w:t>The persons filing this report are Austin W. Marxe (?Marxe?) and</w:t>
      </w:r>
    </w:p>
    <w:p>
      <w:pPr>
        <w:pStyle w:val="PreformattedText"/>
        <w:rPr/>
      </w:pPr>
      <w:r>
        <w:rPr/>
        <w:t>David M. Greenhouse (?Greenhouse?), who are the controlling principals of AWM</w:t>
      </w:r>
    </w:p>
    <w:p>
      <w:pPr>
        <w:pStyle w:val="PreformattedText"/>
        <w:rPr/>
      </w:pPr>
      <w:r>
        <w:rPr/>
        <w:t>Investment Company, Inc. (?AWM?), the general partner of and investment</w:t>
      </w:r>
    </w:p>
    <w:p>
      <w:pPr>
        <w:pStyle w:val="PreformattedText"/>
        <w:rPr/>
      </w:pPr>
      <w:r>
        <w:rPr/>
        <w:t>adviser to Special Situations Cayman Fund, L.P. (?Cayman?).  AWM also serves</w:t>
      </w:r>
    </w:p>
    <w:p>
      <w:pPr>
        <w:pStyle w:val="PreformattedText"/>
        <w:rPr/>
      </w:pPr>
      <w:r>
        <w:rPr/>
        <w:t>as the general partner of MGP Advisers Limited Partnership (?MGP?), the</w:t>
      </w:r>
    </w:p>
    <w:p>
      <w:pPr>
        <w:pStyle w:val="PreformattedText"/>
        <w:rPr/>
      </w:pPr>
      <w:r>
        <w:rPr/>
        <w:t>general partner of and investment adviser to Special Situations Fund III, L.P.</w:t>
      </w:r>
    </w:p>
    <w:p>
      <w:pPr>
        <w:pStyle w:val="PreformattedText"/>
        <w:rPr/>
      </w:pPr>
      <w:r>
        <w:rPr/>
        <w:t>(?SSF3?) and Special Situations Fund III QP, L.P.* (?SSFQP?).  (SSF3, SSFQP</w:t>
      </w:r>
    </w:p>
    <w:p>
      <w:pPr>
        <w:pStyle w:val="PreformattedText"/>
        <w:rPr/>
      </w:pPr>
      <w:r>
        <w:rPr/>
        <w:t>and Cayman will hereafter be referred to as, the ?Funds?).  The principal</w:t>
      </w:r>
    </w:p>
    <w:p>
      <w:pPr>
        <w:pStyle w:val="PreformattedText"/>
        <w:rPr/>
      </w:pPr>
      <w:r>
        <w:rPr/>
        <w:t>business of each Fund is to invest in equity and equity-related securities and</w:t>
      </w:r>
    </w:p>
    <w:p>
      <w:pPr>
        <w:pStyle w:val="PreformattedText"/>
        <w:rPr/>
      </w:pPr>
      <w:r>
        <w:rPr/>
        <w:t>other securities of any kind or nature.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* Pursuant to that certain Exchange Tender Offer described in the Schedule</w:t>
      </w:r>
    </w:p>
    <w:p>
      <w:pPr>
        <w:pStyle w:val="PreformattedText"/>
        <w:rPr/>
      </w:pPr>
      <w:r>
        <w:rPr/>
        <w:t>TO-I of the Special Situations Fund III, L.P. (SSF3) as filed by SSF3 with</w:t>
      </w:r>
    </w:p>
    <w:p>
      <w:pPr>
        <w:pStyle w:val="PreformattedText"/>
        <w:rPr/>
      </w:pPr>
      <w:r>
        <w:rPr/>
        <w:t>the Securities and Exchange Commission on November 17, 2005, SSF3</w:t>
      </w:r>
    </w:p>
    <w:p>
      <w:pPr>
        <w:pStyle w:val="PreformattedText"/>
        <w:rPr/>
      </w:pPr>
      <w:r>
        <w:rPr/>
        <w:t>transferred the securities included in this Schedule 13G to Special</w:t>
      </w:r>
    </w:p>
    <w:p>
      <w:pPr>
        <w:pStyle w:val="PreformattedText"/>
        <w:rPr/>
      </w:pPr>
      <w:r>
        <w:rPr/>
        <w:t>Situations Fund III QP, L.P. (SSFQP) on December 31, 2005.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</w:t>
      </w:r>
      <w:r>
        <w:rPr/>
        <w:t>(b) Address of Principal Business Office or, if none, Residence: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The principal business address for Marxe and Greenhouse is 527</w:t>
      </w:r>
    </w:p>
    <w:p>
      <w:pPr>
        <w:pStyle w:val="PreformattedText"/>
        <w:rPr/>
      </w:pPr>
      <w:r>
        <w:rPr/>
        <w:t>Madison Avenue, Suite 2600, New York, NY  10022.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(c) Citizenship: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</w:t>
      </w:r>
      <w:r>
        <w:rPr/>
        <w:t>Austin W. Marxe and David M. Greenhouse are United</w:t>
      </w:r>
    </w:p>
    <w:p>
      <w:pPr>
        <w:pStyle w:val="PreformattedText"/>
        <w:rPr/>
      </w:pPr>
      <w:r>
        <w:rPr/>
        <w:t>States citizens.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</w:t>
      </w:r>
      <w:r>
        <w:rPr/>
        <w:t>(d) Title of Class of Securities:  Common Stock</w:t>
      </w:r>
    </w:p>
    <w:p>
      <w:pPr>
        <w:pStyle w:val="PreformattedText"/>
        <w:rPr/>
      </w:pPr>
      <w:r>
        <w:rPr/>
        <w:t xml:space="preserve">                      </w:t>
      </w:r>
      <w:r>
        <w:rPr/>
        <w:t>(e) CUSIP Number:  302301106.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3.     If this statement is filed pursuant to $240.13d-1(b) or 240.13d-</w:t>
      </w:r>
    </w:p>
    <w:p>
      <w:pPr>
        <w:pStyle w:val="PreformattedText"/>
        <w:rPr/>
      </w:pPr>
      <w:r>
        <w:rPr/>
        <w:t>2(b), check whether</w:t>
      </w:r>
    </w:p>
    <w:p>
      <w:pPr>
        <w:pStyle w:val="PreformattedText"/>
        <w:rPr/>
      </w:pPr>
      <w:r>
        <w:rPr/>
        <w:t xml:space="preserve">            </w:t>
      </w:r>
      <w:r>
        <w:rPr/>
        <w:t>the person filing is a:    Not 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(a) ( ) Broker or Dealer registered under section 15 of the Act;</w:t>
      </w:r>
    </w:p>
    <w:p>
      <w:pPr>
        <w:pStyle w:val="PreformattedText"/>
        <w:rPr/>
      </w:pPr>
      <w:r>
        <w:rPr/>
        <w:t>(b) ( ) Bank as defined in section 3(a) (6) of the Act;</w:t>
      </w:r>
    </w:p>
    <w:p>
      <w:pPr>
        <w:pStyle w:val="PreformattedText"/>
        <w:rPr/>
      </w:pPr>
      <w:r>
        <w:rPr/>
        <w:t>(c) ( ) Insurance Company as defined in section 3(a) (19) of the Act;</w:t>
      </w:r>
    </w:p>
    <w:p>
      <w:pPr>
        <w:pStyle w:val="PreformattedText"/>
        <w:rPr/>
      </w:pPr>
      <w:r>
        <w:rPr/>
        <w:t>(d) ( ) Investment Company registered under section 8 of the Investment</w:t>
      </w:r>
    </w:p>
    <w:p>
      <w:pPr>
        <w:pStyle w:val="PreformattedText"/>
        <w:rPr/>
      </w:pPr>
      <w:r>
        <w:rPr/>
        <w:t>Company Act of 1940;</w:t>
      </w:r>
    </w:p>
    <w:p>
      <w:pPr>
        <w:pStyle w:val="PreformattedText"/>
        <w:rPr/>
      </w:pPr>
      <w:r>
        <w:rPr/>
        <w:t>(e) ( ) An Investment Adviser in accordance with $240.13d</w:t>
      </w:r>
    </w:p>
    <w:p>
      <w:pPr>
        <w:pStyle w:val="PreformattedText"/>
        <w:rPr/>
      </w:pPr>
      <w:r>
        <w:rPr/>
        <w:t xml:space="preserve">                </w:t>
      </w:r>
      <w:r>
        <w:rPr/>
        <w:t>-1(b)(I)(ii)(E);</w:t>
      </w:r>
    </w:p>
    <w:p>
      <w:pPr>
        <w:pStyle w:val="PreformattedText"/>
        <w:rPr/>
      </w:pPr>
      <w:r>
        <w:rPr/>
        <w:t>(f) ( ) An employee benefit plan or endowment fund in accordance with</w:t>
      </w:r>
    </w:p>
    <w:p>
      <w:pPr>
        <w:pStyle w:val="PreformattedText"/>
        <w:rPr/>
      </w:pPr>
      <w:r>
        <w:rPr/>
        <w:t>$240.13d-1(b)(I)(ii)(F);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4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(g) ( ) A parent holding company or control person in accordance with</w:t>
      </w:r>
    </w:p>
    <w:p>
      <w:pPr>
        <w:pStyle w:val="PreformattedText"/>
        <w:rPr/>
      </w:pPr>
      <w:r>
        <w:rPr/>
        <w:t>$240.13d-</w:t>
      </w:r>
    </w:p>
    <w:p>
      <w:pPr>
        <w:pStyle w:val="PreformattedText"/>
        <w:rPr/>
      </w:pPr>
      <w:r>
        <w:rPr/>
        <w:t xml:space="preserve">        </w:t>
      </w:r>
      <w:r>
        <w:rPr/>
        <w:t>1(b)(1)(ii)(G);</w:t>
      </w:r>
    </w:p>
    <w:p>
      <w:pPr>
        <w:pStyle w:val="PreformattedText"/>
        <w:rPr/>
      </w:pPr>
      <w:r>
        <w:rPr/>
        <w:t>(h) ( )         A savings association as defined in Section 3(b) of the Federal</w:t>
      </w:r>
    </w:p>
    <w:p>
      <w:pPr>
        <w:pStyle w:val="PreformattedText"/>
        <w:rPr/>
      </w:pPr>
      <w:r>
        <w:rPr/>
        <w:t>Deposit Insurance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Act;</w:t>
      </w:r>
    </w:p>
    <w:p>
      <w:pPr>
        <w:pStyle w:val="PreformattedText"/>
        <w:rPr/>
      </w:pPr>
      <w:r>
        <w:rPr/>
        <w:t>(i) ( )         A church plan that is excluded from the definition of an</w:t>
      </w:r>
    </w:p>
    <w:p>
      <w:pPr>
        <w:pStyle w:val="PreformattedText"/>
        <w:rPr/>
      </w:pPr>
      <w:r>
        <w:rPr/>
        <w:t>investment company under section 3(c)(14) of the Investment</w:t>
      </w:r>
    </w:p>
    <w:p>
      <w:pPr>
        <w:pStyle w:val="PreformattedText"/>
        <w:rPr/>
      </w:pPr>
      <w:r>
        <w:rPr/>
        <w:t>Company Act of 1940;</w:t>
      </w:r>
    </w:p>
    <w:p>
      <w:pPr>
        <w:pStyle w:val="PreformattedText"/>
        <w:rPr/>
      </w:pPr>
      <w:r>
        <w:rPr/>
        <w:t>(j) ( )         Group, in accordance with $240.13d-1(b)(1)(ii)(J).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4.       Ownership: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</w:t>
      </w:r>
      <w:r>
        <w:rPr/>
        <w:t>(a) Amount Beneficially Owned:  Messrs. Marxe and Greenhouse</w:t>
      </w:r>
    </w:p>
    <w:p>
      <w:pPr>
        <w:pStyle w:val="PreformattedText"/>
        <w:rPr/>
      </w:pPr>
      <w:r>
        <w:rPr/>
        <w:t>beneficially own a total of 698,259 shares of Common Stock.  This amount</w:t>
      </w:r>
    </w:p>
    <w:p>
      <w:pPr>
        <w:pStyle w:val="PreformattedText"/>
        <w:rPr/>
      </w:pPr>
      <w:r>
        <w:rPr/>
        <w:t>includes 123,318 shares of Common Stock owned by Cayman, 528,606 shares of</w:t>
      </w:r>
    </w:p>
    <w:p>
      <w:pPr>
        <w:pStyle w:val="PreformattedText"/>
        <w:rPr/>
      </w:pPr>
      <w:r>
        <w:rPr/>
        <w:t>Common Stock owned by SSFQP and 46,335 shares of Common Stock owned by SSF3.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(b) Percent of Class:  Messrs. Marxe and Greenhouse beneficially own</w:t>
      </w:r>
    </w:p>
    <w:p>
      <w:pPr>
        <w:pStyle w:val="PreformattedText"/>
        <w:rPr/>
      </w:pPr>
      <w:r>
        <w:rPr/>
        <w:t>5.4% of the shares outstanding. Cayman owns 1.0% of the outstanding shares,</w:t>
      </w:r>
    </w:p>
    <w:p>
      <w:pPr>
        <w:pStyle w:val="PreformattedText"/>
        <w:rPr/>
      </w:pPr>
      <w:r>
        <w:rPr/>
        <w:t>SSFQP 4.1% of the outstanding shares and SSF3 owns 0.4% of the outstanding</w:t>
      </w:r>
    </w:p>
    <w:p>
      <w:pPr>
        <w:pStyle w:val="PreformattedText"/>
        <w:rPr/>
      </w:pPr>
      <w:r>
        <w:rPr/>
        <w:t>shares.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(c) Number of Shares as to which the person has: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(i)     Sole power to vote or to direct the vote: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(ii)    Shared power to vote or to direct the vote:  698,259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</w:t>
      </w:r>
      <w:r>
        <w:rPr/>
        <w:t>(iii)   Sole power to dispose or to direct the disposition of:  0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(iv)    Shared power to dispose or to direct the disposition of:</w:t>
      </w:r>
    </w:p>
    <w:p>
      <w:pPr>
        <w:pStyle w:val="PreformattedText"/>
        <w:rPr/>
      </w:pPr>
      <w:r>
        <w:rPr/>
        <w:t>698,259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5. Ownership of Five Percent or Less of a Class:  If this statement is</w:t>
      </w:r>
    </w:p>
    <w:p>
      <w:pPr>
        <w:pStyle w:val="PreformattedText"/>
        <w:rPr/>
      </w:pPr>
      <w:r>
        <w:rPr/>
        <w:t>being filed to report the fact that as of the date hereof the reporting person</w:t>
      </w:r>
    </w:p>
    <w:p>
      <w:pPr>
        <w:pStyle w:val="PreformattedText"/>
        <w:rPr/>
      </w:pPr>
      <w:r>
        <w:rPr/>
        <w:t>has ceased to be the beneficial owner of more that five percent of the class</w:t>
      </w:r>
    </w:p>
    <w:p>
      <w:pPr>
        <w:pStyle w:val="PreformattedText"/>
        <w:rPr/>
      </w:pPr>
      <w:r>
        <w:rPr/>
        <w:t>of securities, check the following ___.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6.Ownership of More than Five Percent on Behalf of Another Person:  Not</w:t>
      </w:r>
    </w:p>
    <w:p>
      <w:pPr>
        <w:pStyle w:val="PreformattedText"/>
        <w:rPr/>
      </w:pPr>
      <w:r>
        <w:rPr/>
        <w:t>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7. Identification and Classification of the Subsidiary Which Acquired the</w:t>
      </w:r>
    </w:p>
    <w:p>
      <w:pPr>
        <w:pStyle w:val="PreformattedText"/>
        <w:rPr/>
      </w:pPr>
      <w:r>
        <w:rPr/>
        <w:t>Security being Reported on By the Parent Holding Company: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8. Identification and Classification of Members of the Group:  Not</w:t>
      </w:r>
    </w:p>
    <w:p>
      <w:pPr>
        <w:pStyle w:val="PreformattedText"/>
        <w:rPr/>
      </w:pPr>
      <w:r>
        <w:rPr/>
        <w:t>applicable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9. Notices of Dissolution of Group:  Not applicable.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</w:t>
      </w:r>
      <w:r>
        <w:rPr/>
        <w:t>Page 5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Item 10.Certification: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By signing below I certify that, to the best of my knowledge and belief,</w:t>
      </w:r>
    </w:p>
    <w:p>
      <w:pPr>
        <w:pStyle w:val="PreformattedText"/>
        <w:rPr/>
      </w:pPr>
      <w:r>
        <w:rPr/>
        <w:t>the securities</w:t>
      </w:r>
    </w:p>
    <w:p>
      <w:pPr>
        <w:pStyle w:val="PreformattedText"/>
        <w:rPr/>
      </w:pPr>
      <w:r>
        <w:rPr/>
        <w:t>referred to above were acquired and are held in the ordinary course of</w:t>
      </w:r>
    </w:p>
    <w:p>
      <w:pPr>
        <w:pStyle w:val="PreformattedText"/>
        <w:rPr/>
      </w:pPr>
      <w:r>
        <w:rPr/>
        <w:t>business and were not</w:t>
      </w:r>
    </w:p>
    <w:p>
      <w:pPr>
        <w:pStyle w:val="PreformattedText"/>
        <w:rPr/>
      </w:pPr>
      <w:r>
        <w:rPr/>
        <w:t>acquired and are not held for the purpose of or with the effect of changing or</w:t>
      </w:r>
    </w:p>
    <w:p>
      <w:pPr>
        <w:pStyle w:val="PreformattedText"/>
        <w:rPr/>
      </w:pPr>
      <w:r>
        <w:rPr/>
        <w:t>influencing the</w:t>
      </w:r>
    </w:p>
    <w:p>
      <w:pPr>
        <w:pStyle w:val="PreformattedText"/>
        <w:rPr/>
      </w:pPr>
      <w:r>
        <w:rPr/>
        <w:t>control of the issuer of the securities and were not acquired and are not held</w:t>
      </w:r>
    </w:p>
    <w:p>
      <w:pPr>
        <w:pStyle w:val="PreformattedText"/>
        <w:rPr/>
      </w:pPr>
      <w:r>
        <w:rPr/>
        <w:t>in connection with</w:t>
      </w:r>
    </w:p>
    <w:p>
      <w:pPr>
        <w:pStyle w:val="PreformattedText"/>
        <w:rPr/>
      </w:pPr>
      <w:r>
        <w:rPr/>
        <w:t>or as a participant in any transaction having that purpose or effect.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SIGNATURE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After reasonable inquiry and to the best of my knowledge and belief, I</w:t>
      </w:r>
    </w:p>
    <w:p>
      <w:pPr>
        <w:pStyle w:val="PreformattedText"/>
        <w:rPr/>
      </w:pPr>
      <w:r>
        <w:rPr/>
        <w:t>certify that the information set forth in this statement is true, complete and</w:t>
      </w:r>
    </w:p>
    <w:p>
      <w:pPr>
        <w:pStyle w:val="PreformattedText"/>
        <w:rPr/>
      </w:pPr>
      <w:r>
        <w:rPr/>
        <w:t>correct.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Dated: February 14, 2006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/s/ Austin W. Marxe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AUSTIN W. MARXE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/s/David M Greenhouse</w:t>
      </w:r>
    </w:p>
    <w:p>
      <w:pPr>
        <w:pStyle w:val="PreformattedText"/>
        <w:rPr/>
      </w:pPr>
      <w:r>
        <w:rPr/>
        <w:t xml:space="preserve">                                </w:t>
      </w:r>
      <w:r>
        <w:rPr/>
        <w:t>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Attention:  Intentional misstatements or omissions of fact constitute Federal</w:t>
      </w:r>
    </w:p>
    <w:p>
      <w:pPr>
        <w:pStyle w:val="PreformattedText"/>
        <w:rPr/>
      </w:pPr>
      <w:r>
        <w:rPr/>
        <w:t>criminal violations (See 18 U.S.C. 1001).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                                                                </w:t>
      </w:r>
      <w:r>
        <w:rPr/>
        <w:t>Page 6 of 6 Pages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JOINT FILING AGREEMENT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Austin W. Marxe and David M. Greenhouse hereby agree that the Schedule</w:t>
      </w:r>
    </w:p>
    <w:p>
      <w:pPr>
        <w:pStyle w:val="PreformattedText"/>
        <w:rPr/>
      </w:pPr>
      <w:r>
        <w:rPr/>
        <w:t>13G to which this agreement is attached is filed on behalf of each of them.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/s/_Austin W. Marxe</w:t>
      </w:r>
    </w:p>
    <w:p>
      <w:pPr>
        <w:pStyle w:val="PreformattedText"/>
        <w:rPr/>
      </w:pPr>
      <w:r>
        <w:rPr/>
        <w:t>Austin W. Marxe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 xml:space="preserve">        </w:t>
      </w:r>
      <w:r>
        <w:rPr/>
        <w:t>/s/_David M. Greenhouse</w:t>
      </w:r>
    </w:p>
    <w:p>
      <w:pPr>
        <w:pStyle w:val="PreformattedText"/>
        <w:rPr/>
      </w:pPr>
      <w:r>
        <w:rPr/>
        <w:t>David M. Greenhouse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- -6-</w:t>
      </w:r>
    </w:p>
    <w:p>
      <w:pPr>
        <w:pStyle w:val="PreformattedText"/>
        <w:rPr/>
      </w:pPr>
      <w:r>
        <w:rPr/>
      </w:r>
    </w:p>
    <w:p>
      <w:pPr>
        <w:pStyle w:val="PreformattedText"/>
        <w:rPr/>
      </w:pPr>
      <w:r>
        <w:rPr/>
        <w:t>S5313/1</w:t>
      </w:r>
    </w:p>
    <w:p>
      <w:pPr>
        <w:pStyle w:val="PreformattedText"/>
        <w:spacing w:before="0" w:after="283"/>
        <w:rPr/>
      </w:pPr>
      <w:r>
        <w:rPr/>
        <w:t>1319328.02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3</Pages>
  <Words>1327</Words>
  <CharactersWithSpaces>9257</CharactersWithSpaces>
  <Paragraphs>181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