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66040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44" w:lineRule="exact"/>
        <w:rPr>
          <w:sz w:val="24"/>
          <w:szCs w:val="24"/>
          <w:color w:val="auto"/>
        </w:rPr>
      </w:pPr>
    </w:p>
    <w:p>
      <w:pPr>
        <w:ind w:left="1760" w:hanging="571"/>
        <w:spacing w:after="0"/>
        <w:tabs>
          <w:tab w:leader="none" w:pos="176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18"/>
          <w:szCs w:val="18"/>
          <w:b w:val="1"/>
          <w:bCs w:val="1"/>
          <w:color w:val="auto"/>
        </w:rPr>
        <w:t>ANNUAL</w:t>
      </w:r>
      <w:r>
        <w:rPr>
          <w:rFonts w:ascii="Arial" w:cs="Arial" w:eastAsia="Arial" w:hAnsi="Arial"/>
          <w:sz w:val="35"/>
          <w:szCs w:val="35"/>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-334010</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2"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Fiscal Year Ended September 30, 2021 or</w:t>
      </w:r>
    </w:p>
    <w:p>
      <w:pPr>
        <w:spacing w:after="0" w:line="144" w:lineRule="exact"/>
        <w:rPr>
          <w:sz w:val="24"/>
          <w:szCs w:val="24"/>
          <w:color w:val="auto"/>
        </w:rPr>
      </w:pPr>
    </w:p>
    <w:p>
      <w:pPr>
        <w:ind w:left="1760" w:right="1420" w:hanging="571"/>
        <w:spacing w:after="0"/>
        <w:tabs>
          <w:tab w:leader="none" w:pos="176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103" w:lineRule="exact"/>
        <w:rPr>
          <w:sz w:val="24"/>
          <w:szCs w:val="24"/>
          <w:color w:val="auto"/>
        </w:rPr>
      </w:pPr>
    </w:p>
    <w:p>
      <w:pPr>
        <w:ind w:left="352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3875405</wp:posOffset>
            </wp:positionH>
            <wp:positionV relativeFrom="paragraph">
              <wp:posOffset>-5080</wp:posOffset>
            </wp:positionV>
            <wp:extent cx="1440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37465</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131445</wp:posOffset>
            </wp:positionV>
            <wp:extent cx="200596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72"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5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Delaware</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gridSpan w:val="2"/>
          </w:tcPr>
          <w:p>
            <w:pPr>
              <w:jc w:val="right"/>
              <w:ind w:right="212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79"/>
        </w:trPr>
        <w:tc>
          <w:tcPr>
            <w:tcW w:w="5600" w:type="dxa"/>
            <w:vAlign w:val="bottom"/>
            <w:gridSpan w:val="7"/>
            <w:vMerge w:val="restart"/>
          </w:tcPr>
          <w:p>
            <w:pPr>
              <w:jc w:val="center"/>
              <w:ind w:left="1448"/>
              <w:spacing w:after="0"/>
              <w:rPr>
                <w:sz w:val="20"/>
                <w:szCs w:val="20"/>
                <w:color w:val="auto"/>
              </w:rPr>
            </w:pPr>
            <w:r>
              <w:rPr>
                <w:rFonts w:ascii="Arial" w:cs="Arial" w:eastAsia="Arial" w:hAnsi="Arial"/>
                <w:sz w:val="14"/>
                <w:szCs w:val="14"/>
                <w:color w:val="auto"/>
              </w:rPr>
              <w:t>(State or other jurisdiction of incorporation or organization)</w:t>
            </w:r>
          </w:p>
        </w:tc>
        <w:tc>
          <w:tcPr>
            <w:tcW w:w="3640" w:type="dxa"/>
            <w:vAlign w:val="bottom"/>
            <w:gridSpan w:val="2"/>
          </w:tcPr>
          <w:p>
            <w:pPr>
              <w:jc w:val="center"/>
              <w:ind w:right="142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5600" w:type="dxa"/>
            <w:vAlign w:val="bottom"/>
            <w:gridSpan w:val="7"/>
            <w:vMerge w:val="continue"/>
          </w:tcPr>
          <w:p>
            <w:pPr>
              <w:spacing w:after="0"/>
              <w:rPr>
                <w:sz w:val="14"/>
                <w:szCs w:val="14"/>
                <w:color w:val="auto"/>
              </w:rPr>
            </w:pPr>
          </w:p>
        </w:tc>
        <w:tc>
          <w:tcPr>
            <w:tcW w:w="840" w:type="dxa"/>
            <w:vAlign w:val="bottom"/>
          </w:tcPr>
          <w:p>
            <w:pPr>
              <w:spacing w:after="0"/>
              <w:rPr>
                <w:sz w:val="14"/>
                <w:szCs w:val="14"/>
                <w:color w:val="auto"/>
              </w:rPr>
            </w:pPr>
          </w:p>
        </w:tc>
        <w:tc>
          <w:tcPr>
            <w:tcW w:w="2800" w:type="dxa"/>
            <w:vAlign w:val="bottom"/>
          </w:tcPr>
          <w:p>
            <w:pPr>
              <w:jc w:val="center"/>
              <w:ind w:right="228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2760" w:type="dxa"/>
            <w:vAlign w:val="bottom"/>
          </w:tcPr>
          <w:p>
            <w:pPr>
              <w:jc w:val="center"/>
              <w:ind w:left="1508"/>
              <w:spacing w:after="0"/>
              <w:rPr>
                <w:sz w:val="20"/>
                <w:szCs w:val="20"/>
                <w:color w:val="auto"/>
              </w:rPr>
            </w:pPr>
            <w:r>
              <w:rPr>
                <w:rFonts w:ascii="Arial" w:cs="Arial" w:eastAsia="Arial" w:hAnsi="Arial"/>
                <w:sz w:val="14"/>
                <w:szCs w:val="14"/>
                <w:b w:val="1"/>
                <w:bCs w:val="1"/>
                <w:color w:val="auto"/>
              </w:rPr>
              <w:t>2500 Bee Cave</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Bldg One Suite 200</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Rollingwood  TX</w:t>
            </w:r>
          </w:p>
        </w:tc>
        <w:tc>
          <w:tcPr>
            <w:tcW w:w="3640" w:type="dxa"/>
            <w:vAlign w:val="bottom"/>
            <w:gridSpan w:val="2"/>
            <w:vMerge w:val="restart"/>
          </w:tcPr>
          <w:p>
            <w:pPr>
              <w:jc w:val="right"/>
              <w:ind w:right="230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2760" w:type="dxa"/>
            <w:vAlign w:val="bottom"/>
          </w:tcPr>
          <w:p>
            <w:pPr>
              <w:jc w:val="center"/>
              <w:ind w:left="1488"/>
              <w:spacing w:after="0"/>
              <w:rPr>
                <w:sz w:val="20"/>
                <w:szCs w:val="20"/>
                <w:color w:val="auto"/>
              </w:rPr>
            </w:pPr>
            <w:r>
              <w:rPr>
                <w:rFonts w:ascii="Arial" w:cs="Arial" w:eastAsia="Arial" w:hAnsi="Arial"/>
                <w:sz w:val="14"/>
                <w:szCs w:val="14"/>
                <w:b w:val="1"/>
                <w:bCs w:val="1"/>
                <w:color w:val="auto"/>
              </w:rPr>
              <w:t>Road</w:t>
            </w:r>
          </w:p>
        </w:tc>
        <w:tc>
          <w:tcPr>
            <w:tcW w:w="150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00" w:type="dxa"/>
            <w:vAlign w:val="bottom"/>
            <w:gridSpan w:val="7"/>
          </w:tcPr>
          <w:p>
            <w:pPr>
              <w:jc w:val="center"/>
              <w:ind w:left="1468"/>
              <w:spacing w:after="0"/>
              <w:rPr>
                <w:sz w:val="20"/>
                <w:szCs w:val="20"/>
                <w:color w:val="auto"/>
              </w:rPr>
            </w:pPr>
            <w:r>
              <w:rPr>
                <w:rFonts w:ascii="Arial" w:cs="Arial" w:eastAsia="Arial" w:hAnsi="Arial"/>
                <w:sz w:val="14"/>
                <w:szCs w:val="14"/>
                <w:color w:val="auto"/>
              </w:rPr>
              <w:t>(Address of principal executive offices)</w:t>
            </w:r>
          </w:p>
        </w:tc>
        <w:tc>
          <w:tcPr>
            <w:tcW w:w="3640" w:type="dxa"/>
            <w:vAlign w:val="bottom"/>
            <w:gridSpan w:val="2"/>
          </w:tcPr>
          <w:p>
            <w:pPr>
              <w:jc w:val="center"/>
              <w:ind w:right="144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51"/>
        </w:trPr>
        <w:tc>
          <w:tcPr>
            <w:tcW w:w="9240" w:type="dxa"/>
            <w:vAlign w:val="bottom"/>
            <w:gridSpan w:val="9"/>
          </w:tcPr>
          <w:p>
            <w:pPr>
              <w:jc w:val="center"/>
              <w:spacing w:after="0"/>
              <w:rPr>
                <w:sz w:val="20"/>
                <w:szCs w:val="20"/>
                <w:color w:val="auto"/>
              </w:rPr>
            </w:pPr>
            <w:r>
              <w:rPr>
                <w:rFonts w:ascii="Arial" w:cs="Arial" w:eastAsia="Arial" w:hAnsi="Arial"/>
                <w:sz w:val="14"/>
                <w:szCs w:val="14"/>
                <w:color w:val="auto"/>
              </w:rPr>
              <w:t>Registrant’s telephone number, including area code: (512</w:t>
            </w:r>
            <w:r>
              <w:rPr>
                <w:rFonts w:ascii="Arial" w:cs="Arial" w:eastAsia="Arial" w:hAnsi="Arial"/>
                <w:sz w:val="14"/>
                <w:szCs w:val="14"/>
                <w:b w:val="1"/>
                <w:bCs w:val="1"/>
                <w:color w:val="auto"/>
              </w:rPr>
              <w:t>) 314-3400</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6"/>
        </w:trPr>
        <w:tc>
          <w:tcPr>
            <w:tcW w:w="2760" w:type="dxa"/>
            <w:vAlign w:val="bottom"/>
          </w:tcPr>
          <w:p>
            <w:pPr>
              <w:spacing w:after="0"/>
              <w:rPr>
                <w:sz w:val="24"/>
                <w:szCs w:val="24"/>
                <w:color w:val="auto"/>
              </w:rPr>
            </w:pPr>
          </w:p>
        </w:tc>
        <w:tc>
          <w:tcPr>
            <w:tcW w:w="6480" w:type="dxa"/>
            <w:vAlign w:val="bottom"/>
            <w:gridSpan w:val="8"/>
          </w:tcPr>
          <w:p>
            <w:pPr>
              <w:jc w:val="center"/>
              <w:ind w:right="2688"/>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03"/>
        </w:trPr>
        <w:tc>
          <w:tcPr>
            <w:tcW w:w="2760" w:type="dxa"/>
            <w:vAlign w:val="bottom"/>
          </w:tcPr>
          <w:p>
            <w:pPr>
              <w:ind w:left="1280"/>
              <w:spacing w:after="0"/>
              <w:rPr>
                <w:sz w:val="20"/>
                <w:szCs w:val="20"/>
                <w:color w:val="auto"/>
              </w:rPr>
            </w:pPr>
            <w:r>
              <w:rPr>
                <w:rFonts w:ascii="Arial" w:cs="Arial" w:eastAsia="Arial" w:hAnsi="Arial"/>
                <w:sz w:val="14"/>
                <w:szCs w:val="14"/>
                <w:b w:val="1"/>
                <w:bCs w:val="1"/>
                <w:color w:val="auto"/>
              </w:rPr>
              <w:t>Title of Each Class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Class A Non-voting Common Stock, $.01 par value per</w:t>
            </w:r>
          </w:p>
        </w:tc>
        <w:tc>
          <w:tcPr>
            <w:tcW w:w="1340" w:type="dxa"/>
            <w:vAlign w:val="bottom"/>
            <w:gridSpan w:val="3"/>
          </w:tcPr>
          <w:p>
            <w:pPr>
              <w:jc w:val="center"/>
              <w:ind w:right="600"/>
              <w:spacing w:after="0" w:line="142" w:lineRule="exact"/>
              <w:rPr>
                <w:sz w:val="20"/>
                <w:szCs w:val="20"/>
                <w:color w:val="auto"/>
              </w:rPr>
            </w:pPr>
            <w:r>
              <w:rPr>
                <w:rFonts w:ascii="Arial" w:cs="Arial" w:eastAsia="Arial" w:hAnsi="Arial"/>
                <w:sz w:val="14"/>
                <w:szCs w:val="14"/>
                <w:b w:val="1"/>
                <w:bCs w:val="1"/>
                <w:color w:val="auto"/>
              </w:rPr>
              <w:t>EZPW</w:t>
            </w:r>
          </w:p>
        </w:tc>
        <w:tc>
          <w:tcPr>
            <w:tcW w:w="3640" w:type="dxa"/>
            <w:vAlign w:val="bottom"/>
            <w:gridSpan w:val="2"/>
          </w:tcPr>
          <w:p>
            <w:pPr>
              <w:jc w:val="center"/>
              <w:ind w:right="108"/>
              <w:spacing w:after="0" w:line="142" w:lineRule="exact"/>
              <w:rPr>
                <w:sz w:val="20"/>
                <w:szCs w:val="20"/>
                <w:color w:val="auto"/>
              </w:rPr>
            </w:pPr>
            <w:r>
              <w:rPr>
                <w:rFonts w:ascii="Arial" w:cs="Arial" w:eastAsia="Arial" w:hAnsi="Arial"/>
                <w:sz w:val="14"/>
                <w:szCs w:val="14"/>
                <w:b w:val="1"/>
                <w:bCs w:val="1"/>
                <w:color w:val="auto"/>
              </w:rPr>
              <w:t>The NASDAQ Stock Market</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share</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7240"/>
        <w:spacing w:after="0"/>
        <w:rPr>
          <w:sz w:val="20"/>
          <w:szCs w:val="20"/>
          <w:color w:val="auto"/>
        </w:rPr>
      </w:pPr>
      <w:r>
        <w:rPr>
          <w:rFonts w:ascii="Arial" w:cs="Arial" w:eastAsia="Arial" w:hAnsi="Arial"/>
          <w:sz w:val="14"/>
          <w:szCs w:val="14"/>
          <w:b w:val="1"/>
          <w:bCs w:val="1"/>
          <w:color w:val="auto"/>
        </w:rPr>
        <w:t>(NASDAQ Global Select Market)</w:t>
      </w:r>
    </w:p>
    <w:p>
      <w:pPr>
        <w:spacing w:after="0" w:line="197" w:lineRule="exact"/>
        <w:rPr>
          <w:sz w:val="24"/>
          <w:szCs w:val="24"/>
          <w:color w:val="auto"/>
        </w:rPr>
      </w:pPr>
    </w:p>
    <w:p>
      <w:pPr>
        <w:ind w:right="2860"/>
        <w:spacing w:after="0" w:line="23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9" w:lineRule="exact"/>
        <w:rPr>
          <w:sz w:val="24"/>
          <w:szCs w:val="24"/>
          <w:color w:val="auto"/>
        </w:rPr>
      </w:pPr>
    </w:p>
    <w:p>
      <w:pPr>
        <w:ind w:right="50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w:t>
      </w:r>
    </w:p>
    <w:p>
      <w:pPr>
        <w:spacing w:after="0" w:line="238"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260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11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2600" w:type="dxa"/>
            <w:vAlign w:val="bottom"/>
          </w:tcPr>
          <w:p>
            <w:pPr>
              <w:ind w:left="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9" w:lineRule="exact"/>
        <w:rPr>
          <w:sz w:val="24"/>
          <w:szCs w:val="24"/>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ind w:right="3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jc w:val="both"/>
        <w:ind w:right="40"/>
        <w:spacing w:after="0" w:line="249"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$257 million, based on the closing price on the NASDAQ Stock Market on March 31, 2021.</w:t>
      </w:r>
    </w:p>
    <w:p>
      <w:pPr>
        <w:spacing w:after="0" w:line="66" w:lineRule="exact"/>
        <w:rPr>
          <w:sz w:val="24"/>
          <w:szCs w:val="24"/>
          <w:color w:val="auto"/>
        </w:rPr>
      </w:pPr>
    </w:p>
    <w:p>
      <w:pPr>
        <w:ind w:right="80"/>
        <w:spacing w:after="0" w:line="258" w:lineRule="auto"/>
        <w:rPr>
          <w:sz w:val="20"/>
          <w:szCs w:val="20"/>
          <w:color w:val="auto"/>
        </w:rPr>
      </w:pPr>
      <w:r>
        <w:rPr>
          <w:rFonts w:ascii="Arial" w:cs="Arial" w:eastAsia="Arial" w:hAnsi="Arial"/>
          <w:sz w:val="14"/>
          <w:szCs w:val="14"/>
          <w:color w:val="auto"/>
        </w:rPr>
        <w:t>As of November 12, 2021, 53,086,438 shares of the registrant’s Class A Non-Voting Common Stock, par value $.01 per share, and 2,970,171 shares of the registrant’s Class B Voting Common Stock, par value $.01 per share, were outstanding.</w:t>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80" w:type="dxa"/>
            <w:vAlign w:val="bottom"/>
            <w:gridSpan w:val="30"/>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44"/>
        </w:trPr>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w w:val="97"/>
              </w:rPr>
              <w:t>EZCORP, INC.</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20" w:type="dxa"/>
            <w:vAlign w:val="bottom"/>
            <w:gridSpan w:val="14"/>
          </w:tcPr>
          <w:p>
            <w:pPr>
              <w:jc w:val="center"/>
              <w:ind w:right="2580"/>
              <w:spacing w:after="0"/>
              <w:rPr>
                <w:sz w:val="20"/>
                <w:szCs w:val="20"/>
                <w:color w:val="auto"/>
              </w:rPr>
            </w:pPr>
            <w:r>
              <w:rPr>
                <w:rFonts w:ascii="Arial" w:cs="Arial" w:eastAsia="Arial" w:hAnsi="Arial"/>
                <w:sz w:val="18"/>
                <w:szCs w:val="18"/>
                <w:b w:val="1"/>
                <w:bCs w:val="1"/>
                <w:color w:val="auto"/>
                <w:w w:val="99"/>
              </w:rPr>
              <w:t>YEAR ENDED SEPTEMBER 30, 2021</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20" w:type="dxa"/>
            <w:vAlign w:val="bottom"/>
            <w:gridSpan w:val="14"/>
          </w:tcPr>
          <w:p>
            <w:pPr>
              <w:jc w:val="center"/>
              <w:ind w:right="2580"/>
              <w:spacing w:after="0"/>
              <w:rPr>
                <w:sz w:val="20"/>
                <w:szCs w:val="20"/>
                <w:color w:val="auto"/>
              </w:rPr>
            </w:pPr>
            <w:r>
              <w:rPr>
                <w:rFonts w:ascii="Arial" w:cs="Arial" w:eastAsia="Arial" w:hAnsi="Arial"/>
                <w:sz w:val="18"/>
                <w:szCs w:val="18"/>
                <w:b w:val="1"/>
                <w:bCs w:val="1"/>
                <w:color w:val="auto"/>
                <w:w w:val="99"/>
              </w:rPr>
              <w:t>INDEX TO FORM 10-K</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9840" w:type="dxa"/>
            <w:vAlign w:val="bottom"/>
            <w:gridSpan w:val="29"/>
          </w:tcPr>
          <w:p>
            <w:pPr>
              <w:spacing w:after="0"/>
              <w:rPr>
                <w:sz w:val="20"/>
                <w:szCs w:val="20"/>
                <w:color w:val="auto"/>
              </w:rPr>
            </w:pPr>
            <w:r>
              <w:rPr>
                <w:rFonts w:ascii="Arial" w:cs="Arial" w:eastAsia="Arial" w:hAnsi="Arial"/>
                <w:sz w:val="18"/>
                <w:szCs w:val="18"/>
                <w:color w:val="auto"/>
              </w:rPr>
              <w:t>Item</w:t>
            </w:r>
          </w:p>
        </w:tc>
        <w:tc>
          <w:tcPr>
            <w:tcW w:w="1360" w:type="dxa"/>
            <w:vAlign w:val="bottom"/>
            <w:gridSpan w:val="7"/>
          </w:tcPr>
          <w:p>
            <w:pPr>
              <w:jc w:val="right"/>
              <w:ind w:right="180"/>
              <w:spacing w:after="0"/>
              <w:rPr>
                <w:sz w:val="20"/>
                <w:szCs w:val="20"/>
                <w:color w:val="auto"/>
              </w:rPr>
            </w:pPr>
            <w:r>
              <w:rPr>
                <w:rFonts w:ascii="Arial" w:cs="Arial" w:eastAsia="Arial" w:hAnsi="Arial"/>
                <w:sz w:val="18"/>
                <w:szCs w:val="18"/>
                <w:color w:val="auto"/>
              </w:rPr>
              <w:t>Page</w:t>
            </w:r>
          </w:p>
        </w:tc>
      </w:tr>
      <w:tr>
        <w:trPr>
          <w:trHeight w:val="189"/>
        </w:trPr>
        <w:tc>
          <w:tcPr>
            <w:tcW w:w="40" w:type="dxa"/>
            <w:vAlign w:val="bottom"/>
          </w:tcPr>
          <w:p>
            <w:pPr>
              <w:spacing w:after="0"/>
              <w:rPr>
                <w:sz w:val="16"/>
                <w:szCs w:val="16"/>
                <w:color w:val="auto"/>
              </w:rPr>
            </w:pPr>
          </w:p>
        </w:tc>
        <w:tc>
          <w:tcPr>
            <w:tcW w:w="9840" w:type="dxa"/>
            <w:vAlign w:val="bottom"/>
            <w:gridSpan w:val="29"/>
          </w:tcPr>
          <w:p>
            <w:pPr>
              <w:spacing w:after="0" w:line="189" w:lineRule="exact"/>
              <w:rPr>
                <w:sz w:val="20"/>
                <w:szCs w:val="20"/>
                <w:color w:val="auto"/>
              </w:rPr>
            </w:pPr>
            <w:r>
              <w:rPr>
                <w:rFonts w:ascii="Arial" w:cs="Arial" w:eastAsia="Arial" w:hAnsi="Arial"/>
                <w:sz w:val="18"/>
                <w:szCs w:val="18"/>
                <w:color w:val="auto"/>
              </w:rPr>
              <w:t>No.</w:t>
            </w:r>
          </w:p>
        </w:tc>
        <w:tc>
          <w:tcPr>
            <w:tcW w:w="1360" w:type="dxa"/>
            <w:vAlign w:val="bottom"/>
            <w:gridSpan w:val="7"/>
          </w:tcPr>
          <w:p>
            <w:pPr>
              <w:jc w:val="right"/>
              <w:ind w:right="260"/>
              <w:spacing w:after="0" w:line="189" w:lineRule="exact"/>
              <w:rPr>
                <w:sz w:val="20"/>
                <w:szCs w:val="20"/>
                <w:color w:val="auto"/>
              </w:rPr>
            </w:pPr>
            <w:r>
              <w:rPr>
                <w:rFonts w:ascii="Arial" w:cs="Arial" w:eastAsia="Arial" w:hAnsi="Arial"/>
                <w:sz w:val="18"/>
                <w:szCs w:val="18"/>
                <w:color w:val="auto"/>
              </w:rPr>
              <w:t>No.</w:t>
            </w:r>
          </w:p>
        </w:tc>
      </w:tr>
      <w:tr>
        <w:trPr>
          <w:trHeight w:val="210"/>
        </w:trPr>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gridSpan w:val="10"/>
          </w:tcPr>
          <w:p>
            <w:pPr>
              <w:jc w:val="center"/>
              <w:ind w:right="4360"/>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w:t>
              </w:r>
            </w:hyperlink>
          </w:p>
        </w:tc>
        <w:tc>
          <w:tcPr>
            <w:tcW w:w="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20" w:type="dxa"/>
            <w:vAlign w:val="bottom"/>
            <w:gridSpan w:val="2"/>
          </w:tcPr>
          <w:p>
            <w:pPr>
              <w:ind w:lef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4740" w:type="dxa"/>
            <w:vAlign w:val="bottom"/>
            <w:gridSpan w:val="18"/>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560" w:type="dxa"/>
            <w:vAlign w:val="bottom"/>
            <w:tcBorders>
              <w:top w:val="single" w:sz="8" w:color="0000FF"/>
            </w:tcBorders>
            <w:gridSpan w:val="2"/>
          </w:tcPr>
          <w:p>
            <w:pPr>
              <w:spacing w:after="0"/>
              <w:rPr>
                <w:sz w:val="18"/>
                <w:szCs w:val="18"/>
                <w:color w:val="auto"/>
              </w:rPr>
            </w:pPr>
          </w:p>
        </w:tc>
        <w:tc>
          <w:tcPr>
            <w:tcW w:w="4360" w:type="dxa"/>
            <w:vAlign w:val="bottom"/>
            <w:gridSpan w:val="8"/>
          </w:tcPr>
          <w:p>
            <w:pPr>
              <w:spacing w:after="0"/>
              <w:rPr>
                <w:sz w:val="18"/>
                <w:szCs w:val="18"/>
                <w:color w:val="auto"/>
              </w:rPr>
            </w:pPr>
          </w:p>
        </w:tc>
        <w:tc>
          <w:tcPr>
            <w:tcW w:w="1360" w:type="dxa"/>
            <w:vAlign w:val="bottom"/>
            <w:gridSpan w:val="7"/>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w w:val="98"/>
              </w:rPr>
            </w:pPr>
            <w:hyperlink w:anchor="page14">
              <w:r>
                <w:rPr>
                  <w:rFonts w:ascii="Arial" w:cs="Arial" w:eastAsia="Arial" w:hAnsi="Arial"/>
                  <w:sz w:val="18"/>
                  <w:szCs w:val="18"/>
                  <w:color w:val="0000FF"/>
                  <w:w w:val="98"/>
                </w:rPr>
                <w:t>1A. Risk Factors</w:t>
              </w:r>
            </w:hyperlink>
          </w:p>
        </w:tc>
        <w:tc>
          <w:tcPr>
            <w:tcW w:w="8520" w:type="dxa"/>
            <w:vAlign w:val="bottom"/>
            <w:gridSpan w:val="24"/>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14</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40" w:type="dxa"/>
            <w:vAlign w:val="bottom"/>
            <w:gridSpan w:val="2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1B. Unresolved Staff Comments</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rFonts w:ascii="Arial" w:cs="Arial" w:eastAsia="Arial" w:hAnsi="Arial"/>
                <w:sz w:val="18"/>
                <w:szCs w:val="18"/>
                <w:color w:val="0000FF"/>
              </w:rPr>
            </w:pPr>
            <w:hyperlink w:anchor="page20">
              <w:r>
                <w:rPr>
                  <w:rFonts w:ascii="Arial" w:cs="Arial" w:eastAsia="Arial" w:hAnsi="Arial"/>
                  <w:sz w:val="18"/>
                  <w:szCs w:val="18"/>
                  <w:color w:val="0000FF"/>
                </w:rPr>
                <w:t>2.</w:t>
              </w:r>
            </w:hyperlink>
          </w:p>
        </w:tc>
        <w:tc>
          <w:tcPr>
            <w:tcW w:w="9660" w:type="dxa"/>
            <w:vAlign w:val="bottom"/>
            <w:gridSpan w:val="28"/>
          </w:tcPr>
          <w:p>
            <w:pPr>
              <w:ind w:left="20"/>
              <w:spacing w:after="0"/>
              <w:rPr>
                <w:rFonts w:ascii="Arial" w:cs="Arial" w:eastAsia="Arial" w:hAnsi="Arial"/>
                <w:sz w:val="18"/>
                <w:szCs w:val="18"/>
                <w:color w:val="0000FF"/>
              </w:rPr>
            </w:pPr>
            <w:hyperlink w:anchor="page20">
              <w:r>
                <w:rPr>
                  <w:rFonts w:ascii="Arial" w:cs="Arial" w:eastAsia="Arial" w:hAnsi="Arial"/>
                  <w:sz w:val="18"/>
                  <w:szCs w:val="18"/>
                  <w:color w:val="0000FF"/>
                </w:rPr>
                <w:t>Properties</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gridSpan w:val="2"/>
          </w:tcPr>
          <w:p>
            <w:pPr>
              <w:ind w:left="40"/>
              <w:spacing w:after="0"/>
              <w:rPr>
                <w:rFonts w:ascii="Arial" w:cs="Arial" w:eastAsia="Arial" w:hAnsi="Arial"/>
                <w:sz w:val="18"/>
                <w:szCs w:val="18"/>
                <w:color w:val="0000FF"/>
              </w:rPr>
            </w:pPr>
            <w:hyperlink w:anchor="page21">
              <w:r>
                <w:rPr>
                  <w:rFonts w:ascii="Arial" w:cs="Arial" w:eastAsia="Arial" w:hAnsi="Arial"/>
                  <w:sz w:val="18"/>
                  <w:szCs w:val="18"/>
                  <w:color w:val="0000FF"/>
                </w:rPr>
                <w:t>3.</w:t>
              </w:r>
            </w:hyperlink>
          </w:p>
        </w:tc>
        <w:tc>
          <w:tcPr>
            <w:tcW w:w="9660" w:type="dxa"/>
            <w:vAlign w:val="bottom"/>
            <w:gridSpan w:val="28"/>
          </w:tcPr>
          <w:p>
            <w:pPr>
              <w:ind w:left="20"/>
              <w:spacing w:after="0"/>
              <w:rPr>
                <w:rFonts w:ascii="Arial" w:cs="Arial" w:eastAsia="Arial" w:hAnsi="Arial"/>
                <w:sz w:val="18"/>
                <w:szCs w:val="18"/>
                <w:color w:val="0000FF"/>
              </w:rPr>
            </w:pPr>
            <w:hyperlink w:anchor="page21">
              <w:r>
                <w:rPr>
                  <w:rFonts w:ascii="Arial" w:cs="Arial" w:eastAsia="Arial" w:hAnsi="Arial"/>
                  <w:sz w:val="18"/>
                  <w:szCs w:val="18"/>
                  <w:color w:val="0000FF"/>
                </w:rPr>
                <w:t>Legal Proceedings</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gridSpan w:val="2"/>
          </w:tcPr>
          <w:p>
            <w:pPr>
              <w:ind w:left="40"/>
              <w:spacing w:after="0"/>
              <w:rPr>
                <w:rFonts w:ascii="Arial" w:cs="Arial" w:eastAsia="Arial" w:hAnsi="Arial"/>
                <w:sz w:val="18"/>
                <w:szCs w:val="18"/>
                <w:color w:val="0033FF"/>
              </w:rPr>
            </w:pPr>
            <w:hyperlink w:anchor="page21">
              <w:r>
                <w:rPr>
                  <w:rFonts w:ascii="Arial" w:cs="Arial" w:eastAsia="Arial" w:hAnsi="Arial"/>
                  <w:sz w:val="18"/>
                  <w:szCs w:val="18"/>
                  <w:color w:val="0033FF"/>
                </w:rPr>
                <w:t>4.</w:t>
              </w:r>
            </w:hyperlink>
          </w:p>
        </w:tc>
        <w:tc>
          <w:tcPr>
            <w:tcW w:w="9660" w:type="dxa"/>
            <w:vAlign w:val="bottom"/>
            <w:gridSpan w:val="28"/>
          </w:tcPr>
          <w:p>
            <w:pPr>
              <w:ind w:left="20"/>
              <w:spacing w:after="0"/>
              <w:rPr>
                <w:rFonts w:ascii="Arial" w:cs="Arial" w:eastAsia="Arial" w:hAnsi="Arial"/>
                <w:sz w:val="18"/>
                <w:szCs w:val="18"/>
                <w:color w:val="0033FF"/>
              </w:rPr>
            </w:pPr>
            <w:hyperlink w:anchor="page21">
              <w:r>
                <w:rPr>
                  <w:rFonts w:ascii="Arial" w:cs="Arial" w:eastAsia="Arial" w:hAnsi="Arial"/>
                  <w:sz w:val="18"/>
                  <w:szCs w:val="18"/>
                  <w:color w:val="0033FF"/>
                </w:rPr>
                <w:t>Mine Safety Disclosures</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9"/>
        </w:trPr>
        <w:tc>
          <w:tcPr>
            <w:tcW w:w="40" w:type="dxa"/>
            <w:vAlign w:val="bottom"/>
          </w:tcPr>
          <w:p>
            <w:pPr>
              <w:spacing w:after="0"/>
              <w:rPr>
                <w:sz w:val="18"/>
                <w:szCs w:val="18"/>
                <w:color w:val="auto"/>
              </w:rPr>
            </w:pPr>
          </w:p>
        </w:tc>
        <w:tc>
          <w:tcPr>
            <w:tcW w:w="180" w:type="dxa"/>
            <w:vAlign w:val="bottom"/>
            <w:tcBorders>
              <w:top w:val="single" w:sz="8" w:color="0033FF"/>
            </w:tcBorders>
          </w:tcPr>
          <w:p>
            <w:pPr>
              <w:spacing w:after="0"/>
              <w:rPr>
                <w:sz w:val="18"/>
                <w:szCs w:val="18"/>
                <w:color w:val="auto"/>
              </w:rPr>
            </w:pPr>
          </w:p>
        </w:tc>
        <w:tc>
          <w:tcPr>
            <w:tcW w:w="100" w:type="dxa"/>
            <w:vAlign w:val="bottom"/>
            <w:tcBorders>
              <w:top w:val="single" w:sz="8" w:color="0033FF"/>
            </w:tcBorders>
          </w:tcPr>
          <w:p>
            <w:pPr>
              <w:spacing w:after="0"/>
              <w:rPr>
                <w:sz w:val="18"/>
                <w:szCs w:val="18"/>
                <w:color w:val="auto"/>
              </w:rPr>
            </w:pPr>
          </w:p>
        </w:tc>
        <w:tc>
          <w:tcPr>
            <w:tcW w:w="640" w:type="dxa"/>
            <w:vAlign w:val="bottom"/>
            <w:tcBorders>
              <w:top w:val="single" w:sz="8" w:color="0033FF"/>
            </w:tcBorders>
          </w:tcPr>
          <w:p>
            <w:pPr>
              <w:spacing w:after="0"/>
              <w:rPr>
                <w:sz w:val="18"/>
                <w:szCs w:val="18"/>
                <w:color w:val="auto"/>
              </w:rPr>
            </w:pPr>
          </w:p>
        </w:tc>
        <w:tc>
          <w:tcPr>
            <w:tcW w:w="100" w:type="dxa"/>
            <w:vAlign w:val="bottom"/>
            <w:tcBorders>
              <w:top w:val="single" w:sz="8" w:color="0033FF"/>
            </w:tcBorders>
          </w:tcPr>
          <w:p>
            <w:pPr>
              <w:spacing w:after="0"/>
              <w:rPr>
                <w:sz w:val="18"/>
                <w:szCs w:val="18"/>
                <w:color w:val="auto"/>
              </w:rPr>
            </w:pPr>
          </w:p>
        </w:tc>
        <w:tc>
          <w:tcPr>
            <w:tcW w:w="300" w:type="dxa"/>
            <w:vAlign w:val="bottom"/>
            <w:tcBorders>
              <w:top w:val="single" w:sz="8" w:color="0033FF"/>
            </w:tcBorders>
          </w:tcPr>
          <w:p>
            <w:pPr>
              <w:spacing w:after="0"/>
              <w:rPr>
                <w:sz w:val="18"/>
                <w:szCs w:val="18"/>
                <w:color w:val="auto"/>
              </w:rPr>
            </w:pPr>
          </w:p>
        </w:tc>
        <w:tc>
          <w:tcPr>
            <w:tcW w:w="40" w:type="dxa"/>
            <w:vAlign w:val="bottom"/>
            <w:tcBorders>
              <w:top w:val="single" w:sz="8" w:color="0033FF"/>
            </w:tcBorders>
          </w:tcPr>
          <w:p>
            <w:pPr>
              <w:spacing w:after="0"/>
              <w:rPr>
                <w:sz w:val="18"/>
                <w:szCs w:val="18"/>
                <w:color w:val="auto"/>
              </w:rPr>
            </w:pPr>
          </w:p>
        </w:tc>
        <w:tc>
          <w:tcPr>
            <w:tcW w:w="340" w:type="dxa"/>
            <w:vAlign w:val="bottom"/>
            <w:tcBorders>
              <w:top w:val="single" w:sz="8" w:color="0033FF"/>
            </w:tcBorders>
          </w:tcPr>
          <w:p>
            <w:pPr>
              <w:spacing w:after="0"/>
              <w:rPr>
                <w:sz w:val="18"/>
                <w:szCs w:val="18"/>
                <w:color w:val="auto"/>
              </w:rPr>
            </w:pPr>
          </w:p>
        </w:tc>
        <w:tc>
          <w:tcPr>
            <w:tcW w:w="20" w:type="dxa"/>
            <w:vAlign w:val="bottom"/>
            <w:tcBorders>
              <w:top w:val="single" w:sz="8" w:color="0033FF"/>
            </w:tcBorders>
          </w:tcPr>
          <w:p>
            <w:pPr>
              <w:spacing w:after="0"/>
              <w:rPr>
                <w:sz w:val="18"/>
                <w:szCs w:val="18"/>
                <w:color w:val="auto"/>
              </w:rPr>
            </w:pPr>
          </w:p>
        </w:tc>
        <w:tc>
          <w:tcPr>
            <w:tcW w:w="240" w:type="dxa"/>
            <w:vAlign w:val="bottom"/>
            <w:tcBorders>
              <w:top w:val="single" w:sz="8" w:color="0033FF"/>
            </w:tcBorders>
          </w:tcPr>
          <w:p>
            <w:pPr>
              <w:spacing w:after="0"/>
              <w:rPr>
                <w:sz w:val="18"/>
                <w:szCs w:val="18"/>
                <w:color w:val="auto"/>
              </w:rPr>
            </w:pPr>
          </w:p>
        </w:tc>
        <w:tc>
          <w:tcPr>
            <w:tcW w:w="160" w:type="dxa"/>
            <w:vAlign w:val="bottom"/>
            <w:tcBorders>
              <w:top w:val="single" w:sz="8" w:color="0033FF"/>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0000FF"/>
            </w:tcBorders>
            <w:gridSpan w:val="4"/>
          </w:tcPr>
          <w:p>
            <w:pPr>
              <w:jc w:val="center"/>
              <w:spacing w:after="0"/>
              <w:rPr>
                <w:rFonts w:ascii="Arial" w:cs="Arial" w:eastAsia="Arial" w:hAnsi="Arial"/>
                <w:sz w:val="18"/>
                <w:szCs w:val="18"/>
                <w:b w:val="1"/>
                <w:bCs w:val="1"/>
                <w:color w:val="0000FF"/>
                <w:w w:val="99"/>
              </w:rPr>
            </w:pPr>
            <w:hyperlink w:anchor="page21">
              <w:r>
                <w:rPr>
                  <w:rFonts w:ascii="Arial" w:cs="Arial" w:eastAsia="Arial" w:hAnsi="Arial"/>
                  <w:sz w:val="18"/>
                  <w:szCs w:val="18"/>
                  <w:b w:val="1"/>
                  <w:bCs w:val="1"/>
                  <w:color w:val="0000FF"/>
                  <w:w w:val="99"/>
                </w:rPr>
                <w:t>PART II</w:t>
              </w:r>
            </w:hyperlink>
          </w:p>
        </w:tc>
        <w:tc>
          <w:tcPr>
            <w:tcW w:w="432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20" w:type="dxa"/>
            <w:vAlign w:val="bottom"/>
            <w:gridSpan w:val="2"/>
          </w:tcPr>
          <w:p>
            <w:pPr>
              <w:ind w:left="40"/>
              <w:spacing w:after="0"/>
              <w:rPr>
                <w:rFonts w:ascii="Arial" w:cs="Arial" w:eastAsia="Arial" w:hAnsi="Arial"/>
                <w:sz w:val="18"/>
                <w:szCs w:val="18"/>
                <w:color w:val="0000FF"/>
              </w:rPr>
            </w:pPr>
            <w:hyperlink w:anchor="page22">
              <w:r>
                <w:rPr>
                  <w:rFonts w:ascii="Arial" w:cs="Arial" w:eastAsia="Arial" w:hAnsi="Arial"/>
                  <w:sz w:val="18"/>
                  <w:szCs w:val="18"/>
                  <w:color w:val="0000FF"/>
                </w:rPr>
                <w:t>5.</w:t>
              </w:r>
            </w:hyperlink>
          </w:p>
        </w:tc>
        <w:tc>
          <w:tcPr>
            <w:tcW w:w="9660" w:type="dxa"/>
            <w:vAlign w:val="bottom"/>
            <w:gridSpan w:val="28"/>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Equity, Related Stockholder Matters and Issuer Purchases of Equity Securities</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rFonts w:ascii="Arial" w:cs="Arial" w:eastAsia="Arial" w:hAnsi="Arial"/>
                <w:sz w:val="18"/>
                <w:szCs w:val="18"/>
                <w:color w:val="0000FF"/>
              </w:rPr>
            </w:pPr>
            <w:hyperlink w:anchor="page22">
              <w:r>
                <w:rPr>
                  <w:rFonts w:ascii="Arial" w:cs="Arial" w:eastAsia="Arial" w:hAnsi="Arial"/>
                  <w:sz w:val="18"/>
                  <w:szCs w:val="18"/>
                  <w:color w:val="0000FF"/>
                </w:rPr>
                <w:t>6.</w:t>
              </w:r>
            </w:hyperlink>
          </w:p>
        </w:tc>
        <w:tc>
          <w:tcPr>
            <w:tcW w:w="9660" w:type="dxa"/>
            <w:vAlign w:val="bottom"/>
            <w:gridSpan w:val="28"/>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[Reserved</w:t>
              </w:r>
            </w:hyperlink>
            <w:r>
              <w:rPr>
                <w:rFonts w:ascii="Arial" w:cs="Arial" w:eastAsia="Arial" w:hAnsi="Arial"/>
                <w:sz w:val="18"/>
                <w:szCs w:val="18"/>
                <w:color w:val="000000"/>
              </w:rPr>
              <w:t>]</w:t>
            </w:r>
          </w:p>
        </w:tc>
        <w:tc>
          <w:tcPr>
            <w:tcW w:w="1360" w:type="dxa"/>
            <w:vAlign w:val="bottom"/>
            <w:gridSpan w:val="7"/>
          </w:tcPr>
          <w:p>
            <w:pPr>
              <w:jc w:val="right"/>
              <w:ind w:right="4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gridSpan w:val="2"/>
          </w:tcPr>
          <w:p>
            <w:pPr>
              <w:ind w:left="40"/>
              <w:spacing w:after="0"/>
              <w:rPr>
                <w:rFonts w:ascii="Arial" w:cs="Arial" w:eastAsia="Arial" w:hAnsi="Arial"/>
                <w:sz w:val="18"/>
                <w:szCs w:val="18"/>
                <w:color w:val="0000FF"/>
              </w:rPr>
            </w:pPr>
            <w:hyperlink w:anchor="page23">
              <w:r>
                <w:rPr>
                  <w:rFonts w:ascii="Arial" w:cs="Arial" w:eastAsia="Arial" w:hAnsi="Arial"/>
                  <w:sz w:val="18"/>
                  <w:szCs w:val="18"/>
                  <w:color w:val="0000FF"/>
                </w:rPr>
                <w:t>7.</w:t>
              </w:r>
            </w:hyperlink>
          </w:p>
        </w:tc>
        <w:tc>
          <w:tcPr>
            <w:tcW w:w="9660" w:type="dxa"/>
            <w:vAlign w:val="bottom"/>
            <w:gridSpan w:val="28"/>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280" w:type="dxa"/>
            <w:vAlign w:val="bottom"/>
            <w:gridSpan w:val="2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7A. Quantitative and Qualitative Disclosures About Market Risk</w:t>
              </w:r>
            </w:hyperlink>
          </w:p>
        </w:tc>
        <w:tc>
          <w:tcPr>
            <w:tcW w:w="2560" w:type="dxa"/>
            <w:vAlign w:val="bottom"/>
            <w:gridSpan w:val="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rFonts w:ascii="Arial" w:cs="Arial" w:eastAsia="Arial" w:hAnsi="Arial"/>
                <w:sz w:val="18"/>
                <w:szCs w:val="18"/>
                <w:color w:val="0000FF"/>
              </w:rPr>
            </w:pPr>
            <w:hyperlink w:anchor="page35">
              <w:r>
                <w:rPr>
                  <w:rFonts w:ascii="Arial" w:cs="Arial" w:eastAsia="Arial" w:hAnsi="Arial"/>
                  <w:sz w:val="18"/>
                  <w:szCs w:val="18"/>
                  <w:color w:val="0000FF"/>
                </w:rPr>
                <w:t>8.</w:t>
              </w:r>
            </w:hyperlink>
          </w:p>
        </w:tc>
        <w:tc>
          <w:tcPr>
            <w:tcW w:w="9660" w:type="dxa"/>
            <w:vAlign w:val="bottom"/>
            <w:gridSpan w:val="28"/>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Financial Statements and Supplementary Data</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gridSpan w:val="2"/>
          </w:tcPr>
          <w:p>
            <w:pPr>
              <w:ind w:left="40"/>
              <w:spacing w:after="0"/>
              <w:rPr>
                <w:rFonts w:ascii="Arial" w:cs="Arial" w:eastAsia="Arial" w:hAnsi="Arial"/>
                <w:sz w:val="18"/>
                <w:szCs w:val="18"/>
                <w:color w:val="0000FF"/>
              </w:rPr>
            </w:pPr>
            <w:hyperlink w:anchor="page73">
              <w:r>
                <w:rPr>
                  <w:rFonts w:ascii="Arial" w:cs="Arial" w:eastAsia="Arial" w:hAnsi="Arial"/>
                  <w:sz w:val="18"/>
                  <w:szCs w:val="18"/>
                  <w:color w:val="0000FF"/>
                </w:rPr>
                <w:t>9.</w:t>
              </w:r>
            </w:hyperlink>
          </w:p>
        </w:tc>
        <w:tc>
          <w:tcPr>
            <w:tcW w:w="9660" w:type="dxa"/>
            <w:vAlign w:val="bottom"/>
            <w:gridSpan w:val="28"/>
          </w:tcPr>
          <w:p>
            <w:pPr>
              <w:ind w:left="20"/>
              <w:spacing w:after="0"/>
              <w:rPr>
                <w:rFonts w:ascii="Arial" w:cs="Arial" w:eastAsia="Arial" w:hAnsi="Arial"/>
                <w:sz w:val="18"/>
                <w:szCs w:val="18"/>
                <w:color w:val="0000FF"/>
              </w:rPr>
            </w:pPr>
            <w:hyperlink w:anchor="page73">
              <w:r>
                <w:rPr>
                  <w:rFonts w:ascii="Arial" w:cs="Arial" w:eastAsia="Arial" w:hAnsi="Arial"/>
                  <w:sz w:val="18"/>
                  <w:szCs w:val="18"/>
                  <w:color w:val="0000FF"/>
                </w:rPr>
                <w:t>Changes in and Disagreements with Accountants on Accounting and Financial Disclosure</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280" w:type="dxa"/>
            <w:vAlign w:val="bottom"/>
            <w:gridSpan w:val="26"/>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9A. Controls and Procedures</w:t>
              </w:r>
            </w:hyperlink>
          </w:p>
        </w:tc>
        <w:tc>
          <w:tcPr>
            <w:tcW w:w="2560" w:type="dxa"/>
            <w:vAlign w:val="bottom"/>
            <w:gridSpan w:val="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720" w:type="dxa"/>
            <w:vAlign w:val="bottom"/>
            <w:gridSpan w:val="8"/>
          </w:tcPr>
          <w:p>
            <w:pPr>
              <w:spacing w:after="0"/>
              <w:rPr>
                <w:rFonts w:ascii="Arial" w:cs="Arial" w:eastAsia="Arial" w:hAnsi="Arial"/>
                <w:sz w:val="18"/>
                <w:szCs w:val="18"/>
                <w:color w:val="0000FF"/>
                <w:w w:val="98"/>
              </w:rPr>
            </w:pPr>
            <w:hyperlink w:anchor="page76">
              <w:r>
                <w:rPr>
                  <w:rFonts w:ascii="Arial" w:cs="Arial" w:eastAsia="Arial" w:hAnsi="Arial"/>
                  <w:sz w:val="18"/>
                  <w:szCs w:val="18"/>
                  <w:color w:val="0000FF"/>
                  <w:w w:val="98"/>
                </w:rPr>
                <w:t>9B. Other Information</w:t>
              </w:r>
            </w:hyperlink>
          </w:p>
        </w:tc>
        <w:tc>
          <w:tcPr>
            <w:tcW w:w="560" w:type="dxa"/>
            <w:vAlign w:val="bottom"/>
            <w:gridSpan w:val="3"/>
          </w:tcPr>
          <w:p>
            <w:pPr>
              <w:spacing w:after="0"/>
              <w:rPr>
                <w:sz w:val="18"/>
                <w:szCs w:val="18"/>
                <w:color w:val="auto"/>
              </w:rPr>
            </w:pPr>
          </w:p>
        </w:tc>
        <w:tc>
          <w:tcPr>
            <w:tcW w:w="7560" w:type="dxa"/>
            <w:vAlign w:val="bottom"/>
            <w:gridSpan w:val="18"/>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40" w:type="dxa"/>
            <w:vAlign w:val="bottom"/>
            <w:gridSpan w:val="29"/>
          </w:tcPr>
          <w:p>
            <w:pPr>
              <w:spacing w:after="0"/>
              <w:rPr>
                <w:rFonts w:ascii="Arial" w:cs="Arial" w:eastAsia="Arial" w:hAnsi="Arial"/>
                <w:sz w:val="18"/>
                <w:szCs w:val="18"/>
                <w:color w:val="0000FF"/>
              </w:rPr>
            </w:pPr>
            <w:r>
              <w:rPr>
                <w:rFonts w:ascii="Arial" w:cs="Arial" w:eastAsia="Arial" w:hAnsi="Arial"/>
                <w:sz w:val="18"/>
                <w:szCs w:val="18"/>
                <w:color w:val="0000FF"/>
              </w:rPr>
              <w:t xml:space="preserve">9C. </w:t>
            </w:r>
            <w:hyperlink w:anchor="page76">
              <w:r>
                <w:rPr>
                  <w:rFonts w:ascii="Arial" w:cs="Arial" w:eastAsia="Arial" w:hAnsi="Arial"/>
                  <w:sz w:val="18"/>
                  <w:szCs w:val="18"/>
                  <w:color w:val="0000FF"/>
                </w:rPr>
                <w:t>Disclosure Regarding Foreign Jurisdictions that Prevent Inspections</w:t>
              </w:r>
            </w:hyperlink>
          </w:p>
        </w:tc>
        <w:tc>
          <w:tcPr>
            <w:tcW w:w="1360" w:type="dxa"/>
            <w:vAlign w:val="bottom"/>
            <w:gridSpan w:val="7"/>
          </w:tcPr>
          <w:p>
            <w:pPr>
              <w:jc w:val="right"/>
              <w:ind w:right="4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9"/>
        </w:trPr>
        <w:tc>
          <w:tcPr>
            <w:tcW w:w="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80" w:type="dxa"/>
            <w:vAlign w:val="bottom"/>
            <w:tcBorders>
              <w:top w:val="single" w:sz="8" w:color="0000FF"/>
              <w:bottom w:val="single" w:sz="8" w:color="0000FF"/>
            </w:tcBorders>
            <w:gridSpan w:val="6"/>
          </w:tcPr>
          <w:p>
            <w:pPr>
              <w:jc w:val="center"/>
              <w:spacing w:after="0"/>
              <w:rPr>
                <w:rFonts w:ascii="Arial" w:cs="Arial" w:eastAsia="Arial" w:hAnsi="Arial"/>
                <w:sz w:val="18"/>
                <w:szCs w:val="18"/>
                <w:b w:val="1"/>
                <w:bCs w:val="1"/>
                <w:color w:val="0000FF"/>
                <w:w w:val="98"/>
              </w:rPr>
            </w:pPr>
            <w:hyperlink w:anchor="page76">
              <w:r>
                <w:rPr>
                  <w:rFonts w:ascii="Arial" w:cs="Arial" w:eastAsia="Arial" w:hAnsi="Arial"/>
                  <w:sz w:val="18"/>
                  <w:szCs w:val="18"/>
                  <w:b w:val="1"/>
                  <w:bCs w:val="1"/>
                  <w:color w:val="0000FF"/>
                  <w:w w:val="98"/>
                </w:rPr>
                <w:t>PART III</w:t>
              </w:r>
            </w:hyperlink>
          </w:p>
        </w:tc>
        <w:tc>
          <w:tcPr>
            <w:tcW w:w="180" w:type="dxa"/>
            <w:vAlign w:val="bottom"/>
            <w:tcBorders>
              <w:top w:val="single" w:sz="8" w:color="0000FF"/>
            </w:tcBorders>
          </w:tcPr>
          <w:p>
            <w:pPr>
              <w:spacing w:after="0"/>
              <w:rPr>
                <w:sz w:val="18"/>
                <w:szCs w:val="18"/>
                <w:color w:val="auto"/>
              </w:rPr>
            </w:pPr>
          </w:p>
        </w:tc>
        <w:tc>
          <w:tcPr>
            <w:tcW w:w="4120" w:type="dxa"/>
            <w:vAlign w:val="bottom"/>
            <w:gridSpan w:val="5"/>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800" w:type="dxa"/>
            <w:vAlign w:val="bottom"/>
            <w:gridSpan w:val="16"/>
          </w:tcPr>
          <w:p>
            <w:pPr>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10. Directors, Executive Officers and Corporate Governance</w:t>
              </w:r>
            </w:hyperlink>
          </w:p>
        </w:tc>
        <w:tc>
          <w:tcPr>
            <w:tcW w:w="5040" w:type="dxa"/>
            <w:vAlign w:val="bottom"/>
            <w:gridSpan w:val="1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800" w:type="dxa"/>
            <w:vAlign w:val="bottom"/>
            <w:gridSpan w:val="1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11. Executive Compensation</w:t>
              </w:r>
            </w:hyperlink>
          </w:p>
        </w:tc>
        <w:tc>
          <w:tcPr>
            <w:tcW w:w="5040" w:type="dxa"/>
            <w:vAlign w:val="bottom"/>
            <w:gridSpan w:val="13"/>
          </w:tcPr>
          <w:p>
            <w:pPr>
              <w:spacing w:after="0"/>
              <w:rPr>
                <w:sz w:val="18"/>
                <w:szCs w:val="18"/>
                <w:color w:val="auto"/>
              </w:rPr>
            </w:pPr>
          </w:p>
        </w:tc>
        <w:tc>
          <w:tcPr>
            <w:tcW w:w="112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320" w:type="dxa"/>
            <w:vAlign w:val="bottom"/>
            <w:gridSpan w:val="27"/>
          </w:tcPr>
          <w:p>
            <w:pPr>
              <w:spacing w:after="0"/>
              <w:rPr>
                <w:rFonts w:ascii="Arial" w:cs="Arial" w:eastAsia="Arial" w:hAnsi="Arial"/>
                <w:sz w:val="18"/>
                <w:szCs w:val="18"/>
                <w:color w:val="0000FF"/>
                <w:w w:val="99"/>
              </w:rPr>
            </w:pPr>
            <w:hyperlink w:anchor="page100">
              <w:r>
                <w:rPr>
                  <w:rFonts w:ascii="Arial" w:cs="Arial" w:eastAsia="Arial" w:hAnsi="Arial"/>
                  <w:sz w:val="18"/>
                  <w:szCs w:val="18"/>
                  <w:color w:val="0000FF"/>
                  <w:w w:val="99"/>
                </w:rPr>
                <w:t>12. Security Ownership of Certain Beneficial Owners and Management and Related Stockholder Matters</w:t>
              </w:r>
            </w:hyperlink>
          </w:p>
        </w:tc>
        <w:tc>
          <w:tcPr>
            <w:tcW w:w="15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rFonts w:ascii="Arial" w:cs="Arial" w:eastAsia="Arial" w:hAnsi="Arial"/>
                <w:sz w:val="18"/>
                <w:szCs w:val="18"/>
                <w:color w:val="0000FF"/>
                <w:w w:val="93"/>
              </w:rPr>
            </w:pPr>
            <w:hyperlink w:anchor="page100">
              <w:r>
                <w:rPr>
                  <w:rFonts w:ascii="Arial" w:cs="Arial" w:eastAsia="Arial" w:hAnsi="Arial"/>
                  <w:sz w:val="18"/>
                  <w:szCs w:val="18"/>
                  <w:color w:val="0000FF"/>
                  <w:w w:val="93"/>
                </w:rPr>
                <w:t>100</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380" w:type="dxa"/>
            <w:vAlign w:val="bottom"/>
            <w:gridSpan w:val="25"/>
          </w:tcPr>
          <w:p>
            <w:pPr>
              <w:spacing w:after="0"/>
              <w:rPr>
                <w:rFonts w:ascii="Arial" w:cs="Arial" w:eastAsia="Arial" w:hAnsi="Arial"/>
                <w:sz w:val="18"/>
                <w:szCs w:val="18"/>
                <w:color w:val="0000FF"/>
                <w:w w:val="99"/>
              </w:rPr>
            </w:pPr>
            <w:hyperlink w:anchor="page102">
              <w:r>
                <w:rPr>
                  <w:rFonts w:ascii="Arial" w:cs="Arial" w:eastAsia="Arial" w:hAnsi="Arial"/>
                  <w:sz w:val="18"/>
                  <w:szCs w:val="18"/>
                  <w:color w:val="0000FF"/>
                  <w:w w:val="99"/>
                </w:rPr>
                <w:t>13. Certain Relationships and Related Transactions, and Director Independence</w:t>
              </w:r>
            </w:hyperlink>
          </w:p>
        </w:tc>
        <w:tc>
          <w:tcPr>
            <w:tcW w:w="194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380" w:type="dxa"/>
            <w:vAlign w:val="bottom"/>
            <w:gridSpan w:val="25"/>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14. Principal Accountant Fees and Services</w:t>
              </w:r>
            </w:hyperlink>
          </w:p>
        </w:tc>
        <w:tc>
          <w:tcPr>
            <w:tcW w:w="3460" w:type="dxa"/>
            <w:vAlign w:val="bottom"/>
            <w:gridSpan w:val="4"/>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r>
      <w:tr>
        <w:trPr>
          <w:trHeight w:val="210"/>
        </w:trPr>
        <w:tc>
          <w:tcPr>
            <w:tcW w:w="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80" w:type="dxa"/>
            <w:vAlign w:val="bottom"/>
            <w:gridSpan w:val="12"/>
          </w:tcPr>
          <w:p>
            <w:pPr>
              <w:jc w:val="center"/>
              <w:ind w:right="4300"/>
              <w:spacing w:after="0"/>
              <w:rPr>
                <w:rFonts w:ascii="Arial" w:cs="Arial" w:eastAsia="Arial" w:hAnsi="Arial"/>
                <w:sz w:val="18"/>
                <w:szCs w:val="18"/>
                <w:b w:val="1"/>
                <w:bCs w:val="1"/>
                <w:color w:val="0000FF"/>
                <w:w w:val="95"/>
              </w:rPr>
            </w:pPr>
            <w:hyperlink w:anchor="page104">
              <w:r>
                <w:rPr>
                  <w:rFonts w:ascii="Arial" w:cs="Arial" w:eastAsia="Arial" w:hAnsi="Arial"/>
                  <w:sz w:val="18"/>
                  <w:szCs w:val="18"/>
                  <w:b w:val="1"/>
                  <w:bCs w:val="1"/>
                  <w:color w:val="0000FF"/>
                  <w:w w:val="95"/>
                </w:rPr>
                <w:t>PART IV</w:t>
              </w:r>
            </w:hyperlink>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820" w:type="dxa"/>
            <w:vAlign w:val="bottom"/>
            <w:gridSpan w:val="14"/>
          </w:tcPr>
          <w:p>
            <w:pPr>
              <w:spacing w:after="0"/>
              <w:rPr>
                <w:rFonts w:ascii="Arial" w:cs="Arial" w:eastAsia="Arial" w:hAnsi="Arial"/>
                <w:sz w:val="18"/>
                <w:szCs w:val="18"/>
                <w:color w:val="0000FF"/>
                <w:w w:val="99"/>
              </w:rPr>
            </w:pPr>
            <w:hyperlink w:anchor="page105">
              <w:r>
                <w:rPr>
                  <w:rFonts w:ascii="Arial" w:cs="Arial" w:eastAsia="Arial" w:hAnsi="Arial"/>
                  <w:sz w:val="18"/>
                  <w:szCs w:val="18"/>
                  <w:color w:val="0000FF"/>
                  <w:w w:val="99"/>
                </w:rPr>
                <w:t>15. Exhibits and Financial Statement Schedules</w:t>
              </w:r>
            </w:hyperlink>
          </w:p>
        </w:tc>
        <w:tc>
          <w:tcPr>
            <w:tcW w:w="1040" w:type="dxa"/>
            <w:vAlign w:val="bottom"/>
            <w:gridSpan w:val="3"/>
          </w:tcPr>
          <w:p>
            <w:pPr>
              <w:spacing w:after="0"/>
              <w:rPr>
                <w:sz w:val="18"/>
                <w:szCs w:val="18"/>
                <w:color w:val="auto"/>
              </w:rPr>
            </w:pPr>
          </w:p>
        </w:tc>
        <w:tc>
          <w:tcPr>
            <w:tcW w:w="680" w:type="dxa"/>
            <w:vAlign w:val="bottom"/>
            <w:tcBorders>
              <w:top w:val="single" w:sz="8" w:color="0000FF"/>
            </w:tcBorders>
            <w:gridSpan w:val="6"/>
          </w:tcPr>
          <w:p>
            <w:pPr>
              <w:spacing w:after="0"/>
              <w:rPr>
                <w:sz w:val="18"/>
                <w:szCs w:val="18"/>
                <w:color w:val="auto"/>
              </w:rPr>
            </w:pPr>
          </w:p>
        </w:tc>
        <w:tc>
          <w:tcPr>
            <w:tcW w:w="4300" w:type="dxa"/>
            <w:vAlign w:val="bottom"/>
            <w:gridSpan w:val="6"/>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104</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020" w:type="dxa"/>
            <w:vAlign w:val="bottom"/>
            <w:gridSpan w:val="1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820" w:type="dxa"/>
            <w:vAlign w:val="bottom"/>
            <w:gridSpan w:val="1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16. Form 10-K Summary</w:t>
              </w:r>
            </w:hyperlink>
          </w:p>
        </w:tc>
        <w:tc>
          <w:tcPr>
            <w:tcW w:w="6020" w:type="dxa"/>
            <w:vAlign w:val="bottom"/>
            <w:gridSpan w:val="15"/>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104</w:t>
              </w:r>
            </w:hyperlink>
          </w:p>
        </w:tc>
      </w:tr>
      <w:tr>
        <w:trPr>
          <w:trHeight w:val="20"/>
        </w:trPr>
        <w:tc>
          <w:tcPr>
            <w:tcW w:w="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7880" w:type="dxa"/>
            <w:vAlign w:val="bottom"/>
            <w:gridSpan w:val="2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960" w:type="dxa"/>
            <w:vAlign w:val="bottom"/>
            <w:gridSpan w:val="9"/>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Signatures</w:t>
              </w:r>
            </w:hyperlink>
          </w:p>
        </w:tc>
        <w:tc>
          <w:tcPr>
            <w:tcW w:w="7880" w:type="dxa"/>
            <w:vAlign w:val="bottom"/>
            <w:gridSpan w:val="20"/>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5"/>
          </w:tcPr>
          <w:p>
            <w:pPr>
              <w:jc w:val="right"/>
              <w:ind w:right="40"/>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106</w:t>
              </w:r>
            </w:hyperlink>
          </w:p>
        </w:tc>
      </w:tr>
      <w:tr>
        <w:trPr>
          <w:trHeight w:val="999"/>
        </w:trPr>
        <w:tc>
          <w:tcPr>
            <w:tcW w:w="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00497F"/>
        </w:rPr>
        <w:t>PART I</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Unless otherwise specified, references to the “Company,” “we,” “our,” “us” and “EZCORP” refer to EZCORP, Inc. and its consolidated subsidiaries, collectively. References to a “fiscal” year refer to our fiscal year ended September 30 of the specified year. For example, “fiscal 2021” refers to the fiscal year ended September 30, 2021. All currency amounts preceded with “$” are stated in U.S. dollars, except as otherwise indicated.</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 BUSINESS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 Vision and Strategy</w:t>
      </w:r>
    </w:p>
    <w:p>
      <w:pPr>
        <w:spacing w:after="0" w:line="18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EZCORP, Inc. is a leading provider of pawn services in the United States and Latin America with over 1,100 locations and approximately 6,500 Team Members. We are a Delaware corporation headquartered in Austin, Texas.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purpose statement:</w:t>
      </w:r>
    </w:p>
    <w:p>
      <w:pPr>
        <w:spacing w:after="0" w:line="149" w:lineRule="exact"/>
        <w:rPr>
          <w:sz w:val="20"/>
          <w:szCs w:val="20"/>
          <w:color w:val="auto"/>
        </w:rPr>
      </w:pPr>
    </w:p>
    <w:p>
      <w:pPr>
        <w:jc w:val="center"/>
        <w:ind w:left="380" w:right="100"/>
        <w:spacing w:after="0" w:line="268" w:lineRule="auto"/>
        <w:rPr>
          <w:sz w:val="20"/>
          <w:szCs w:val="20"/>
          <w:color w:val="auto"/>
        </w:rPr>
      </w:pPr>
      <w:r>
        <w:rPr>
          <w:rFonts w:ascii="Arial" w:cs="Arial" w:eastAsia="Arial" w:hAnsi="Arial"/>
          <w:sz w:val="18"/>
          <w:szCs w:val="18"/>
          <w:b w:val="1"/>
          <w:bCs w:val="1"/>
          <w:color w:val="auto"/>
        </w:rPr>
        <w:t>“We exist to serve our customers’ short-term cash needs, helping them to live and enjoy their lives. We are driven by a diverse team with a passion for pawn who are motivated to be their best — because our customers, families, stakeholders, and the communities and environment in which we live deserve 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purpose is supported by a customer-centric strategy that includes the following:</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fast, easy and simple access to cash;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Serving our customers in a friendly and respectful way;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Always being competitive and fair;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Passionately serving customer needs;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enduring relationships;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Recognizing and rewarding customer loyalty.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That strategy consists of three fundamental pillars:</w:t>
      </w:r>
    </w:p>
    <w:p>
      <w:pPr>
        <w:spacing w:after="0" w:line="9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Strengthen the Core </w:t>
      </w:r>
      <w:r>
        <w:rPr>
          <w:rFonts w:ascii="Arial" w:cs="Arial" w:eastAsia="Arial" w:hAnsi="Arial"/>
          <w:sz w:val="18"/>
          <w:szCs w:val="18"/>
          <w:color w:val="auto"/>
        </w:rPr>
        <w:t>— Relentless focus on superior execution and operational excellence in our core pawn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Cost Efficiency and Simplification </w:t>
      </w:r>
      <w:r>
        <w:rPr>
          <w:rFonts w:ascii="Arial" w:cs="Arial" w:eastAsia="Arial" w:hAnsi="Arial"/>
          <w:sz w:val="18"/>
          <w:szCs w:val="18"/>
          <w:color w:val="auto"/>
        </w:rPr>
        <w:t>— Shape a culture of cost efficiency through ongoing focus on simplification and optimization.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Innovate and Grow </w:t>
      </w:r>
      <w:r>
        <w:rPr>
          <w:rFonts w:ascii="Arial" w:cs="Arial" w:eastAsia="Arial" w:hAnsi="Arial"/>
          <w:sz w:val="18"/>
          <w:szCs w:val="18"/>
          <w:color w:val="auto"/>
        </w:rPr>
        <w:t>— Broaden customer engagement to service more customers more frequently in more locations.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And we rely on three foundational capabilities to execute our strategy and achieve our purpose:</w:t>
      </w:r>
    </w:p>
    <w:p>
      <w:pPr>
        <w:spacing w:after="0" w:line="9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Team Members </w:t>
      </w:r>
      <w:r>
        <w:rPr>
          <w:rFonts w:ascii="Arial" w:cs="Arial" w:eastAsia="Arial" w:hAnsi="Arial"/>
          <w:sz w:val="18"/>
          <w:szCs w:val="18"/>
          <w:color w:val="auto"/>
        </w:rPr>
        <w:t>— We enable diverse, engaged and tenured teams with a true passion for pawnbroking.</w:t>
      </w:r>
    </w:p>
    <w:p>
      <w:pPr>
        <w:spacing w:after="0" w:line="117" w:lineRule="exact"/>
        <w:rPr>
          <w:rFonts w:ascii="Arial" w:cs="Arial" w:eastAsia="Arial" w:hAnsi="Arial"/>
          <w:sz w:val="18"/>
          <w:szCs w:val="18"/>
          <w:color w:val="auto"/>
        </w:rPr>
      </w:pPr>
    </w:p>
    <w:p>
      <w:pPr>
        <w:ind w:left="660" w:right="6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IT &amp; Data Modernization </w:t>
      </w:r>
      <w:r>
        <w:rPr>
          <w:rFonts w:ascii="Arial" w:cs="Arial" w:eastAsia="Arial" w:hAnsi="Arial"/>
          <w:sz w:val="18"/>
          <w:szCs w:val="18"/>
          <w:color w:val="auto"/>
        </w:rPr>
        <w:t>— We modernize our IT and data assets to capitalize on growth opportunities and create greater value at</w:t>
      </w:r>
      <w:r>
        <w:rPr>
          <w:rFonts w:ascii="Arial" w:cs="Arial" w:eastAsia="Arial" w:hAnsi="Arial"/>
          <w:sz w:val="18"/>
          <w:szCs w:val="18"/>
          <w:b w:val="1"/>
          <w:bCs w:val="1"/>
          <w:color w:val="auto"/>
        </w:rPr>
        <w:t xml:space="preserve"> </w:t>
      </w:r>
      <w:r>
        <w:rPr>
          <w:rFonts w:ascii="Arial" w:cs="Arial" w:eastAsia="Arial" w:hAnsi="Arial"/>
          <w:sz w:val="18"/>
          <w:szCs w:val="18"/>
          <w:color w:val="auto"/>
        </w:rPr>
        <w:t>every customer interaction.</w:t>
      </w:r>
    </w:p>
    <w:p>
      <w:pPr>
        <w:spacing w:after="0" w:line="44" w:lineRule="exact"/>
        <w:rPr>
          <w:rFonts w:ascii="Arial" w:cs="Arial" w:eastAsia="Arial" w:hAnsi="Arial"/>
          <w:sz w:val="18"/>
          <w:szCs w:val="18"/>
          <w:color w:val="auto"/>
        </w:rPr>
      </w:pPr>
    </w:p>
    <w:p>
      <w:pPr>
        <w:ind w:left="660" w:right="22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Risk Management &amp; Building a Culture of Compliance </w:t>
      </w:r>
      <w:r>
        <w:rPr>
          <w:rFonts w:ascii="Arial" w:cs="Arial" w:eastAsia="Arial" w:hAnsi="Arial"/>
          <w:sz w:val="18"/>
          <w:szCs w:val="18"/>
          <w:color w:val="auto"/>
        </w:rPr>
        <w:t>— We are continually focused on improving foundational capabilities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operational, financial, regulatory, compliance, information security and reputational risk.</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we operated a total of 1,148 locations, consisting of:</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516 U.S. pawn stores (operating primarily as EZPAWN or Value Pawn &amp; Jewelry);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508 Mexico pawn stores (operating primarily as Empeño Fácil and Cash Apoyo Efectivo);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 pawn stores in Guatemala, El Salvador and Honduras (operating as GuatePrenda and MaxiEfectivo).</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At our pawn stores, we advance cash against the value of collateralized tangible personal property and sell merchandise to customers looking for good value. The merchandise we sell primarily consists of second-hand collateral forfeited from our pawn activities or merchandise purchased from customers. By store count, we are the second largest pawn store owner and operator in the U.S. and one of the largest in Latin America. We also offer web-based applications named Lana and EZ+ that allow customers to manage their pawn transactions, layaways and loyalty rewards online.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core pawn business in the U.S. and Latin America, we have made the following strategic investments:</w:t>
      </w:r>
    </w:p>
    <w:p>
      <w:pPr>
        <w:spacing w:after="0" w:line="171" w:lineRule="exact"/>
        <w:rPr>
          <w:sz w:val="20"/>
          <w:szCs w:val="20"/>
          <w:color w:val="auto"/>
        </w:rPr>
      </w:pPr>
    </w:p>
    <w:p>
      <w:pPr>
        <w:ind w:left="660" w:right="120" w:hanging="328"/>
        <w:spacing w:after="0" w:line="253"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own 37.72% of Cash Converters International Limited (“Cash Converters”), a publicly traded company (ASX: CCV) headquartered in Perth, Western Australia. Cash Converters and its controlled companies comprise a diverse group generating revenues from franchising, store operations, personal finance (including pawn transactions) and vehicle finance, controlling almost 700 stores across 15 countries. Our ownership of Cash Converters includes 13 million shares (representing a 2.05% ownership interest) that we acquired in October 2021.</w:t>
      </w:r>
    </w:p>
    <w:p>
      <w:pPr>
        <w:spacing w:after="0" w:line="151" w:lineRule="exact"/>
        <w:rPr>
          <w:rFonts w:ascii="Arial" w:cs="Arial" w:eastAsia="Arial" w:hAnsi="Arial"/>
          <w:sz w:val="18"/>
          <w:szCs w:val="18"/>
          <w:color w:val="auto"/>
        </w:rPr>
      </w:pPr>
    </w:p>
    <w:p>
      <w:pPr>
        <w:ind w:left="660" w:hanging="328"/>
        <w:spacing w:after="0" w:line="256"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own approximately 13% of Rich Data Corporation (“RDC”), a Singapore-based software-as-a-service company that utilizes global financial services expertise, advanced artificial intelligence and non-traditional data to deliver a next-generation credit scoring and decisioning platform.</w:t>
      </w:r>
    </w:p>
    <w:p>
      <w:pPr>
        <w:spacing w:after="0" w:line="147" w:lineRule="exact"/>
        <w:rPr>
          <w:rFonts w:ascii="Arial" w:cs="Arial" w:eastAsia="Arial" w:hAnsi="Arial"/>
          <w:sz w:val="18"/>
          <w:szCs w:val="18"/>
          <w:color w:val="auto"/>
        </w:rPr>
      </w:pPr>
    </w:p>
    <w:p>
      <w:pPr>
        <w:ind w:left="660" w:right="200" w:hanging="328"/>
        <w:spacing w:after="0" w:line="256"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2021, we invested $15 million for a preferred interest in a private company that has majority ownership in Simple Management Group, Inc. (“SMG”), which owns and operates more than 20 pawn stores principally in the Caribbean, with plans to build and acquire more stores in that region.</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generate revenues primarily from pawn services charges (“PSC”) on pawn loans outstanding (“PLO”), merchandise sales and jewelry scrapping. We remain focused on optimizing our balance of PLO and the resulting higher PSC. The following chart presents sources of net revenues, including PSC, merchandise sales gross profit ("Merchandise sales GP") and jewelry scrapping gross profit ("Jewelry scrapping GP") for fiscal 2021, fiscal 2020 and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61595</wp:posOffset>
            </wp:positionV>
            <wp:extent cx="5743575" cy="2785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sources of net revenues by geographic disbursement for fiscal 2021, fiscal 2020 and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74930</wp:posOffset>
            </wp:positionV>
            <wp:extent cx="5743575" cy="2785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and Geographic Information</w:t>
      </w:r>
    </w:p>
    <w:p>
      <w:pPr>
        <w:spacing w:after="0" w:line="18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We conduct our business globally and manage our business by geography. Our business is organized into the following reportable segments:</w:t>
      </w:r>
    </w:p>
    <w:p>
      <w:pPr>
        <w:spacing w:after="0" w:line="1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Pawn, which includes our EZPAWN, Value Pawn &amp; Jewelry and other branded pawn operations in the United States;</w:t>
      </w:r>
    </w:p>
    <w:p>
      <w:pPr>
        <w:spacing w:after="0" w:line="171"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Pawn, which includes our Empeño Fácil, Cash Apoyo Efectivo (“CAE”) and other branded pawn operations in Mexico, as well as our GuatePrenda and MaxiEfectivo pawn operations in Guatemala, El Salvador and Honduras (referred to as “GPMX”); and</w:t>
      </w:r>
    </w:p>
    <w:p>
      <w:pPr>
        <w:spacing w:after="0" w:line="147" w:lineRule="exact"/>
        <w:rPr>
          <w:rFonts w:ascii="Arial" w:cs="Arial" w:eastAsia="Arial" w:hAnsi="Arial"/>
          <w:sz w:val="18"/>
          <w:szCs w:val="18"/>
          <w:color w:val="auto"/>
        </w:rPr>
      </w:pPr>
    </w:p>
    <w:p>
      <w:pPr>
        <w:ind w:left="660" w:right="12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International, which includes the consumer finance activities in Canada that we closed in the fourth quarter of fiscal 2020 and our equity interests in Cash Converters, RDC and SMG.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store data by segment included in our continuing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3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U.S. Pawn</w:t>
            </w:r>
          </w:p>
        </w:tc>
        <w:tc>
          <w:tcPr>
            <w:tcW w:w="1400" w:type="dxa"/>
            <w:vAlign w:val="bottom"/>
          </w:tcPr>
          <w:p>
            <w:pPr>
              <w:jc w:val="right"/>
              <w:ind w:right="221"/>
              <w:spacing w:after="0" w:line="142" w:lineRule="exact"/>
              <w:rPr>
                <w:sz w:val="20"/>
                <w:szCs w:val="20"/>
                <w:color w:val="auto"/>
              </w:rPr>
            </w:pPr>
            <w:r>
              <w:rPr>
                <w:rFonts w:ascii="Arial" w:cs="Arial" w:eastAsia="Arial" w:hAnsi="Arial"/>
                <w:sz w:val="14"/>
                <w:szCs w:val="14"/>
                <w:b w:val="1"/>
                <w:bCs w:val="1"/>
                <w:color w:val="auto"/>
              </w:rPr>
              <w:t>Latin America</w:t>
            </w:r>
          </w:p>
        </w:tc>
        <w:tc>
          <w:tcPr>
            <w:tcW w:w="1340" w:type="dxa"/>
            <w:vAlign w:val="bottom"/>
          </w:tcPr>
          <w:p>
            <w:pPr>
              <w:jc w:val="right"/>
              <w:ind w:right="480"/>
              <w:spacing w:after="0" w:line="142" w:lineRule="exact"/>
              <w:rPr>
                <w:sz w:val="20"/>
                <w:szCs w:val="20"/>
                <w:color w:val="auto"/>
              </w:rPr>
            </w:pPr>
            <w:r>
              <w:rPr>
                <w:rFonts w:ascii="Arial" w:cs="Arial" w:eastAsia="Arial" w:hAnsi="Arial"/>
                <w:sz w:val="14"/>
                <w:szCs w:val="14"/>
                <w:b w:val="1"/>
                <w:bCs w:val="1"/>
                <w:color w:val="auto"/>
              </w:rPr>
              <w:t>Other</w:t>
            </w:r>
          </w:p>
        </w:tc>
        <w:tc>
          <w:tcPr>
            <w:tcW w:w="12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Pawn</w:t>
            </w: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International</w:t>
            </w: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2018</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508</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453</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13"/>
        </w:trPr>
        <w:tc>
          <w:tcPr>
            <w:tcW w:w="58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22</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14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September 30, 2019</w:t>
            </w: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512</w:t>
            </w: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480</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9"/>
        </w:trPr>
        <w:tc>
          <w:tcPr>
            <w:tcW w:w="58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23</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500</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0"/>
        </w:trPr>
        <w:tc>
          <w:tcPr>
            <w:tcW w:w="58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15</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128</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(11)</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September 30, 2021</w:t>
            </w:r>
          </w:p>
        </w:tc>
        <w:tc>
          <w:tcPr>
            <w:tcW w:w="1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516</w:t>
            </w: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632</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additional information about our segments and geographic areas, see Note 14: Segment Information of Notes to Consolidated Financial Statements included in “Part II, Item 8 — Financial Statements and Supplemental Data.”</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September 30, 2021, we had a closing PLO balance of $175.9 million. In fiscal 2021, PSC accounted for approximately 36% of our total revenues and 58% of our net revenues.</w:t>
      </w:r>
    </w:p>
    <w:p>
      <w:pPr>
        <w:spacing w:after="0" w:line="14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In the U.S., our PSC rates vary between 13% and 25% per month as permitted by applicable law, and the pawn term generally ranges between 30 and 90 days. Individual pawn transactions typically average between $130 and $150.</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Mexico, PSC rates vary between 15% and 21% per month as permitted by applicable law, and the pawn primary term is 30 days. Individual pawn transactions typically average between 1,100 and 1,300 Mexican pesos, or approximately $50 to $60 on average using the average exchange rate for fiscal 2021.</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GPMX, PSC rates vary between 12% and 18% per month as permitted by applicable law, and the pawn primary term is 30 days. Individual pawn transactions are made in the local currency of the country and typically average between $100 and $120 using the average exchange rates for fiscal 2021. The average transaction amounts tend to be higher in the GPMX countries than in Mexico due to the higher concentration of jewelry used as pawn collateral.</w:t>
      </w:r>
    </w:p>
    <w:p>
      <w:pPr>
        <w:spacing w:after="0" w:line="150"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If a customer chooses not to redeem, renew or extend their pawn, the pawn collateral is forfeited and becomes inventory available for sale. We do not record losses or charge-offs when the pawned collateral is forfeited because the amount advanced for the unpaid pawn becomes the inventory carrying cost of the forfeited collateral. The difference between the subsequent sale of the forfeited collateral and the amount of the pawn (offset by any inventory reserve) is reflected in merchandise sales gross margin.</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redemption rate represents the percentage of pawns made that are repaid, renewed or extended, including pawns that may be extended multiple times in a given time period. The following table presents our redemption rates by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Fiscal Year Ended September 30,</w:t>
            </w:r>
          </w:p>
        </w:tc>
        <w:tc>
          <w:tcPr>
            <w:tcW w:w="760" w:type="dxa"/>
            <w:vAlign w:val="bottom"/>
            <w:tcBorders>
              <w:bottom w:val="single" w:sz="8" w:color="auto"/>
            </w:tcBorders>
          </w:tcPr>
          <w:p>
            <w:pPr>
              <w:spacing w:after="0"/>
              <w:rPr>
                <w:sz w:val="16"/>
                <w:szCs w:val="16"/>
                <w:color w:val="auto"/>
              </w:rPr>
            </w:pPr>
          </w:p>
        </w:tc>
      </w:tr>
      <w:tr>
        <w:trPr>
          <w:trHeight w:val="183"/>
        </w:trPr>
        <w:tc>
          <w:tcPr>
            <w:tcW w:w="7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Redemption Rate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72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362"/>
              <w:spacing w:after="0"/>
              <w:rPr>
                <w:sz w:val="20"/>
                <w:szCs w:val="20"/>
                <w:color w:val="auto"/>
              </w:rPr>
            </w:pPr>
            <w:r>
              <w:rPr>
                <w:rFonts w:ascii="Arial" w:cs="Arial" w:eastAsia="Arial" w:hAnsi="Arial"/>
                <w:sz w:val="14"/>
                <w:szCs w:val="14"/>
                <w:b w:val="1"/>
                <w:bCs w:val="1"/>
                <w:color w:val="auto"/>
                <w:w w:val="96"/>
              </w:rPr>
              <w:t>2019</w:t>
            </w:r>
          </w:p>
        </w:tc>
      </w:tr>
      <w:tr>
        <w:trPr>
          <w:trHeight w:val="34"/>
        </w:trPr>
        <w:tc>
          <w:tcPr>
            <w:tcW w:w="7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Pawn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720" w:type="dxa"/>
            <w:vAlign w:val="bottom"/>
            <w:gridSpan w:val="3"/>
            <w:shd w:val="clear" w:color="auto" w:fill="CCEEFF"/>
          </w:tcPr>
          <w:p>
            <w:pPr>
              <w:jc w:val="center"/>
              <w:ind w:left="464"/>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93"/>
              </w:rPr>
              <w:t>84%</w:t>
            </w:r>
          </w:p>
        </w:tc>
      </w:tr>
      <w:tr>
        <w:trPr>
          <w:trHeight w:val="210"/>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Latin America Pawn</w:t>
            </w:r>
          </w:p>
        </w:tc>
        <w:tc>
          <w:tcPr>
            <w:tcW w:w="760" w:type="dxa"/>
            <w:vAlign w:val="bottom"/>
          </w:tcPr>
          <w:p>
            <w:pPr>
              <w:jc w:val="right"/>
              <w:spacing w:after="0"/>
              <w:rPr>
                <w:sz w:val="20"/>
                <w:szCs w:val="20"/>
                <w:color w:val="auto"/>
              </w:rPr>
            </w:pPr>
            <w:r>
              <w:rPr>
                <w:rFonts w:ascii="Arial" w:cs="Arial" w:eastAsia="Arial" w:hAnsi="Arial"/>
                <w:sz w:val="16"/>
                <w:szCs w:val="16"/>
                <w:color w:val="auto"/>
              </w:rPr>
              <w:t>80%</w:t>
            </w:r>
          </w:p>
        </w:tc>
        <w:tc>
          <w:tcPr>
            <w:tcW w:w="1720" w:type="dxa"/>
            <w:vAlign w:val="bottom"/>
            <w:gridSpan w:val="3"/>
          </w:tcPr>
          <w:p>
            <w:pPr>
              <w:jc w:val="center"/>
              <w:ind w:left="464"/>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362"/>
              <w:spacing w:after="0"/>
              <w:rPr>
                <w:sz w:val="20"/>
                <w:szCs w:val="20"/>
                <w:color w:val="auto"/>
              </w:rPr>
            </w:pPr>
            <w:r>
              <w:rPr>
                <w:rFonts w:ascii="Arial" w:cs="Arial" w:eastAsia="Arial" w:hAnsi="Arial"/>
                <w:sz w:val="16"/>
                <w:szCs w:val="16"/>
                <w:color w:val="auto"/>
                <w:w w:val="93"/>
              </w:rPr>
              <w:t>78%</w:t>
            </w:r>
          </w:p>
        </w:tc>
      </w:tr>
    </w:tbl>
    <w:p>
      <w:pPr>
        <w:spacing w:after="0" w:line="2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Customers in the U.S. and the majority of our Latin America stores may purchase a product protection plan that allows them to exchange certain general merchandise (non-jewelry) sold through our retail pawn operations within six months of purchase. We also offer a jewelry VIP package, which guarantees customers a minimum future pawn advance amount on the item sold, allows them full credit if they trade in the item to purchase a more expensive piece of jewelry and provides minor repair service on the item sold. Customers may also purchase an item on layaway by paying a minimum layaway deposit of typically 10% of the item’s sale price, in addition to an upfront fee. We hold items on layaway for a 90-to -180-day period, during which the customer is required to pay the balance of the sales price through a series of installment payments. If a payment is missed, we hold the item for up to 30 days, after which it is returned to active inventory for sale.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Operations and Risk Management</w:t>
      </w:r>
    </w:p>
    <w:p>
      <w:pPr>
        <w:spacing w:after="0" w:line="18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pawn operations are designed to provide the optimum level of support to the store teams, providing coaching, mentoring and problem solving to identify opportunities to better serve our customers and position us to be the leader in customer service and satisfaction.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risk management structure consists of asset protection, compliance and internal audit departments, which monitor the inventory system, lending practices, regulatory compliance and compliance with our policies and procedures. We perform full physical audits of inventory at each store at least annually, and more often in higher risk stores or those experiencing higher shrinkage. Inventory counts are completed daily for jewelry and firearms, and other inventory categories more susceptible to theft are cycle counted multiple times annually. We record shrink adjustments for known losses at the conclusion of each inventory count. These adjustments are recorded as estimates during interim periods and as discovered during cycle counts.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Survey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launched a Global Employee Engagement Survey in June 2021, and had a 82% participation rate with an overall engagement score of</w:t>
      </w:r>
    </w:p>
    <w:p>
      <w:pPr>
        <w:spacing w:after="0" w:line="9" w:lineRule="exact"/>
        <w:rPr>
          <w:sz w:val="20"/>
          <w:szCs w:val="20"/>
          <w:color w:val="auto"/>
        </w:rPr>
      </w:pPr>
    </w:p>
    <w:p>
      <w:pPr>
        <w:ind w:right="200" w:firstLine="8"/>
        <w:spacing w:after="0" w:line="261"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is seven points higher than the global benchmark, which contains data from over 750 companies across a variety of industries and company sizes and includes results from over 150 countries.</w:t>
      </w:r>
    </w:p>
    <w:p>
      <w:pPr>
        <w:spacing w:after="0" w:line="1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top focus areas included Recognition, Action Taking and Work-Life Balance. These items were emphasized throughout the COVID-19 pandemic and continue to be top of mind for our Team Members.</w:t>
      </w:r>
    </w:p>
    <w:p>
      <w:pPr>
        <w:spacing w:after="0" w:line="14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Team Members provided over 9,000 comments with mixed sentiment, 31% positive, 36% neutral and 33% negative. To ensure we address issues raised in the survey, our leadership team will have Engagement Objectives for fiscal 2022, guided by actions that will yield the greatest business and Team Member impact.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Management and Development</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employ approximately 6,500 Team Members across all of our geographies. We seek to hire and promote Team Members to lead the way today and to step into greater roles in the future. We achieve this goal through Training and Development programs that Team Members can use to plan their careers and identify future growth opportunities. We engage Team Members at all levels so we can understand their professional and personal goals, identify high potential future leaders to strengthen our internal bench, support them in their journey and retain our talent.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our pawn stores we provide: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onboarding program that blends online and hands-on training in the art and science of pawnbroking;</w:t>
      </w:r>
    </w:p>
    <w:p>
      <w:pPr>
        <w:spacing w:after="0" w:line="117"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Career path programs aligned with our talent and succession strategy, emphasizing career progression and individual development programs;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learning experience that unlocks and accelerates Team Member potential as well as business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in store-level Team Members produced tangible results during fiscal 2021:</w:t>
      </w:r>
    </w:p>
    <w:p>
      <w:pPr>
        <w:spacing w:after="0" w:line="117" w:lineRule="exact"/>
        <w:rPr>
          <w:sz w:val="20"/>
          <w:szCs w:val="20"/>
          <w:color w:val="auto"/>
        </w:rPr>
      </w:pPr>
    </w:p>
    <w:p>
      <w:pPr>
        <w:ind w:left="660" w:right="500" w:hanging="328"/>
        <w:spacing w:after="0" w:line="256"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Top scoring questions in our 2021 Global Employee Engagement Survey included “I know the career path(s) available to me at EZCORP” (with an 85% favorability rating) and “I have good opportunities to learn and develop at EZCORP” (with an 82% favorability rating).</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preponderance of our Lead Pawnbroker and managerial positions are filled via internal promotion.</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our Corporate Support Center, we launched a career and competency framework that guides the career paths of corporate Team Members and recommends training to prepare them for future roles.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 and Ethics</w:t>
      </w:r>
    </w:p>
    <w:p>
      <w:pPr>
        <w:spacing w:after="0" w:line="1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Culture is critical to our long-term success and to our ability to attract, develop and retain the top talent needed to accomplish our Purpose, Vision and Strategy. In fiscal 2021, as part of our cultural transformation, we adopted guiding principles that support our mission and are consistent with our values.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values — People, Pawn, Passion — define our priorities as a business, and our Guiding Principles — Leadership, Customer Service, Accountability, Respect, Diversity and Sustainability — characterize the expectations for how we interact with Team Members, customers and communities. In addition, our Code of Conduct serves as the foundation of our global policies and ethical business practices.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support our ethical business practices, we maintain an Ethics Hotline available to all Team Members and external stakeholders to report (anonymously if desired) any matter of concern. Communications to the hotline (which is managed by an independent third party) are routed to appropriate functions (whether Human Resources, Legal or Compliance), and in some cases directly to the Board of Directors, for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investigation and resolution. In addition, any shareholder or other interested party may send communications to the Board of Directors, either individually or as a group, through a process that is outlined in the Investor Relations section of our website.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EZCORP, we foster an environment that values diversity, inclusion and development for all. According to our 2021 Global Employee Engagement Survey, 80% of respondents feel a sense of belonging and 77% believe we foster an inclusive workplace. In fiscal 2021, we implemented a two-year Diversity and Inclusion Strategic Plan with four goals:</w:t>
      </w:r>
    </w:p>
    <w:p>
      <w:pPr>
        <w:spacing w:after="0" w:line="76" w:lineRule="exact"/>
        <w:rPr>
          <w:sz w:val="20"/>
          <w:szCs w:val="20"/>
          <w:color w:val="auto"/>
        </w:rPr>
      </w:pPr>
    </w:p>
    <w:p>
      <w:pPr>
        <w:ind w:left="660" w:right="46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Commitment and Accountability — </w:t>
      </w:r>
      <w:r>
        <w:rPr>
          <w:rFonts w:ascii="Arial" w:cs="Arial" w:eastAsia="Arial" w:hAnsi="Arial"/>
          <w:sz w:val="18"/>
          <w:szCs w:val="18"/>
          <w:color w:val="auto"/>
        </w:rPr>
        <w:t>Demonstrate commitment and accountability through corporate policy, communications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that advance the goals of the plan.</w:t>
      </w:r>
    </w:p>
    <w:p>
      <w:pPr>
        <w:spacing w:after="0" w:line="53" w:lineRule="exact"/>
        <w:rPr>
          <w:rFonts w:ascii="Arial" w:cs="Arial" w:eastAsia="Arial" w:hAnsi="Arial"/>
          <w:sz w:val="18"/>
          <w:szCs w:val="18"/>
          <w:color w:val="auto"/>
        </w:rPr>
      </w:pPr>
    </w:p>
    <w:p>
      <w:pPr>
        <w:ind w:left="660" w:right="48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Workplace Inclusion — </w:t>
      </w:r>
      <w:r>
        <w:rPr>
          <w:rFonts w:ascii="Arial" w:cs="Arial" w:eastAsia="Arial" w:hAnsi="Arial"/>
          <w:sz w:val="18"/>
          <w:szCs w:val="18"/>
          <w:color w:val="auto"/>
        </w:rPr>
        <w:t>Foster work environments that value diversity and inclusion and encourage collaboration, flexibility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fairness.</w:t>
      </w:r>
    </w:p>
    <w:p>
      <w:pPr>
        <w:spacing w:after="0" w:line="53" w:lineRule="exact"/>
        <w:rPr>
          <w:rFonts w:ascii="Arial" w:cs="Arial" w:eastAsia="Arial" w:hAnsi="Arial"/>
          <w:sz w:val="18"/>
          <w:szCs w:val="18"/>
          <w:color w:val="auto"/>
        </w:rPr>
      </w:pPr>
    </w:p>
    <w:p>
      <w:pPr>
        <w:ind w:left="660" w:right="78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Diverse Workforce — </w:t>
      </w:r>
      <w:r>
        <w:rPr>
          <w:rFonts w:ascii="Arial" w:cs="Arial" w:eastAsia="Arial" w:hAnsi="Arial"/>
          <w:sz w:val="18"/>
          <w:szCs w:val="18"/>
          <w:color w:val="auto"/>
        </w:rPr>
        <w:t>Recruit and promote from diverse, qualified candidate pools to increase diversity of perspectives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53" w:lineRule="exact"/>
        <w:rPr>
          <w:rFonts w:ascii="Arial" w:cs="Arial" w:eastAsia="Arial" w:hAnsi="Arial"/>
          <w:sz w:val="18"/>
          <w:szCs w:val="18"/>
          <w:color w:val="auto"/>
        </w:rPr>
      </w:pPr>
    </w:p>
    <w:p>
      <w:pPr>
        <w:ind w:left="660" w:right="120" w:hanging="328"/>
        <w:spacing w:after="0" w:line="28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Sustainability — </w:t>
      </w:r>
      <w:r>
        <w:rPr>
          <w:rFonts w:ascii="Arial" w:cs="Arial" w:eastAsia="Arial" w:hAnsi="Arial"/>
          <w:sz w:val="18"/>
          <w:szCs w:val="18"/>
          <w:color w:val="auto"/>
        </w:rPr>
        <w:t>Identify and eliminate systemic barriers by embedding diversity and inclusion in all human capital life cycle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-184785</wp:posOffset>
            </wp:positionV>
            <wp:extent cx="3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Fiscal 2021 U.S. Race and Ethnicity Demographics </w:t>
      </w:r>
      <w:r>
        <w:rPr>
          <w:rFonts w:ascii="Arial" w:cs="Arial" w:eastAsia="Arial" w:hAnsi="Arial"/>
          <w:sz w:val="23"/>
          <w:szCs w:val="23"/>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-22860</wp:posOffset>
            </wp:positionV>
            <wp:extent cx="5657850" cy="213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Fiscal 2021 Global Gender Demographics </w:t>
      </w:r>
      <w:r>
        <w:rPr>
          <w:rFonts w:ascii="Arial" w:cs="Arial" w:eastAsia="Arial" w:hAnsi="Arial"/>
          <w:sz w:val="23"/>
          <w:szCs w:val="23"/>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79375</wp:posOffset>
            </wp:positionV>
            <wp:extent cx="5657850" cy="213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right="160" w:hanging="332"/>
        <w:spacing w:after="0" w:line="239" w:lineRule="auto"/>
        <w:tabs>
          <w:tab w:leader="none" w:pos="349"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term underrepresented minority is used to describe diverse populations, including African American, Hispanic, Asian and Native American Team Members who self-identified their race and ethnicity at hire.</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0000FF"/>
        </w:rPr>
      </w:pPr>
      <w:r>
        <w:rPr>
          <w:rFonts w:ascii="Arial" w:cs="Arial" w:eastAsia="Arial" w:hAnsi="Arial"/>
          <w:sz w:val="14"/>
          <w:szCs w:val="14"/>
          <w:color w:val="auto"/>
        </w:rPr>
        <w:t>The term Management is used to describe Team Members with one or more direct reports.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compensation programs are designed to align the compensation of Team Members with individual and Company performance and to provide the proper incentives to attract, retain and motivate Team Members to achieve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structure of our compensation programs balances incentive earnings for both short-term and long-term performance. Specifically:</w:t>
      </w:r>
    </w:p>
    <w:p>
      <w:pPr>
        <w:spacing w:after="0" w:line="117" w:lineRule="exact"/>
        <w:rPr>
          <w:sz w:val="20"/>
          <w:szCs w:val="20"/>
          <w:color w:val="auto"/>
        </w:rPr>
      </w:pPr>
    </w:p>
    <w:p>
      <w:pPr>
        <w:ind w:left="660" w:right="320" w:hanging="328"/>
        <w:spacing w:after="0" w:line="261"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provide wages and incentive plans that are competitive and consistent with positions, skill levels, experience, knowledge and geographic location.</w:t>
      </w:r>
    </w:p>
    <w:p>
      <w:pPr>
        <w:spacing w:after="0" w:line="89" w:lineRule="exact"/>
        <w:rPr>
          <w:rFonts w:ascii="Arial" w:cs="Arial" w:eastAsia="Arial" w:hAnsi="Arial"/>
          <w:sz w:val="18"/>
          <w:szCs w:val="18"/>
          <w:color w:val="auto"/>
        </w:rPr>
      </w:pPr>
    </w:p>
    <w:p>
      <w:pPr>
        <w:ind w:left="660" w:right="60" w:hanging="328"/>
        <w:spacing w:after="0" w:line="254"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engage nationally recognized outside compensation and benefits consulting firms to independently evaluate the effectiveness of our executive compensation and to provide benchmarking against our selected peer group, which includes direct competitors in the pawn industry and similarly-sized companies from relevant industries that serve similar customer bases, operate in the retail or consumer finance industries and typically have similar operating dynamics.</w:t>
      </w:r>
    </w:p>
    <w:p>
      <w:pPr>
        <w:spacing w:after="0" w:line="95" w:lineRule="exact"/>
        <w:rPr>
          <w:rFonts w:ascii="Arial" w:cs="Arial" w:eastAsia="Arial" w:hAnsi="Arial"/>
          <w:sz w:val="18"/>
          <w:szCs w:val="18"/>
          <w:color w:val="auto"/>
        </w:rPr>
      </w:pPr>
    </w:p>
    <w:p>
      <w:pPr>
        <w:ind w:left="660" w:right="760" w:hanging="328"/>
        <w:spacing w:after="0" w:line="261"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align our executives’ long-term equity compensation with our shareholders’ interests by linking realizable pay with stock performance.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employees are eligible for paid time off, retirement savings plan and Company-paid life insurance.</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To aid and support Team Members during COVID-19, we provided quarantine pay and implemented an additional four hours of paid time off to encourage Team Member vaccinations.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commitment to our Team Members is to provide a safe and injury-free workplace. We continue to invest in programs designed to improve physical, mental and social well-being. Throughout our response to COVID-19, our priority has remained protecting the health and safety of our Team Members and customers.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fiscal 2021, our leadership team regularly reviewed and adapted our policies and practices based on evolving information related to the COVID-19 pandemic. Our pawn locations are provided with personal protective equipment and enhanced cleaning supplies and are required to adhere to appropriate protocols for social distancing, limiting density, taking temperatures and reporting exposures.</w:t>
      </w:r>
    </w:p>
    <w:p>
      <w:pPr>
        <w:spacing w:after="0" w:line="14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To encourage our Team Members to report potential exposures and to limit the spread of the virus, we provided over 26,000 hours of quarantine pay to Team Members in fiscal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Oversight</w:t>
      </w:r>
    </w:p>
    <w:p>
      <w:pPr>
        <w:spacing w:after="0" w:line="193"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The People and Compensation Committee of the Board of Directors has primary responsibility for analyzing, advising and (as appropriate) approving executive compensation. The committee is also responsible for organizational development matters and otherwise assisting the Board in its overall responsibility to enable EZCORP to attract, retain, develop and motivate qualified executives who will contribute to the long-term success of the Company.</w:t>
      </w:r>
    </w:p>
    <w:p>
      <w:pPr>
        <w:spacing w:after="0" w:line="15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committee actively participates in the executive recruitment and selection process. Committee members are instrumental in the executive talent management and succession processes, including the review and attainment of annual objectives for our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w:t>
      </w:r>
    </w:p>
    <w:p>
      <w:pPr>
        <w:spacing w:after="0" w:line="18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EZCORP is committed to meeting our customers’ needs in a responsible manner, and in that regard, we have aligned purpose, vision, values, guiding principles and business strategy with environmental, social and governance sustainability factors.</w:t>
      </w:r>
    </w:p>
    <w:p>
      <w:pPr>
        <w:spacing w:after="0" w:line="14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pawnbroking and related retail sales activities inherently contribute to the “circular economy” and promote environmental sustainability. We provide unique options for our customers to satisfy their needs for cash — options that are not offered by traditional lenders such as banks and credit unions, credit card providers or installment and short-term lenders. For many of our customers, pawn transactions provide an essential and financially responsible lifeline for meeting their unexpected expenses. Our retail activities rely primarily on local sourcing of pre-owned merchandise and the recirculation of those items back into the neighborhoods we serve. In short, our business is unique, essential and sustainable.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contributes to overall environmental sustainability in the following ways:</w:t>
      </w:r>
    </w:p>
    <w:p>
      <w:pPr>
        <w:spacing w:after="0" w:line="117" w:lineRule="exact"/>
        <w:rPr>
          <w:sz w:val="20"/>
          <w:szCs w:val="20"/>
          <w:color w:val="auto"/>
        </w:rPr>
      </w:pPr>
    </w:p>
    <w:p>
      <w:pPr>
        <w:ind w:left="660" w:hanging="328"/>
        <w:spacing w:after="0" w:line="256"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is fundamentally a neighborhood business, where each store principally serves the surrounding neighborhood. This “local” focus reduces the need of our customers to travel long distances to access our products and services and eliminates the need for delivery services.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120" w:hanging="328"/>
        <w:spacing w:after="0" w:line="254"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stores serves as its own “supply chain.” We take in pre-owned merchandise, either through pawn or purchases from customers, and then sell that merchandise (after forfeiture, in the case of pawn transactions) generally in the same store. Thus, we do not maintain or rely on mass supply, distribution or warehousing facilities. In fiscal 2021, we procured over 7 million pre-owned items through pawn forfeitures and direct purchasing from customers.</w:t>
      </w:r>
    </w:p>
    <w:p>
      <w:pPr>
        <w:spacing w:after="0" w:line="95" w:lineRule="exact"/>
        <w:rPr>
          <w:rFonts w:ascii="Arial" w:cs="Arial" w:eastAsia="Arial" w:hAnsi="Arial"/>
          <w:sz w:val="18"/>
          <w:szCs w:val="18"/>
          <w:color w:val="auto"/>
        </w:rPr>
      </w:pPr>
    </w:p>
    <w:p>
      <w:pPr>
        <w:ind w:left="660" w:hanging="328"/>
        <w:spacing w:after="0" w:line="252"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Virtually all of the merchandise we sell is pre-owned, which contributes to second-hand goods recycling and the circular economy. In fiscal 2021, we sold more than 5 million pre-owned items, including over 2.8 million items in the consumer electronics, camera and household goods categories, 1.4 million other general merchandise items (such as tools and musical instruments) and 650,000 jewelry items. In addition, through our jewelry scrapping activities, we recycle significant volumes of gold and diamonds. All of these activities effectively extend the useful life of many products, reducing waste and lessening the demand for new manufacturing and mining.</w:t>
      </w:r>
    </w:p>
    <w:p>
      <w:pPr>
        <w:spacing w:after="0" w:line="100" w:lineRule="exact"/>
        <w:rPr>
          <w:rFonts w:ascii="Arial" w:cs="Arial" w:eastAsia="Arial" w:hAnsi="Arial"/>
          <w:sz w:val="18"/>
          <w:szCs w:val="18"/>
          <w:color w:val="auto"/>
        </w:rPr>
      </w:pPr>
    </w:p>
    <w:p>
      <w:pPr>
        <w:ind w:left="660" w:hanging="328"/>
        <w:spacing w:after="0" w:line="254"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store operations themselves leave a relatively small carbon footprint when compared to big-box or other mass retailers that rely on manufacturers and extensive supply chain and distribution channels. Our stores are relatively small (generally 3,000 square feet or less). To reduce energy consumption, we have installed energy-efficient LED lighting in 65% of our U.S. stores and are working to convert the remaining stores.</w:t>
      </w:r>
    </w:p>
    <w:p>
      <w:pPr>
        <w:spacing w:after="0" w:line="95" w:lineRule="exact"/>
        <w:rPr>
          <w:rFonts w:ascii="Arial" w:cs="Arial" w:eastAsia="Arial" w:hAnsi="Arial"/>
          <w:sz w:val="18"/>
          <w:szCs w:val="18"/>
          <w:color w:val="auto"/>
        </w:rPr>
      </w:pPr>
    </w:p>
    <w:p>
      <w:pPr>
        <w:ind w:left="660" w:right="40" w:hanging="328"/>
        <w:spacing w:after="0" w:line="254"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all of our facilities, including our corporate support offices, we promote environmental stewardship by reducing consumption, recycling paper products (1.8 million pounds across all U.S. locations during fiscal 2021) and responsibly disposing of end-of-life computers, electronics and related accessories through recycling or other sound e-waste processing. Our corporate office in Austin, Texas is LEED Certified Silver status.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business promotes social responsibility in the following ways:</w:t>
      </w:r>
    </w:p>
    <w:p>
      <w:pPr>
        <w:spacing w:after="0" w:line="117" w:lineRule="exact"/>
        <w:rPr>
          <w:sz w:val="20"/>
          <w:szCs w:val="20"/>
          <w:color w:val="auto"/>
        </w:rPr>
      </w:pPr>
    </w:p>
    <w:p>
      <w:pPr>
        <w:ind w:left="660" w:hanging="328"/>
        <w:spacing w:after="0" w:line="252"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serves an essential and responsible financial resource for many unbanked and or underserved consumers who have limited access to traditional forms of capital or credit and comprise a large majority of our customer base. We improve the reach and access to financial services through neighborhood-based stores, supported by digital offerings. We provide instant access to cash in transactions that generally average around $150 or less. Our pawn transactions are simple, transparent, regulated and safe, and funding approval is based on the valuation of the collateral item, not on the credit worthiness of the customer. The customer is under no legal obligation to repay the amount advanced; we do not engage in collection efforts or take other legal actions against our customers; and we do not report transaction histories to external credit agencies. Rather, the customer may choose to repay the amount advanced or forfeit the collateralized merchandise.</w:t>
      </w:r>
    </w:p>
    <w:p>
      <w:pPr>
        <w:spacing w:after="0" w:line="97" w:lineRule="exact"/>
        <w:rPr>
          <w:rFonts w:ascii="Arial" w:cs="Arial" w:eastAsia="Arial" w:hAnsi="Arial"/>
          <w:sz w:val="18"/>
          <w:szCs w:val="18"/>
          <w:color w:val="auto"/>
        </w:rPr>
      </w:pPr>
    </w:p>
    <w:p>
      <w:pPr>
        <w:ind w:left="660" w:right="40" w:hanging="328"/>
        <w:spacing w:after="0" w:line="253"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stores facilitate transactions in a safe and secure environment for Team Members and customers. During the COVID-19 pandemic, we implemented various safety protocols, including social distancing, mask wearing and enhanced cleaning and sanitation practices, for the health and safety of our Team Members and customers. In addition, we introduced curbside pick-up services in some locations, so that our customers would have an additional option to safely transact without entering the store if that was their preference.</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 discussion of our Diversity and Inclusion initiatives, see “Human Capital Management — Diversity and Inclusion”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EZCORP, we believe that “The Way We Do Business is as Important as the Business We Do.” That belief underlies our Code of Conduct, which outlines our expectations and provides guidance on how our Team Members can carry out their daily activities ethically and responsibly. Our ethical principles include Honesty, Integrity, Reliability, Loyalty, Respect, Responsibility, Fairness, Caring, Leadership and Diversity, and these principles form the foundation for how we govern our business.</w:t>
      </w:r>
    </w:p>
    <w:p>
      <w:pPr>
        <w:spacing w:after="0" w:line="96" w:lineRule="exact"/>
        <w:rPr>
          <w:sz w:val="20"/>
          <w:szCs w:val="20"/>
          <w:color w:val="auto"/>
        </w:rPr>
      </w:pPr>
    </w:p>
    <w:p>
      <w:pPr>
        <w:ind w:left="660" w:right="40" w:hanging="328"/>
        <w:spacing w:after="0" w:line="261"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 though we are a “Controlled Company” under the Nasdaq Listing Rules, we maintain the governance standards required of all publicly-listed Nasdaq companies, including:</w:t>
      </w:r>
    </w:p>
    <w:p>
      <w:pPr>
        <w:spacing w:after="0" w:line="89" w:lineRule="exact"/>
        <w:rPr>
          <w:rFonts w:ascii="Arial" w:cs="Arial" w:eastAsia="Arial" w:hAnsi="Arial"/>
          <w:sz w:val="18"/>
          <w:szCs w:val="18"/>
          <w:color w:val="auto"/>
        </w:rPr>
      </w:pPr>
    </w:p>
    <w:p>
      <w:pPr>
        <w:ind w:left="1300" w:right="220" w:hanging="320"/>
        <w:spacing w:after="0" w:line="256" w:lineRule="auto"/>
        <w:tabs>
          <w:tab w:leader="none" w:pos="13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Independent directors comprise a majority of our Board of Directors. In fact, four of the six members of our Board of Directors meet all of the “independence” requirements set forth in the Nasdaq Listing Rules, and none of the independent directors have any past or existing relationship with our controlling stockholder outside of their Board service.</w:t>
      </w:r>
    </w:p>
    <w:p>
      <w:pPr>
        <w:spacing w:after="0" w:line="93" w:lineRule="exact"/>
        <w:rPr>
          <w:rFonts w:ascii="Arial" w:cs="Arial" w:eastAsia="Arial" w:hAnsi="Arial"/>
          <w:sz w:val="18"/>
          <w:szCs w:val="18"/>
          <w:color w:val="auto"/>
        </w:rPr>
      </w:pPr>
    </w:p>
    <w:p>
      <w:pPr>
        <w:ind w:left="1300" w:right="40" w:hanging="320"/>
        <w:spacing w:after="0" w:line="261" w:lineRule="auto"/>
        <w:tabs>
          <w:tab w:leader="none" w:pos="13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of our standing Board committees (Audit Committee, People and Compensation Committee and Nominating Committee) are comprised of solely independent directors.</w:t>
      </w:r>
    </w:p>
    <w:p>
      <w:pPr>
        <w:spacing w:after="0" w:line="89" w:lineRule="exact"/>
        <w:rPr>
          <w:rFonts w:ascii="Arial" w:cs="Arial" w:eastAsia="Arial" w:hAnsi="Arial"/>
          <w:sz w:val="18"/>
          <w:szCs w:val="18"/>
          <w:color w:val="auto"/>
        </w:rPr>
      </w:pPr>
    </w:p>
    <w:p>
      <w:pPr>
        <w:ind w:left="1300" w:right="80" w:hanging="320"/>
        <w:spacing w:after="0" w:line="261" w:lineRule="auto"/>
        <w:tabs>
          <w:tab w:leader="none" w:pos="13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satisfy Nasdaq’s recently enacted board diversity rules, with two of our six Board members being diverse directors, one of whom self-identifies as female and one whom self-identifies as an underrepresented minority.</w:t>
      </w:r>
    </w:p>
    <w:p>
      <w:pPr>
        <w:spacing w:after="0" w:line="90" w:lineRule="exact"/>
        <w:rPr>
          <w:sz w:val="20"/>
          <w:szCs w:val="20"/>
          <w:color w:val="auto"/>
        </w:rPr>
      </w:pPr>
    </w:p>
    <w:p>
      <w:pPr>
        <w:ind w:left="660" w:right="140"/>
        <w:spacing w:after="0" w:line="261" w:lineRule="auto"/>
        <w:rPr>
          <w:sz w:val="20"/>
          <w:szCs w:val="20"/>
          <w:color w:val="auto"/>
        </w:rPr>
      </w:pPr>
      <w:r>
        <w:rPr>
          <w:rFonts w:ascii="Arial" w:cs="Arial" w:eastAsia="Arial" w:hAnsi="Arial"/>
          <w:sz w:val="18"/>
          <w:szCs w:val="18"/>
          <w:color w:val="auto"/>
        </w:rPr>
        <w:t>For further discussion of our corporate governance standards, see “Part III, Item 10 — Directors, Executive Officers and Corporate Governance.”</w:t>
      </w:r>
    </w:p>
    <w:p>
      <w:pPr>
        <w:sectPr>
          <w:pgSz w:w="11900" w:h="16838" w:orient="portrait"/>
          <w:cols w:equalWidth="0" w:num="1">
            <w:col w:w="11160"/>
          </w:cols>
          <w:pgMar w:left="320" w:top="140" w:right="4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20" w:hanging="328"/>
        <w:spacing w:after="0" w:line="261"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pawn operations are licensed and supervised in all jurisdictions in which we operate. We maintain a strong compliance culture that is monitored and overseen by our Board of Directors and supported by seasoned regulatory and compliance teams.</w:t>
      </w:r>
    </w:p>
    <w:p>
      <w:pPr>
        <w:spacing w:after="0" w:line="89" w:lineRule="exact"/>
        <w:rPr>
          <w:rFonts w:ascii="Arial" w:cs="Arial" w:eastAsia="Arial" w:hAnsi="Arial"/>
          <w:sz w:val="18"/>
          <w:szCs w:val="18"/>
          <w:color w:val="auto"/>
        </w:rPr>
      </w:pPr>
    </w:p>
    <w:p>
      <w:pPr>
        <w:ind w:left="660" w:right="100" w:hanging="328"/>
        <w:spacing w:after="0" w:line="254"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the privacy, integrity and security of our customers’ data and our enterprise network is a top priority that is also monitored and overseen by our Board of Directors. We maintain a separate IT Security team that is responsible for the design and implementation of our cyber risk strategy, including deployment of systems, enterprise-wide training, monitoring and reporting of threat incidents and response preparedness.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June 2021, we completed the acquisition of 128 pawn stores in Mexico. These stores, operating under the name "Cash Apoyo Efectivo,” are located principally in the Mexico City metropolitan area and have strong brand recognition in that market. This was our largest acquisition to date in terms of store-count.</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May 2021, we acquired substantially all of the assets associated with 11 pawn stores in the Houston, Texas area, providing an immediate market leading position in the South Houston area and enhancing our already strong position in the strategically important Houston metro market.</w:t>
      </w:r>
    </w:p>
    <w:p>
      <w:pPr>
        <w:spacing w:after="0" w:line="14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Additionally, during fiscal 2021, we continued our expansion in Latin America with the opening of 15 de novo stores (12 in Mexico and 3 in Guatemala). We now own a total of 632 stores in Latin America, representing 55% of our total pawn stores. In fiscal 2021, these stores represented 22% of our consolidated net revenues as the average scale of Latin America pawn stores is smaller than in the U.S. We see opportunity for further expansion in Latin America through both acquisitions and de novo openings.</w:t>
      </w:r>
    </w:p>
    <w:p>
      <w:pPr>
        <w:spacing w:after="0" w:line="1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For further information about our acquisitions, see Note 3: Acquisitions of Notes to Consolidated Financial Statements included in “Part II, Item 8 — Financial Statements and Supplemental Data.”</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U.S., PSC is historically highest in our fourth fiscal quarter (July through September) due to a higher average PLO balance during the summer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PLO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 These historical trends have been impacted by COVID-19, but we expect them to return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the primary elements of competition are the quality of customer service and relationship management, including understanding our customers’ needs better than anyone else, convenience, store location and a customer-friendly environment. In addition, we believe the ability to compete effectively will be based increasingly on strong general management, regional focus, automated management information systems, access to capital and superior customer service.</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customers with a variety of merchandise at an exceptional value coupled with exceptional customer service and convenient locations.</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pawn industry in the United States is large, relatively mature and highly fragmented. The industry consists of a few large operators (of which we are the second largest) and then independent operators who primarily own one to three locations.</w:t>
      </w:r>
    </w:p>
    <w:p>
      <w:pPr>
        <w:spacing w:after="0" w:line="14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pawn industry in Latin America is also fragmented, but less so than in the United States. The industry consists of pawn stores owned by independent operators and chains, including some not-for-profit organizations. We are the second largest for-profit operator in Mexico. The pawn industry, particularly full-line stores dealing in both general merchandise and jewelry, remains in an expansion stage in Latin America.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 and Trade Names</w:t>
      </w:r>
    </w:p>
    <w:p>
      <w:pPr>
        <w:spacing w:after="0" w:line="18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operate our U.S. pawn stores principally under the names “EZPAWN” or “Value Pawn &amp; Jewelry,” our Mexico pawn stores principally under the name “EMPEÑO FÁCIL” and “Cash Apoyo Efectivo,” our Guatemala pawn stores under the name “GuatePrenda,” and our El Salvador and Honduras pawn stores under the name “MaxiEfectivo.” We have registered the names EZPAWN and EZCORP, among others, with the United States Patent and Trademark Office. In Mexico, we have registered the names “EMPEÑO FÁCIL,” “Bazareño,” “Presta Dinero”, “Montepio San Patricio” and “Cash Apoyo Efectivo” with the Instituto Mexicano de la Propiedad Industrial. We have registered the name “GuatePrenda” in Guatemala and the name “MaxiEfectivo” in Guatemala, El Salvador and Honduras.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Regulations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Pawn Regulations — </w:t>
      </w:r>
      <w:r>
        <w:rPr>
          <w:rFonts w:ascii="Arial" w:cs="Arial" w:eastAsia="Arial" w:hAnsi="Arial"/>
          <w:sz w:val="18"/>
          <w:szCs w:val="18"/>
          <w:color w:val="auto"/>
        </w:rPr>
        <w:t>Our pawn stores are regulated by the states in which they are located and, in some cases, by individual municipalities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local authorities. The applicable statutes, ordinances and regulations vary from location to location and typically impose licensing requirements for pawn stores or individual pawn store Team Members.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pawn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 </w:t>
      </w:r>
      <w:r>
        <w:rPr>
          <w:rFonts w:ascii="Arial" w:cs="Arial" w:eastAsia="Arial" w:hAnsi="Arial"/>
          <w:sz w:val="18"/>
          <w:szCs w:val="18"/>
          <w:color w:val="auto"/>
        </w:rPr>
        <w:t>Our pawn lending activities are subject to other state and federal statutes and regulations, including the following:</w:t>
      </w:r>
    </w:p>
    <w:p>
      <w:pPr>
        <w:spacing w:after="0" w:line="135" w:lineRule="exact"/>
        <w:rPr>
          <w:sz w:val="20"/>
          <w:szCs w:val="20"/>
          <w:color w:val="auto"/>
        </w:rPr>
      </w:pPr>
    </w:p>
    <w:p>
      <w:pPr>
        <w:ind w:left="660" w:right="40" w:hanging="328"/>
        <w:spacing w:after="0" w:line="251"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identity theft “red flags.”</w:t>
      </w:r>
    </w:p>
    <w:p>
      <w:pPr>
        <w:spacing w:after="0" w:line="102" w:lineRule="exact"/>
        <w:rPr>
          <w:rFonts w:ascii="Arial" w:cs="Arial" w:eastAsia="Arial" w:hAnsi="Arial"/>
          <w:sz w:val="18"/>
          <w:szCs w:val="18"/>
          <w:color w:val="auto"/>
        </w:rPr>
      </w:pPr>
    </w:p>
    <w:p>
      <w:pPr>
        <w:jc w:val="both"/>
        <w:ind w:left="660" w:right="340" w:hanging="328"/>
        <w:spacing w:after="0" w:line="256"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provider of consumer financial products, we are prohibited from engaging in any unfair, deceptive or abusive act or practice (UDAAP) under the Dodd-Frank Act, as they can cause significant financial injury to consumers, erode consumer confidence and undermine the financial marketplace.</w:t>
      </w:r>
    </w:p>
    <w:p>
      <w:pPr>
        <w:spacing w:after="0" w:line="93"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Equal Credit Opportunity Act prohibits discrimination on the basis of race, color, religion, national origin, sex, marital status, age, receipt of public assistance or good faith exercise of any rights under the Consumer Credit Protection Act.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20" w:hanging="328"/>
        <w:spacing w:after="0" w:line="256"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spacing w:after="0" w:line="93" w:lineRule="exact"/>
        <w:rPr>
          <w:rFonts w:ascii="Arial" w:cs="Arial" w:eastAsia="Arial" w:hAnsi="Arial"/>
          <w:sz w:val="18"/>
          <w:szCs w:val="18"/>
          <w:color w:val="auto"/>
        </w:rPr>
      </w:pPr>
    </w:p>
    <w:p>
      <w:pPr>
        <w:ind w:left="660" w:right="80" w:hanging="328"/>
        <w:spacing w:after="0" w:line="250"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the Bank Secrecy Act and its underlying regulations, which require us to report and maintain records of certain high-dollar transactions. In addition, federal laws and regulations require us to report certain transactions (or series of transactions) deemed suspicious to the Financial Crimes Enforcement Network of the Treasury Department (“FinCen”). Generally, a transaction is considered suspicious if we know, suspect or have reason to suspect that the transaction (a) involves funds derived from illegal activity or is intended to hide or disguise such funds, (b) is designed to evade the requirements of the Bank Secrecy Act or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 appears to serve no legitimate business or lawful purpose.</w:t>
      </w:r>
    </w:p>
    <w:p>
      <w:pPr>
        <w:spacing w:after="0" w:line="117" w:lineRule="exact"/>
        <w:rPr>
          <w:rFonts w:ascii="Arial" w:cs="Arial" w:eastAsia="Arial" w:hAnsi="Arial"/>
          <w:sz w:val="18"/>
          <w:szCs w:val="18"/>
          <w:color w:val="auto"/>
        </w:rPr>
      </w:pPr>
    </w:p>
    <w:p>
      <w:pPr>
        <w:ind w:left="660" w:right="160" w:hanging="328"/>
        <w:spacing w:after="0" w:line="252"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Office of Foreign Assets Control (“OFAC”) of the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We are prohibited from doing business with named individuals, businesses and countries subject to sanctions and restrictions, and we are required to report any transactions involving those named by the US. Department of the Treasury.</w:t>
      </w:r>
    </w:p>
    <w:p>
      <w:pPr>
        <w:spacing w:after="0" w:line="100" w:lineRule="exact"/>
        <w:rPr>
          <w:rFonts w:ascii="Arial" w:cs="Arial" w:eastAsia="Arial" w:hAnsi="Arial"/>
          <w:sz w:val="18"/>
          <w:szCs w:val="18"/>
          <w:color w:val="auto"/>
        </w:rPr>
      </w:pPr>
    </w:p>
    <w:p>
      <w:pPr>
        <w:ind w:left="660" w:right="120" w:hanging="328"/>
        <w:spacing w:after="0" w:line="252"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Foreign Corrupt Practices Act ("FCPA") makes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98" w:lineRule="exact"/>
        <w:rPr>
          <w:rFonts w:ascii="Arial" w:cs="Arial" w:eastAsia="Arial" w:hAnsi="Arial"/>
          <w:sz w:val="18"/>
          <w:szCs w:val="18"/>
          <w:color w:val="auto"/>
        </w:rPr>
      </w:pPr>
    </w:p>
    <w:p>
      <w:pPr>
        <w:ind w:left="660" w:right="400" w:hanging="328"/>
        <w:spacing w:after="0" w:line="261"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Department of Defense regulations promulgated under the Military Lending Act limit the annual percentage rate charged on certain consumer loans (including pawn loans) made to active military personnel or their dependents to 36%.</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 although it has initiated actions against pawn companies for alleged violations of consumer lending regulations, including the Military Lending Act discussed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Regulations</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Pawn Regulations </w:t>
      </w:r>
      <w:r>
        <w:rPr>
          <w:rFonts w:ascii="Arial" w:cs="Arial" w:eastAsia="Arial" w:hAnsi="Arial"/>
          <w:sz w:val="18"/>
          <w:szCs w:val="18"/>
          <w:color w:val="auto"/>
        </w:rPr>
        <w:t>— Federal law in Mexico provides for administrative regulation of the pawnshop industry by Procuraduría Federal del</w:t>
      </w:r>
      <w:r>
        <w:rPr>
          <w:rFonts w:ascii="Arial" w:cs="Arial" w:eastAsia="Arial" w:hAnsi="Arial"/>
          <w:sz w:val="18"/>
          <w:szCs w:val="18"/>
          <w:i w:val="1"/>
          <w:iCs w:val="1"/>
          <w:color w:val="auto"/>
        </w:rPr>
        <w:t xml:space="preserve"> </w:t>
      </w:r>
      <w:r>
        <w:rPr>
          <w:rFonts w:ascii="Arial" w:cs="Arial" w:eastAsia="Arial" w:hAnsi="Arial"/>
          <w:sz w:val="18"/>
          <w:szCs w:val="18"/>
          <w:color w:val="auto"/>
        </w:rPr>
        <w:t>Consumidor (PROFECO),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PROFECO requires that we report certain transactions (or series of transactions) when a customer pawns more than three items of the same category.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Federal Law on the Protection of Personal Data Held by Private Parties requires us to protect our customers’ personal information. This law requires us to inform customers if we share customer personal information with third parties and to post (both online and in-store) our Data Privacy Policy.</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pawn business in Mexico is also subject to regulation at the state and local level through state laws and local zoning and permitting ordinances. For example, some states require permits for pawn stores to operate, certification of Team Members as 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Our pawn business in Mexico is subject to the General Law of Administrative Responsibility (“GLAR”), effective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2017, which requires us to implement an integrity policy that contains mechanisms to ensure integrity standards throughout the organization. GLAR establishes administrative penalties for improper payments to government officials, influence peddling (including the hiring of public officials and the use of undue influence) and other corrupt acts in public procurement processes.</w:t>
      </w:r>
    </w:p>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We are also subject to The Federal Law for the Prevention and Identification of Transactions with Funds from Illegal Sources, which requires reporting of certain transactions exceeding certain monetary limits, the appointment of a compliance officer and maintenance of customer</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identification records and controls. This law affects all vulnerable activities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and to the extent possible, money laundering activities protected by the anonymity that such cash transactions provide. Relevant aspects of the law specifically affecting the pawn industry include monthly reporting on “vulnerable activities,” which include pawn transactions exceeding 143,840.10 Mexican pesos and retail transactions of precious metals exceeding 143,840.10 Mexican pesos. Retail transactions of precious metals in cash exceeding 287,680.20 Mexican pesos are prohibited. There are significant fines and sanctions for failure to comply with these rules.</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to the above, our pawn business in Mexico is subject to various general business regulations in the areas of tax compliance, customs, consumer protections, money laundering, civil protection regulations, municipal regulations, trade code (federal), public safety and employment matters, among others, by various federal, state and local governmental agencies.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Latin American Regulations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Local governmental entities in Guatemala, El Salvador and Honduras also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usury law, consumer protection,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8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file annual, quarterly and current reports and other documents with the Securities and Exchange Commission (“SEC”) under the Securities Exchange Act of 1934, as amended (the “Exchange Act”). The SEC maintains an internet website that contains reports and other information regarding issuers that file electronically with the SEC. The public can obtain any documents that we file with the SEC at www.sec.gov.</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maintain a website at www.ezcorp.com. Our filings with the SEC, including our Annual Reports on Form 10-K, quarterly reports on Form 10-Q, current reports on Form 8-K and Section 16 filings, are available free of charge through links maintained on our website under the heading “Investor Relations — SEC Filings.” Information contained on our website is not incorporated by reference into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0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Specific Risks</w:t>
      </w:r>
    </w:p>
    <w:p>
      <w:pPr>
        <w:spacing w:after="0" w:line="16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Changes in, or failure to comply with, laws and regulations affecting our products and services could have a material adverse effect on our operations and financial performance.</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Negative characterizations of the pawn industry by consumer advocates, media or others could result in increased legislative or regulatory activity, could adversely affect the market value of our publicly traded stock, or could make it harder to operate our business successfully.</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spacing w:after="0" w:line="15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Furthermore, negative characterizations of our industry could limit the number of investors who are willing to hold our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U.S. business is concentrated in Texas and Florida.</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September 30, 2021, more than 60% of our U.S. pawn stores were located in Texas (44%) and Florida (18%), and those stores 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spacing w:after="0" w:line="12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A significant or sudden decrease in gold values or the volume of gold transactions may have a material impact on our earnings and financial position.</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Gold jewelry comprises a large portion of the collateral security for our pawn loans and our inventory. PSC,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PLO and PSC.</w:t>
      </w:r>
    </w:p>
    <w:p>
      <w:pPr>
        <w:spacing w:after="0" w:line="13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Fluctuations in our sales, PLO, sales margins and pawn redemption rates could have a material adverse impact on our operating results.</w:t>
      </w:r>
    </w:p>
    <w:p>
      <w:pPr>
        <w:spacing w:after="0" w:line="12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our growth objectives is dependent upon our ability to open and acquire new stores.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future results of operations and future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have limited indemnity obligations to AlphaCredit for pre-closing taxes.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Purchase Agreement related to the sale of our 94%-owned subsidiary, Prestaciones Finmart, S.A.P.I. de C.V., SOFOM, E.N.R. ("Grupo Finmart") to Alpha Holding, S.A. de C.V. (“AlphaCredit”) in September 2016, we remain obligated to indemnify AlphaCredit for any “pre-closing taxes” (i.e., tax obligations arising from the Grupo Finmart business that are attributable to periods prior to the completion of the sale in September 2016).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 The final payments from AlphaCredit totaling $8.0 million have been placed into escrow pending resolution of the potential indemnity claim.</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One person beneficially owns all of our voting stock and generally controls the outcome of all matters requiring a vote of stockholders, which may influence the value of our publicly traded non-voting stock.</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Phillip E. Cohen is the beneficial owner of all our Class B Voting Common Stock, and all our publicly traded stock is non-voting stock. Consequently, stockholders other than Mr. Cohen have no vote with respect to the election of directors or any other matter requiring a vote of stockholders except in limited circumstances as required by law. Further, our Bylaws currently provide that the voting stockholder may appoint or remove officers or take any other action that the Board of Directors may take with respect to officers under the Bylaws. The lack of voting rights may adversely affect the market value of our publicly traded Class A Common Stock.</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Cohen is a member of our Board of Directors and serves as Executive Chairman. As a member of the Board, Mr. Cohen is entitled to vote on all matters requiring approval of the Board. Our Bylaws currently provide that the presence of all directors shall constitute a quorum for the transaction of business, and that any act of the Board of Directors requires a unanimous approval of all directors. Consequently, Mr. Cohen, as is the case with each of the other directors, has the ability to block actions of the Board. Mr. Cohen has agreed that, as a member of the Board of Directors, he will not participate in any Board vote regarding his position as Executive Chairman.</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have a significant firearms business in the U.S., which exposes us to increased risks of regulatory fines and penalties, lawsuits and related liabilities.</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Team Member and third-party robberies, burglaries and other crimes at the store level.</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encounter significant competition from other pawn stores, consumer lending companies, other retailers, online retailers and auction sites,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spacing w:after="0" w:line="129"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b w:val="1"/>
          <w:bCs w:val="1"/>
          <w:i w:val="1"/>
          <w:iCs w:val="1"/>
          <w:color w:val="auto"/>
        </w:rPr>
        <w:t>Our continued profitability and growth plans are dependent on our ability to successfully design or acquire, deploy and maintain information technology and other business systems to support our current business and our planned growth and expansion.</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success of our business depends on the efficiency and reliability of our information technology and business systems and related controls, including the point-of-sale system utilized in our store locations. If access to our technology infrastructure is impaired (as may occur with a computer virus, a cyber 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spacing w:after="0" w:line="13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invested in Cash Converters International Limited for strategic reasons. We may be required in future periods to impair our investment and recognize related investment losses, as we have done in the past, and we may not realize a positive return on the investment.</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November 1, 2021, we owned 37.72% of the outstanding ordinary shares of Cash Converters, which is a publicly traded company based in Australia. We made the initial investment in November 2009 and have made incremental investments periodically since then. The success of this strategic investment is dependent on a variety of factors, including Cash Converters’s business performance and the market’s assessment of that performance. We have recorded a number of impairments to the carrying value of our investment in Cash Converters in</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past. After an analysis of Cash Converters’s stock price performance and other factors, we determined the fair value of our investment in Cash Converters at September 30, 2021 was greater than its carrying value. See Note 5: Strategic Investments of Notes to Consolidated Financial Statements included in “Part II, Item 8 — Financial Statements and Supplemental Data.” If the fair value of our investment declines and we determine that such decline is other-than-temporary, we may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on favorable terms, should we decide to do so in the future.</w:t>
      </w:r>
    </w:p>
    <w:p>
      <w:pPr>
        <w:spacing w:after="0" w:line="1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ability to recover our investments in Rich Data Corporation and Simple Management Group, Inc. is heavily dependent on the success and performance of those companies, including their respective ability to obtain further debt or equity 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an investment in Rich Data Corporation (“RDC”) and an indirect investment in Simple Management Group, Inc. (“SMG”). See Note</w:t>
      </w:r>
    </w:p>
    <w:p>
      <w:pPr>
        <w:spacing w:after="0" w:line="9"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Investments and Note 16: Subsequent Events of Notes to Consolidated Financial Statements included in “Part II, Item 8 —</w:t>
      </w:r>
    </w:p>
    <w:p>
      <w:pPr>
        <w:spacing w:after="0" w:line="9" w:lineRule="exact"/>
        <w:rPr>
          <w:rFonts w:ascii="Arial" w:cs="Arial" w:eastAsia="Arial" w:hAnsi="Arial"/>
          <w:sz w:val="18"/>
          <w:szCs w:val="18"/>
          <w:color w:val="auto"/>
        </w:rPr>
      </w:pPr>
    </w:p>
    <w:p>
      <w:pPr>
        <w:jc w:val="both"/>
        <w:ind w:right="320"/>
        <w:spacing w:after="0" w:line="278" w:lineRule="auto"/>
        <w:rPr>
          <w:rFonts w:ascii="Arial" w:cs="Arial" w:eastAsia="Arial" w:hAnsi="Arial"/>
          <w:sz w:val="18"/>
          <w:szCs w:val="18"/>
          <w:color w:val="auto"/>
        </w:rPr>
      </w:pPr>
      <w:r>
        <w:rPr>
          <w:rFonts w:ascii="Arial" w:cs="Arial" w:eastAsia="Arial" w:hAnsi="Arial"/>
          <w:sz w:val="17"/>
          <w:szCs w:val="17"/>
          <w:color w:val="auto"/>
        </w:rPr>
        <w:t>Financial Statements and Supplemental Data.” Our ability to recover our investment in either of these companies is heavily dependent on their success and performance, potentially including their ability to obtain further debt or equity financing. To the extent that either of such companies is not successful, we may be required in future periods to impair our investment and recognize related investment losses.</w:t>
      </w:r>
    </w:p>
    <w:p>
      <w:pPr>
        <w:spacing w:after="0" w:line="10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may incur property, casualty or other losses, including losses related to natural disasters such as hurricanes, earthquakes and volcanoes. Not all such losses will be covered by insurance.</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significant operations located in areas that are susceptible to hurricanes (notably the Atlantic and Gulf Coast regions of Florida, the Gulf Coast regions of Texas including Houston, as well as Mexico and Central America). Certain areas of our operations are also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including a reduction of our PLO, inventory, pawn service charges and merchandise sales. Only limited portions, if any, of those negative impacts will be covered by applicable business interruption insurance policies. As a result, geographically isolated natural disasters could have a material adverse effect on our overall operations and financial performance.</w:t>
      </w:r>
    </w:p>
    <w:p>
      <w:pPr>
        <w:spacing w:after="0" w:line="12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carrying value of our goodwill was $285.8 million, or approximately 23% of our total assets, as of September 30, 2021. We test goodwill and intangible assets with an indefinite life for potential impairment annually, or more frequently if an event occurs or circumstances change that would more-likely-than-not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w:t>
      </w:r>
    </w:p>
    <w:p>
      <w:pPr>
        <w:spacing w:after="0" w:line="15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When performing our annual test of goodwill for impairment in the fourth quarter,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Note 1: Organization and Summary of Significant Accounting Policies and Note 8: Goodwill and Intangible Assets of Notes to Consolidated Financial Statements included in “Part II, Item 8 — Financial Statements and Supplemental Data” for a discussion of our annual impairment tests performed for goodwill and indefinite-lived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feature of our convertible notes, if triggered, may adversely affect our financial condition and operating results.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outstanding a total of $316.3 million of convertible notes. See Note 9: Debt of Notes to Consolidated Financial Statements included in “Part II, Item 8 — Financial Statements and Supplementary Data.” If the conversion feature of any of those convertible notes is triggered, holders will be entitled to convert the notes at their option at any time during specified periods.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3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Conversion of our convertible notes into stock may dilute the ownership interests of existing stockholders or may otherwise depress the price of our Class A Common Stock.</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because the conversion of such notes could be used to satisfy short positions, or anticipated conversion of the notes into shares of our Class A Common Stock could depress the price of our Class A Common Stock.</w:t>
      </w:r>
    </w:p>
    <w:p>
      <w:pPr>
        <w:spacing w:after="0" w:line="129"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limit our ability to conduct future financings and other transactions and our ability to offer equity awards to management.</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certificate of incorporation currently authorizes us to issue up to 100 million shares of Class A Common Stock. Taking into consideration the shares that are issued and outstanding, as well as the shares that have been reserved for issuance pursuant to convertible notes, warrants and outstanding equity incentive compensation awards and the conversion of the Class B Common Stock, we had approximately 10.0 million shares of authorized Class A Common Stock available for other uses as of September 30, 2021. Therefore, our ability to issue shares of Class A Common Stock (other than pursuant to the existing reserved-for commitments), or securities or instruments that are convertible into or exchangeable for shares of Class A Common Stock, may be limited until such time additional authorized, unissued and unreserved shares become available or unless we determine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 Further, our ability to offer equity-based compensation to our management team may also be limited, which could adversely affect our ability to align management’s incentives with stockholders or attract and retain key management personnel.</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Risks</w:t>
      </w:r>
    </w:p>
    <w:p>
      <w:pPr>
        <w:spacing w:after="0" w:line="16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Public health issues, including the continuing COVID-19 pandemic, could adversely affect our financial condition, results of operations or liquidity.</w:t>
      </w:r>
    </w:p>
    <w:p>
      <w:pPr>
        <w:spacing w:after="0" w:line="12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business may be impacted by public health issues, including the continuing COVID-19 pandemic, other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spacing w:after="0" w:line="12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have significant operations in Latin America, and changes in the business, regulatory, political or social climate could impact our operations there, which could adversely affect our results of operations and growth plans.</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own and operate a significant number of pawn stores in Latin America (primarily Mexico, but also Guatemala, El Salvador and Honduras). Further, our growth plans include potential expansion in some of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concerns,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description of the current regulatory environment in the Latin American countries in which we operate, see “Mexico Regulations” and “Other Latin America Regulations” under “Part I, Item 1 — Business — Regulation.”</w:t>
      </w:r>
    </w:p>
    <w:p>
      <w:pPr>
        <w:spacing w:after="0" w:line="12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foreign operations in Latin America (primarily Mexico, but also Guatemala, El Salvador and Honduras)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currently subject to various litigation and regulatory actions,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w:t>
      </w:r>
    </w:p>
    <w:p>
      <w:pPr>
        <w:spacing w:after="0" w:line="15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our ultimate liability in any such proceeding (or any combination of proceedings that are included in the same policy year) exceeds the management liability policy limits, our results of operations and financial condition could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and there are inherent risks in integrating and operating any acquired business. These factors could harm our business and results of operations.</w:t>
      </w:r>
    </w:p>
    <w:p>
      <w:pPr>
        <w:spacing w:after="0" w:line="12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We may be exposed to liabilities under applicable anti-bribery, anti-corruption, anti-money laundering and other general business laws and regulations, and any determination that we violated these laws or regulations could have a material adverse effect on our business.</w:t>
      </w:r>
    </w:p>
    <w:p>
      <w:pPr>
        <w:spacing w:after="0" w:line="13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are subject to various anti-bribery and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w:t>
      </w:r>
    </w:p>
    <w:p>
      <w:pPr>
        <w:spacing w:after="0" w:line="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 Regulation.” Further, our business is expanding in countries and regions that are less developed and are generally recognized as potentially more corrupt business and political environments.</w:t>
      </w:r>
    </w:p>
    <w:p>
      <w:pPr>
        <w:spacing w:after="0" w:line="14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spacing w:after="0" w:line="12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Changes in our liquidity and capital requirements or in access to capital markets or other financing and transactional banking sources could limit our ability to achieve our plans.</w:t>
      </w:r>
    </w:p>
    <w:p>
      <w:pPr>
        <w:spacing w:after="0" w:line="1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 significant reduction in cash flows from operations or the availability of debt or equity financing could materially and adversely affect our ability to achieve our planned growth and operating results. Our ability to obtain debt or equity financing, including the possible refinancing 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spacing w:after="0" w:line="14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access to transactional banking services, as well as international wire services between certain countries, is an ongoing business requirement. Inability in accessing or maintaining transactional banking or wire services could lead to increased costs or the inability to efficiently manage our cash as we would be required to seek alternative banking services or obtain services from several regional or local retail banks.</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collect and store a variety of sensitive customer information, and breaches in data security or other cyber-attacks could harm our business operations and lead to reputational damage.</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 attacks. Attacks may be targeted at us, our service providers, our customers or others 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business interruptions or other adverse effects on our operations and growth.</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business and operations could be subject to interruption or damage due to inclement weather, natural disaster, power loss, acts of violence, terrorist attacks, war, civil unrest or similar events. Further, we may experience information technology or other business systems disruptions. Such events could impair our customers' access to our business, impact our ability to expand or continue our operations or otherwise have an adverse effect on our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other risks discussed under "Part II, Item 7A — Quantitative and Qualitative Disclosures about Market Risk."</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1B. UNRESOLVED STAFF COMMENTS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PROPERTIES</w:t>
      </w:r>
    </w:p>
    <w:p>
      <w:pPr>
        <w:spacing w:after="0" w:line="2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lease our pawn store locations, which are located throughout our geographic areas of operations. See “Part I, Item 1 — Business — Segment and Geographic Information.” 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We maintain or reimburse our landlords for maintaining property and general liability insurance for each of our stores. Our stores are open six or seven days a week.</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Leases for our U.S. locations generally have initial terms ranging from three to 10 years and typically allow for renewals in increments of three-to-five years. Our primary corporate office is located in Austin, Texas and is leased through March 2029 with escalating rent payments annually and includes two five-year extension options at the end of the lease term. Our locations in Latin America are generally leased on three-to-five year terms.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existing leases expire on various dates through fiscal 2033,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w:t>
      </w:r>
    </w:p>
    <w:p>
      <w:pPr>
        <w:spacing w:after="0" w:line="15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As of September 30, 2021, we had a total of 1,148 stores, 516 of which are located in the U.S., with 44% located in Texas, 18% in Florida and the remainder spread across 18 other states. We also have 508 locations in Mexico, 90 in Guatemala, 18 in El Salvador, and 16 in Honduras.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store leases, we lease approximately 120,000 square feet of corporate office space in Austin, Texas (82,663 square feet of which has been subleased to other tenants). We lease other corporate office space in Mexico (8,600 square feet), Guatemala (3,500 square feet), El Salvador (4,500 square feet), Honduras (1,200 square feet) and Miami, Florida (14,200 square feet, all of which has been subleased to a tenant).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store locations, see “Part I, Item 1 — Business — Segment and Geographic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LEGAL PROCEEDINGS</w:t>
      </w:r>
    </w:p>
    <w:p>
      <w:pPr>
        <w:spacing w:after="0" w:line="20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See Note 13: Contingencies of Notes to Consolidated Financial Statements included in “Part II, Item 8 — Financial Statements and Supplemental Data.”</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MINE SAFETY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00497F"/>
        </w:rPr>
        <w:t>PART II</w:t>
      </w:r>
    </w:p>
    <w:p>
      <w:pPr>
        <w:spacing w:after="0" w:line="172" w:lineRule="exact"/>
        <w:rPr>
          <w:sz w:val="20"/>
          <w:szCs w:val="20"/>
          <w:color w:val="auto"/>
        </w:rPr>
      </w:pPr>
    </w:p>
    <w:p>
      <w:pPr>
        <w:ind w:right="1080"/>
        <w:spacing w:after="0" w:line="288" w:lineRule="auto"/>
        <w:rPr>
          <w:sz w:val="20"/>
          <w:szCs w:val="20"/>
          <w:color w:val="auto"/>
        </w:rPr>
      </w:pPr>
      <w:r>
        <w:rPr>
          <w:rFonts w:ascii="Arial" w:cs="Arial" w:eastAsia="Arial" w:hAnsi="Arial"/>
          <w:sz w:val="25"/>
          <w:szCs w:val="25"/>
          <w:b w:val="1"/>
          <w:bCs w:val="1"/>
          <w:color w:val="00497F"/>
        </w:rPr>
        <w:t>ITEM 5. MARKET FOR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Our Class A Non-Voting Common Stock (“Class A Common Stock”) is traded on the NASDAQ Stock Market under the symbol “EZPW.”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November 12, 2021, there were approximately 70 stockholders of record of our Class A Common Stock. There is no trading market for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B Voting Common Stock (“Class B Common Stock”), which was held by one stockholder as of November 12, 2021. As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the closing sales price of our Class A Common Stock, as reported by the NASDAQ Stock Market, was $7.57 per share.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Performance Graph</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$ 100 invested in our Class A Common Stock or the indices on September 30, 2016. The graph depicts the change in the value of our Class A Common Stock relative to the indices at the end of each fiscal year and not for any interim period. Historical stock price performance is not necessarily indicative of future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-5715</wp:posOffset>
            </wp:positionV>
            <wp:extent cx="5743575" cy="3857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357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price performance.</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Company Index</w:t>
            </w:r>
          </w:p>
        </w:tc>
        <w:tc>
          <w:tcPr>
            <w:tcW w:w="1620" w:type="dxa"/>
            <w:vAlign w:val="bottom"/>
          </w:tcPr>
          <w:p>
            <w:pPr>
              <w:jc w:val="center"/>
              <w:ind w:left="179"/>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2017</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2018</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2019</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2020</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2021</w:t>
            </w: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EZCORP, INC.</w:t>
            </w:r>
          </w:p>
        </w:tc>
        <w:tc>
          <w:tcPr>
            <w:tcW w:w="16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$100.00</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$85.90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$96.75</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$58.41</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$45.48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$68.44</w:t>
            </w: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NASDAQ Composite Index</w:t>
            </w:r>
          </w:p>
        </w:tc>
        <w:tc>
          <w:tcPr>
            <w:tcW w:w="1620" w:type="dxa"/>
            <w:vAlign w:val="bottom"/>
          </w:tcPr>
          <w:p>
            <w:pPr>
              <w:jc w:val="center"/>
              <w:ind w:left="179"/>
              <w:spacing w:after="0"/>
              <w:rPr>
                <w:sz w:val="20"/>
                <w:szCs w:val="20"/>
                <w:color w:val="auto"/>
              </w:rPr>
            </w:pPr>
            <w:r>
              <w:rPr>
                <w:rFonts w:ascii="Arial" w:cs="Arial" w:eastAsia="Arial" w:hAnsi="Arial"/>
                <w:sz w:val="16"/>
                <w:szCs w:val="16"/>
                <w:color w:val="auto"/>
              </w:rPr>
              <w:t>$100.00</w:t>
            </w:r>
          </w:p>
        </w:tc>
        <w:tc>
          <w:tcPr>
            <w:tcW w:w="1320" w:type="dxa"/>
            <w:vAlign w:val="bottom"/>
          </w:tcPr>
          <w:p>
            <w:pPr>
              <w:jc w:val="center"/>
              <w:spacing w:after="0"/>
              <w:rPr>
                <w:sz w:val="20"/>
                <w:szCs w:val="20"/>
                <w:color w:val="auto"/>
              </w:rPr>
            </w:pPr>
            <w:r>
              <w:rPr>
                <w:rFonts w:ascii="Arial" w:cs="Arial" w:eastAsia="Arial" w:hAnsi="Arial"/>
                <w:sz w:val="16"/>
                <w:szCs w:val="16"/>
                <w:color w:val="auto"/>
              </w:rPr>
              <w:t>$122.29</w:t>
            </w:r>
          </w:p>
        </w:tc>
        <w:tc>
          <w:tcPr>
            <w:tcW w:w="1340" w:type="dxa"/>
            <w:vAlign w:val="bottom"/>
          </w:tcPr>
          <w:p>
            <w:pPr>
              <w:jc w:val="center"/>
              <w:spacing w:after="0"/>
              <w:rPr>
                <w:sz w:val="20"/>
                <w:szCs w:val="20"/>
                <w:color w:val="auto"/>
              </w:rPr>
            </w:pPr>
            <w:r>
              <w:rPr>
                <w:rFonts w:ascii="Arial" w:cs="Arial" w:eastAsia="Arial" w:hAnsi="Arial"/>
                <w:sz w:val="16"/>
                <w:szCs w:val="16"/>
                <w:color w:val="auto"/>
              </w:rPr>
              <w:t>$151.47</w:t>
            </w:r>
          </w:p>
        </w:tc>
        <w:tc>
          <w:tcPr>
            <w:tcW w:w="1340" w:type="dxa"/>
            <w:vAlign w:val="bottom"/>
          </w:tcPr>
          <w:p>
            <w:pPr>
              <w:jc w:val="center"/>
              <w:spacing w:after="0"/>
              <w:rPr>
                <w:sz w:val="20"/>
                <w:szCs w:val="20"/>
                <w:color w:val="auto"/>
              </w:rPr>
            </w:pPr>
            <w:r>
              <w:rPr>
                <w:rFonts w:ascii="Arial" w:cs="Arial" w:eastAsia="Arial" w:hAnsi="Arial"/>
                <w:sz w:val="16"/>
                <w:szCs w:val="16"/>
                <w:color w:val="auto"/>
              </w:rPr>
              <w:t>$150.59</w:t>
            </w:r>
          </w:p>
        </w:tc>
        <w:tc>
          <w:tcPr>
            <w:tcW w:w="1340" w:type="dxa"/>
            <w:vAlign w:val="bottom"/>
          </w:tcPr>
          <w:p>
            <w:pPr>
              <w:jc w:val="center"/>
              <w:spacing w:after="0"/>
              <w:rPr>
                <w:sz w:val="20"/>
                <w:szCs w:val="20"/>
                <w:color w:val="auto"/>
              </w:rPr>
            </w:pPr>
            <w:r>
              <w:rPr>
                <w:rFonts w:ascii="Arial" w:cs="Arial" w:eastAsia="Arial" w:hAnsi="Arial"/>
                <w:sz w:val="16"/>
                <w:szCs w:val="16"/>
                <w:color w:val="auto"/>
              </w:rPr>
              <w:t>$210.23</w:t>
            </w:r>
          </w:p>
        </w:tc>
        <w:tc>
          <w:tcPr>
            <w:tcW w:w="1340" w:type="dxa"/>
            <w:vAlign w:val="bottom"/>
          </w:tcPr>
          <w:p>
            <w:pPr>
              <w:jc w:val="center"/>
              <w:spacing w:after="0"/>
              <w:rPr>
                <w:sz w:val="20"/>
                <w:szCs w:val="20"/>
                <w:color w:val="auto"/>
              </w:rPr>
            </w:pPr>
            <w:r>
              <w:rPr>
                <w:rFonts w:ascii="Arial" w:cs="Arial" w:eastAsia="Arial" w:hAnsi="Arial"/>
                <w:sz w:val="16"/>
                <w:szCs w:val="16"/>
                <w:color w:val="auto"/>
              </w:rPr>
              <w:t>$272.00</w:t>
            </w: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Other Finance Index</w:t>
            </w:r>
          </w:p>
        </w:tc>
        <w:tc>
          <w:tcPr>
            <w:tcW w:w="16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$100.00</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$125.64</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$136.74</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$152.19</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$159.32</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$193.90</w:t>
            </w:r>
          </w:p>
        </w:tc>
      </w:tr>
    </w:tbl>
    <w:p>
      <w:pPr>
        <w:spacing w:after="0" w:line="200" w:lineRule="exact"/>
        <w:rPr>
          <w:sz w:val="20"/>
          <w:szCs w:val="20"/>
          <w:color w:val="auto"/>
        </w:rPr>
      </w:pP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[RESERVED]</w:t>
      </w:r>
      <w:r>
        <w:rPr>
          <w:rFonts w:ascii="Arial" w:cs="Arial" w:eastAsia="Arial" w:hAnsi="Arial"/>
          <w:sz w:val="17"/>
          <w:szCs w:val="17"/>
          <w:color w:val="000000"/>
        </w:rPr>
        <w:t>.</w:t>
      </w:r>
    </w:p>
    <w:p>
      <w:pPr>
        <w:spacing w:after="0" w:line="172"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00497F"/>
        </w:rPr>
        <w:t>ITEM 7. MANAGEMENT'S DISCUSSION AND ANALYSIS OF FINANCIAL CONDITION AND RESULTS OF OPERATIONS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Management’s Discussion and Analysis of Financial Condition and Results of Operations is intended to inform the reader about matters affecting the financial condition and results of operations of EZCORP Inc. and its subsidiaries (collectively, “we,” “us”, “our” or the “Company”) for the two-year period ended September 30, 2021. The following discussion should be read together with our consolidated financial statements and accompanying notes included in “Part II, Item 8 — Financial Statements and Supplementary Data.” This discussion and analysis contains forward-looking statements, and our actual results could differ materially from those anticipated in these forward-looking statements. See “Part I, Item 1A — Risk Factors” and “Cautionary Statement Regarding Risks and Uncertainties That May Affect Future Results” below.</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June 2021, we completed the acquisition of 100% of the common shares of PLO del Bajio S. de R.L. de C.V. (“Bajio”) and gained control of the entity, further expanding our geographic footprint within Mexico with the addition of 128 pawn stores. These stores, operating under the name "Cash Apoyo Efectivo," are located principally in the Mexico City metropolitan area and have strong brand recognition in that market. This was our largest acquisition to date in terms of store-count. The total consideration paid for Bajio was $23.6 million, consisting of cash of $17.4 million, of which $11.6 million was paid in cash at closing and the remaining $5.8 million is accrued and held as restricted cash to be paid out per the acquisition agreement, and 212,870 shares of our Class A Non-Voting Common Stock valued at $1.6 million. In addition, the sellers may be entitled to additional payments of up to $4.6 million over the next two years, contingent on the performance of the acquired stores with growing its loan portfolio. We also repaid $14.9 million of Bajio’s existing debt assumed in the acquisition.</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May 2021, we acquired 11 pawn stores in the Houston, Texas area, providing an immediate market-leading position in the South Houston area and enhancing our already strong position in the strategically important Houston metro market.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COVID-19 pandemic continues to affect the U.S. and global economies, and as disclosed in our 2020 Annual Report on Form 10-K, the pandemic also affected our business in a variety of ways beginning in the second quarter of fiscal 2020 and continuing into fiscal 2021. The full extent and duration of the COVID-19 impact on the global economy generally, and on our business specifically, is currently unknown. The impact of the pandemic, and the recovery therefrom, continued to adversely affect net revenues and earnings in fiscal 2021. During the latter part of fiscal 2021, we saw pawn transaction activity continue to rebuild, driving PLO balances closer to pre-pandemic levels, which will drive accelerating PSC revenue in the coming quarters given the natural lag between pawn originations and related fees. A prolonged pandemic and recovery may have an adverse effect on our results of operations, financial position and liquidity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twelve months ended September 30, 2021 and 2020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300" w:type="dxa"/>
            <w:vAlign w:val="bottom"/>
            <w:gridSpan w:val="4"/>
            <w:vMerge w:val="restart"/>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5680" w:type="dxa"/>
            <w:vAlign w:val="bottom"/>
          </w:tcPr>
          <w:p>
            <w:pPr>
              <w:spacing w:after="0"/>
              <w:rPr>
                <w:sz w:val="18"/>
                <w:szCs w:val="18"/>
                <w:color w:val="auto"/>
              </w:rPr>
            </w:pPr>
          </w:p>
        </w:tc>
        <w:tc>
          <w:tcPr>
            <w:tcW w:w="230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5"/>
        </w:trPr>
        <w:tc>
          <w:tcPr>
            <w:tcW w:w="568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Guatemalan quetzal</w:t>
            </w:r>
          </w:p>
        </w:tc>
        <w:tc>
          <w:tcPr>
            <w:tcW w:w="4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Peruvian sol</w:t>
            </w: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vs. Fiscal 2020</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consolidated financial data for fiscal 2021 and fiscal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Fiscal Year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6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35"/>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260,196</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272,638</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442,798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498,213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(11)%</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185,580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163,732</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900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26,025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47,953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(46)%</w:t>
            </w:r>
          </w:p>
        </w:tc>
      </w:tr>
      <w:tr>
        <w:trPr>
          <w:trHeight w:val="219"/>
        </w:trPr>
        <w:tc>
          <w:tcPr>
            <w:tcW w:w="6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Jewelry scrapping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9,912</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(68)%</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(900)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60"/>
              <w:spacing w:after="0"/>
              <w:rPr>
                <w:sz w:val="20"/>
                <w:szCs w:val="20"/>
                <w:color w:val="auto"/>
              </w:rPr>
            </w:pPr>
            <w:r>
              <w:rPr>
                <w:rFonts w:ascii="Arial" w:cs="Arial" w:eastAsia="Arial" w:hAnsi="Arial"/>
                <w:sz w:val="16"/>
                <w:szCs w:val="16"/>
                <w:color w:val="auto"/>
              </w:rPr>
              <w:t>Other revenues, net</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2,919</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(82)%</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449,485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449,201</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330,837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336,770</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56,495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54,133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54,666</w:t>
            </w:r>
          </w:p>
        </w:tc>
        <w:tc>
          <w:tcPr>
            <w:tcW w:w="14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30,672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30,827</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801</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(90)%</w:t>
            </w:r>
          </w:p>
        </w:tc>
      </w:tr>
      <w:tr>
        <w:trPr>
          <w:trHeight w:val="213"/>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20,388</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8"/>
              </w:rPr>
              <w:t>(99)%</w:t>
            </w:r>
          </w:p>
        </w:tc>
      </w:tr>
      <w:tr>
        <w:trPr>
          <w:trHeight w:val="209"/>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418,316</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497,585</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(16)%</w:t>
            </w:r>
          </w:p>
        </w:tc>
      </w:tr>
      <w:tr>
        <w:trPr>
          <w:trHeight w:val="199"/>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22,177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22,472</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(2,445)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(3,173)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(23)%</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2,429</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257%</w:t>
            </w:r>
          </w:p>
        </w:tc>
      </w:tr>
      <w:tr>
        <w:trPr>
          <w:trHeight w:val="213"/>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1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non-operating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15,107</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21,711</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(30)%</w:t>
            </w:r>
          </w:p>
        </w:tc>
      </w:tr>
      <w:tr>
        <w:trPr>
          <w:trHeight w:val="199"/>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16,062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(70,095)</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123%</w:t>
            </w:r>
          </w:p>
        </w:tc>
      </w:tr>
      <w:tr>
        <w:trPr>
          <w:trHeight w:val="213"/>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(1,632)</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556%</w:t>
            </w:r>
          </w:p>
        </w:tc>
      </w:tr>
      <w:tr>
        <w:trPr>
          <w:trHeight w:val="21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EZCORP, Inc.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8,612</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(68,463)</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113%</w:t>
            </w:r>
          </w:p>
        </w:tc>
      </w:tr>
      <w:tr>
        <w:trPr>
          <w:trHeight w:val="199"/>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pawn earning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175,901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131,323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34%</w:t>
            </w:r>
          </w:p>
        </w:tc>
      </w:tr>
      <w:tr>
        <w:trPr>
          <w:trHeight w:val="216"/>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110,989</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95,891</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16%</w:t>
            </w:r>
          </w:p>
        </w:tc>
      </w:tr>
      <w:tr>
        <w:trPr>
          <w:trHeight w:val="210"/>
        </w:trPr>
        <w:tc>
          <w:tcPr>
            <w:tcW w:w="68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net pawn earning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286,890</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227,214</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26%</w:t>
            </w:r>
          </w:p>
        </w:tc>
      </w:tr>
    </w:tbl>
    <w:p>
      <w:pPr>
        <w:spacing w:after="0" w:line="140" w:lineRule="exact"/>
        <w:rPr>
          <w:sz w:val="20"/>
          <w:szCs w:val="20"/>
          <w:color w:val="auto"/>
        </w:rPr>
      </w:pPr>
    </w:p>
    <w:p>
      <w:pPr>
        <w:ind w:left="720" w:hanging="694"/>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revenues for fiscal 2021 were $449.5 million compared to $449.2 million in the prior year, reflecting lower average PLO (driving lower PSC), offset by improved sales profit margins. PSC decreased 5% due to a decline in new loans activity and PLO as customer borrowing behaviors were impacted by COVID-19 during the latter half of fiscal 2020 and through much of fiscal 2021. PLO increased 34% during fiscal 2021 as pawn transaction activity steadily rebuilt through the year. Merchandise sales decreased 11% compared to fiscal 2020 when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COVID-19 pandemic drove significant increases in sales volume in the latter half of year. Gross margin on merchandise sales grew 900 bps to 42%, resulting in a 13% increase in merchandise sales gross profit, primarily driven by effective inventory management.</w:t>
      </w:r>
    </w:p>
    <w:p>
      <w:pPr>
        <w:spacing w:after="0" w:line="144"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Operating expenses decreased $ 79.3 million or 16%, primarily due to the $54.7 million goodwill impairment charge and the other charges of $20.4 million recorded during the prior year. In fiscal 2020, a reversal of incentive compensation for $20.9 million was recorded resulting from the termination of certain executives ($12.0 million) and the impact of COVID-19 to long-term and short-term incentive plans ($8.9 million).</w:t>
      </w:r>
    </w:p>
    <w:p>
      <w:pPr>
        <w:ind w:right="20"/>
        <w:spacing w:after="0" w:line="256" w:lineRule="auto"/>
        <w:rPr>
          <w:sz w:val="20"/>
          <w:szCs w:val="20"/>
          <w:color w:val="auto"/>
        </w:rPr>
      </w:pPr>
      <w:r>
        <w:rPr>
          <w:rFonts w:ascii="Arial" w:cs="Arial" w:eastAsia="Arial" w:hAnsi="Arial"/>
          <w:sz w:val="18"/>
          <w:szCs w:val="18"/>
          <w:color w:val="auto"/>
        </w:rPr>
        <w:t>Excluding these charges and the reversal of incentive compensation, operating expenses decreased $25.1 million or 6%, primarily due to the strategic initiatives implemented in the fourth quarter of fiscal 2020, including cost optimization at the corporate level and cost cutting at the store level due to reduced transaction activity.</w:t>
      </w:r>
    </w:p>
    <w:p>
      <w:pPr>
        <w:spacing w:after="0" w:line="14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During fiscal 2020, we recorded goodwill, intangible and other assets impairment charges of $54.7 million, as further described in Note 8: Goodwill and Intangible Assets of Notes to Consolidated Financial Statements included in “Part II, Item 8 — Financial Statements and Supplemental Data.”</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fiscal 2020, we recorded other charges of $20.4 million due to the implementation of strategic initiatives, as further described in Note 2: Other Charges of Notes to Consolidated Financial Statements included in “Part II, Item 8 — Financial Statements and Supplemental Data.”</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Total non-operating expenses decreased $6.6 million, or 30%, primarily due to non-recurring costs incurred in the prior year of a $7.1 million charge ($10.1 million, net of a $ 3.0 million tax benefit) for our share of the Cash Converters settlement of a class action lawsuit and a $5.0 million charge for the closure of our CASHMAX business in Canada.</w:t>
      </w:r>
    </w:p>
    <w:p>
      <w:pPr>
        <w:spacing w:after="0" w:line="148"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Income tax expense increased $9.1 million primarily due to an increase in income before income taxes of $ 86.2 million, offset by a decrease in income tax expense of approximately $9.0 million due to non-deductible goodwill impairments booked in the second quarter of fiscal 2020.</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our U.S. Pawn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Fiscal Year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6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35"/>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196,721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210,081</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341,495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391,921</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(13)%</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150,456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140,377</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800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15,260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36,691</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(58)%</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8,627</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(74)%</w:t>
            </w:r>
          </w:p>
        </w:tc>
      </w:tr>
      <w:tr>
        <w:trPr>
          <w:trHeight w:val="213"/>
        </w:trPr>
        <w:tc>
          <w:tcPr>
            <w:tcW w:w="68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(900) bps</w:t>
            </w:r>
          </w:p>
        </w:tc>
      </w:tr>
      <w:tr>
        <w:trPr>
          <w:trHeight w:val="219"/>
        </w:trPr>
        <w:tc>
          <w:tcPr>
            <w:tcW w:w="6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150</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(30)%</w:t>
            </w:r>
          </w:p>
        </w:tc>
      </w:tr>
      <w:tr>
        <w:trPr>
          <w:trHeight w:val="219"/>
        </w:trPr>
        <w:tc>
          <w:tcPr>
            <w:tcW w:w="6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349,541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359,235</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6"/>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253,344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261,608</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10,000</w:t>
            </w:r>
          </w:p>
        </w:tc>
        <w:tc>
          <w:tcPr>
            <w:tcW w:w="14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10,650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11,030</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r>
      <w:tr>
        <w:trPr>
          <w:trHeight w:val="216"/>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3,106</w:t>
            </w:r>
          </w:p>
        </w:tc>
        <w:tc>
          <w:tcPr>
            <w:tcW w:w="140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09"/>
        </w:trPr>
        <w:tc>
          <w:tcPr>
            <w:tcW w:w="684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85,547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73,491</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16%</w:t>
            </w:r>
          </w:p>
        </w:tc>
      </w:tr>
      <w:tr>
        <w:trPr>
          <w:trHeight w:val="216"/>
        </w:trPr>
        <w:tc>
          <w:tcPr>
            <w:tcW w:w="6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 segment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385</w:t>
            </w:r>
          </w:p>
        </w:tc>
        <w:tc>
          <w:tcPr>
            <w:tcW w:w="140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(93)%</w:t>
            </w:r>
          </w:p>
        </w:tc>
      </w:tr>
      <w:tr>
        <w:trPr>
          <w:trHeight w:val="210"/>
        </w:trPr>
        <w:tc>
          <w:tcPr>
            <w:tcW w:w="68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85,520</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73,106</w:t>
            </w:r>
          </w:p>
        </w:tc>
        <w:tc>
          <w:tcPr>
            <w:tcW w:w="140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17%</w:t>
            </w:r>
          </w:p>
        </w:tc>
      </w:tr>
      <w:tr>
        <w:trPr>
          <w:trHeight w:val="199"/>
        </w:trPr>
        <w:tc>
          <w:tcPr>
            <w:tcW w:w="6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235</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3"/>
        </w:trPr>
        <w:tc>
          <w:tcPr>
            <w:tcW w:w="68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 bps</w:t>
            </w: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 bps</w:t>
            </w:r>
          </w:p>
        </w:tc>
      </w:tr>
    </w:tbl>
    <w:p>
      <w:pPr>
        <w:spacing w:after="0" w:line="140" w:lineRule="exact"/>
        <w:rPr>
          <w:sz w:val="20"/>
          <w:szCs w:val="20"/>
          <w:color w:val="auto"/>
        </w:rPr>
      </w:pPr>
    </w:p>
    <w:p>
      <w:pPr>
        <w:ind w:left="520" w:hanging="49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Pawn service charges decreased 6% primarily due to a decline in new loans activity and PLO as customer borrowing behaviors were impacted by COVID-19 and related government stimulus initiatives during the latter half of fiscal 2020 and through the first half of fiscal 2021. Merchandise sales decreased 13% compared to fiscal 2020 when the COVID-19 pandemic drove significant increases in sales volume in the latter half of year. Gross margin on merchandise sales grew 800 bps to 44%, resulting in a 7% increase in merchandise sales gross profit, primarily driven by effective inventory management.</w:t>
      </w:r>
    </w:p>
    <w:p>
      <w:pPr>
        <w:spacing w:after="0" w:line="151"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Store expenses decreased 3%. In fiscal 2020, a reversal of incentive compensation for $2.4 million was recorded resulting from the termination of certain executives ($1.2 million) and the impact of COVID-19 to long-term and short-term incentive plans ($1.2 million). Excluding the reversal of incentive compensation, store expenses decreased $10.7 million or 4%, primarily due to the strategic initiatives implemented in the fourth quarter of fiscal year 2020, including cost cutting at the store level due to reduced transaction activity.</w:t>
      </w:r>
    </w:p>
    <w:p>
      <w:pPr>
        <w:spacing w:after="0" w:line="13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Segment contribution increased $12.4 million primarily due to the $10.0 million goodwill impairment charge and the other charges of $3.1 million recorded during the prior year. Excluding these charges and the reversal of incentive compensation described above, segment contribution increased $1.7 million due to the changes in net revenues and store expenses described above.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 following table presents selected summary financial data from our Latin America Pawn segment, including constant currency results, after translation to U.S. dollars from functional currencies. See “Results of Operations — Non-GAAP Financial Information” above.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rPr>
              <w:t>Fiscal Year Ended September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Change</w:t>
            </w:r>
          </w:p>
        </w:tc>
        <w:tc>
          <w:tcPr>
            <w:tcW w:w="200" w:type="dxa"/>
            <w:vAlign w:val="bottom"/>
          </w:tcPr>
          <w:p>
            <w:pPr>
              <w:spacing w:after="0"/>
              <w:rPr>
                <w:sz w:val="13"/>
                <w:szCs w:val="13"/>
                <w:color w:val="auto"/>
              </w:rPr>
            </w:pPr>
          </w:p>
        </w:tc>
        <w:tc>
          <w:tcPr>
            <w:tcW w:w="12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(Constant</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(GAAP)</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(GAAP)</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(GAAP)</w:t>
            </w: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63,475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62,557</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61,523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101,303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106,292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98,158</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23,355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33,940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1,300 bps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1,300 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10,765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11,262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10,415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(200) bps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(200) 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Other revenues (expenses), net</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106%</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99,524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87,096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96,409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77,493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69,916</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75,251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7,749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Arial" w:cs="Arial" w:eastAsia="Arial" w:hAnsi="Arial"/>
                <w:sz w:val="16"/>
                <w:szCs w:val="16"/>
                <w:color w:val="auto"/>
              </w:rPr>
              <w:t>Impairment of goodwill, intangible and other assets</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35,938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 charges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1,715</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(87)%</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0"/>
        </w:trPr>
        <w:tc>
          <w:tcPr>
            <w:tcW w:w="4240" w:type="dxa"/>
            <w:vAlign w:val="bottom"/>
          </w:tcPr>
          <w:p>
            <w:pPr>
              <w:ind w:left="480"/>
              <w:spacing w:after="0"/>
              <w:rPr>
                <w:sz w:val="20"/>
                <w:szCs w:val="20"/>
                <w:color w:val="auto"/>
              </w:rPr>
            </w:pPr>
            <w:r>
              <w:rPr>
                <w:rFonts w:ascii="Arial" w:cs="Arial" w:eastAsia="Arial" w:hAnsi="Arial"/>
                <w:sz w:val="16"/>
                <w:szCs w:val="16"/>
                <w:color w:val="auto"/>
              </w:rPr>
              <w:t>Segment operating contribution (loss)</w:t>
            </w:r>
          </w:p>
        </w:tc>
        <w:tc>
          <w:tcPr>
            <w:tcW w:w="2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14,431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(27,788)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13,187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147%</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Other segment income (a)</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(2,862)</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(1,129)</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(2,782)</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146%</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17,293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(26,659)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15,969</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160%</w:t>
            </w: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200 bps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200 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 (c)</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200 bps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200 bps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40" w:right="340" w:hanging="514"/>
        <w:spacing w:after="0" w:line="229"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Fiscal 2021 and 2020 constant currency amounts exclude net GAAP basis foreign currency transaction gains of $0.1 million and $0.5 million, respectively, resulting from movement in exchange rates.</w:t>
      </w:r>
    </w:p>
    <w:p>
      <w:pPr>
        <w:spacing w:after="0" w:line="16" w:lineRule="exact"/>
        <w:rPr>
          <w:rFonts w:ascii="Arial" w:cs="Arial" w:eastAsia="Arial" w:hAnsi="Arial"/>
          <w:sz w:val="14"/>
          <w:szCs w:val="14"/>
          <w:color w:val="auto"/>
        </w:rPr>
      </w:pPr>
    </w:p>
    <w:p>
      <w:pPr>
        <w:ind w:left="540" w:hanging="51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8" w:lineRule="exact"/>
        <w:rPr>
          <w:rFonts w:ascii="Arial" w:cs="Arial" w:eastAsia="Arial" w:hAnsi="Arial"/>
          <w:sz w:val="14"/>
          <w:szCs w:val="14"/>
          <w:color w:val="auto"/>
        </w:rPr>
      </w:pPr>
    </w:p>
    <w:p>
      <w:pPr>
        <w:ind w:left="540" w:hanging="51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Rate is solely inclusive of results from Empeño Fácil.</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2021 Change</w:t>
            </w:r>
          </w:p>
        </w:tc>
        <w:tc>
          <w:tcPr>
            <w:tcW w:w="16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2021 Change</w:t>
            </w:r>
          </w:p>
        </w:tc>
      </w:tr>
      <w:tr>
        <w:trPr>
          <w:trHeight w:val="215"/>
        </w:trPr>
        <w:tc>
          <w:tcPr>
            <w:tcW w:w="7680" w:type="dxa"/>
            <w:vAlign w:val="bottom"/>
          </w:tcPr>
          <w:p>
            <w:pPr>
              <w:spacing w:after="0"/>
              <w:rPr>
                <w:sz w:val="18"/>
                <w:szCs w:val="18"/>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(GAAP)</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 (a)</w:t>
            </w:r>
          </w:p>
        </w:tc>
        <w:tc>
          <w:tcPr>
            <w:tcW w:w="1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20"/>
              <w:spacing w:after="0"/>
              <w:rPr>
                <w:sz w:val="20"/>
                <w:szCs w:val="20"/>
                <w:color w:val="auto"/>
              </w:rPr>
            </w:pPr>
            <w:r>
              <w:rPr>
                <w:rFonts w:ascii="Arial" w:cs="Arial" w:eastAsia="Arial" w:hAnsi="Arial"/>
                <w:sz w:val="16"/>
                <w:szCs w:val="16"/>
                <w:color w:val="auto"/>
              </w:rPr>
              <w:t>PLO</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37%</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29%</w:t>
            </w: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r>
      <w:tr>
        <w:trPr>
          <w:trHeight w:val="213"/>
        </w:trPr>
        <w:tc>
          <w:tcPr>
            <w:tcW w:w="768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(14)%</w:t>
            </w: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w:t>
            </w:r>
          </w:p>
        </w:tc>
      </w:tr>
      <w:tr>
        <w:trPr>
          <w:trHeight w:val="210"/>
        </w:trPr>
        <w:tc>
          <w:tcPr>
            <w:tcW w:w="768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700" w:type="dxa"/>
            <w:vAlign w:val="bottom"/>
          </w:tcPr>
          <w:p>
            <w:pPr>
              <w:jc w:val="center"/>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1%</w:t>
            </w:r>
          </w:p>
        </w:tc>
      </w:tr>
    </w:tbl>
    <w:p>
      <w:pPr>
        <w:spacing w:after="0" w:line="308" w:lineRule="exact"/>
        <w:rPr>
          <w:sz w:val="20"/>
          <w:szCs w:val="20"/>
          <w:color w:val="auto"/>
        </w:rPr>
      </w:pPr>
    </w:p>
    <w:p>
      <w:pPr>
        <w:ind w:left="540" w:hanging="51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Stores open at the end of the period included in the same store calculation were 466.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2021, we acquired 128 stores and opened 15 de novo stores.</w:t>
      </w:r>
    </w:p>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PLO increased 60% to $ 40.0 million (51% on constant currency basis). On a same store basis, PLO increased 37% (29% on a constant currency basis). Though PLO has significantly improved, the average monthly ending PLO per store during the year was down 16% (19% 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 constant currency basis) resulting from a substantial decline in new loans activity and associated loan balances due to the COVID-19 effects on the business in fiscal 2020.</w:t>
      </w:r>
    </w:p>
    <w:p>
      <w:pPr>
        <w:spacing w:after="0" w:line="14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PSC increased 1% (decreased 2% on a constant currency basis) and same store PSC decreased by 4% (7% on a constant currency basis) due to the lower average PLO during the year offset by a higher yield.</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Merchandise sales decreased 5% (8% on a constant currency basis) and 12% on a same store basis (14% on a constant currency basis). This decrease in merchandise sales was offset by an increase in merchandise sales gross profit driven by a substantial improvement in merchandise sales gross profit margin primarily due to effective inventory management.</w:t>
      </w:r>
    </w:p>
    <w:p>
      <w:pPr>
        <w:spacing w:after="0" w:line="14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Store expenses increased $7.6 million or 11% (8% on a constant currency basis) primarily due to growth in store count during the year. On a same-store basis, store expenses increased by $2.8 million or 4% (1% on a constant currency basis).</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contribution increased $44.0 million, or 165%, to $17.3 million (160% on a constant currency basis). Excluding the $35.9 million goodwill impairment charge and the other charges of $ 1.7 million recorded during the prior year, segment contribution increased $6.3 million, primarily due to the changes in net revenues and store expenses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International</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following table presents selected summary financial data for our Other International segment after translation to U.S. dollars from its functional currency of primarily Australian and Canadian dollars:</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4"/>
          </w:tcPr>
          <w:p>
            <w:pPr>
              <w:jc w:val="right"/>
              <w:ind w:right="599"/>
              <w:spacing w:after="0" w:line="171" w:lineRule="exact"/>
              <w:rPr>
                <w:sz w:val="20"/>
                <w:szCs w:val="20"/>
                <w:color w:val="auto"/>
              </w:rPr>
            </w:pPr>
            <w:r>
              <w:rPr>
                <w:rFonts w:ascii="Arial" w:cs="Arial" w:eastAsia="Arial" w:hAnsi="Arial"/>
                <w:sz w:val="16"/>
                <w:szCs w:val="16"/>
                <w:b w:val="1"/>
                <w:bCs w:val="1"/>
                <w:color w:val="auto"/>
              </w:rPr>
              <w:t>Fiscal Year Ended</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5"/>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r>
      <w:tr>
        <w:trPr>
          <w:trHeight w:val="35"/>
        </w:trPr>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Net revenues:</w:t>
            </w:r>
          </w:p>
        </w:tc>
        <w:tc>
          <w:tcPr>
            <w:tcW w:w="59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6"/>
                <w:szCs w:val="16"/>
                <w:color w:val="auto"/>
              </w:rPr>
              <w:t>Consumer loan fees and interest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3,823</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700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6"/>
                <w:szCs w:val="16"/>
                <w:color w:val="auto"/>
              </w:rPr>
              <w:t>Consumer loan bad debt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4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09"/>
        </w:trPr>
        <w:tc>
          <w:tcPr>
            <w:tcW w:w="20" w:type="dxa"/>
            <w:vAlign w:val="bottom"/>
          </w:tcPr>
          <w:p>
            <w:pPr>
              <w:spacing w:after="0"/>
              <w:rPr>
                <w:sz w:val="18"/>
                <w:szCs w:val="18"/>
                <w:color w:val="auto"/>
              </w:rPr>
            </w:pPr>
          </w:p>
        </w:tc>
        <w:tc>
          <w:tcPr>
            <w:tcW w:w="7000" w:type="dxa"/>
            <w:vAlign w:val="bottom"/>
            <w:gridSpan w:val="2"/>
          </w:tcPr>
          <w:p>
            <w:pPr>
              <w:ind w:left="460"/>
              <w:spacing w:after="0"/>
              <w:rPr>
                <w:sz w:val="20"/>
                <w:szCs w:val="20"/>
                <w:color w:val="auto"/>
              </w:rPr>
            </w:pPr>
            <w:r>
              <w:rPr>
                <w:rFonts w:ascii="Arial" w:cs="Arial" w:eastAsia="Arial" w:hAnsi="Arial"/>
                <w:sz w:val="16"/>
                <w:szCs w:val="16"/>
                <w:color w:val="auto"/>
              </w:rPr>
              <w:t>Net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2,870</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(85)%</w:t>
            </w:r>
          </w:p>
        </w:tc>
      </w:tr>
      <w:tr>
        <w:trPr>
          <w:trHeight w:val="219"/>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Segment 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Store expenses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3"/>
        </w:trPr>
        <w:tc>
          <w:tcPr>
            <w:tcW w:w="20" w:type="dxa"/>
            <w:vAlign w:val="bottom"/>
          </w:tcPr>
          <w:p>
            <w:pPr>
              <w:spacing w:after="0"/>
              <w:rPr>
                <w:sz w:val="18"/>
                <w:szCs w:val="18"/>
                <w:color w:val="auto"/>
              </w:rPr>
            </w:pPr>
          </w:p>
        </w:tc>
        <w:tc>
          <w:tcPr>
            <w:tcW w:w="7000" w:type="dxa"/>
            <w:vAlign w:val="bottom"/>
            <w:gridSpan w:val="2"/>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1,149</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(100)%</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3"/>
        </w:trPr>
        <w:tc>
          <w:tcPr>
            <w:tcW w:w="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Equity in net (income) loss of unconsolidated affiliates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7"/>
              </w:rPr>
              <w:t>257%</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Segment operating contribution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(9,824)</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143%</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20" w:type="dxa"/>
            <w:vAlign w:val="bottom"/>
            <w:tcBorders>
              <w:bottom w:val="single" w:sz="8" w:color="auto"/>
            </w:tcBorders>
            <w:shd w:val="clear" w:color="auto" w:fill="CCEEFF"/>
          </w:tcPr>
          <w:p>
            <w:pPr>
              <w:spacing w:after="0"/>
              <w:rPr>
                <w:sz w:val="18"/>
                <w:szCs w:val="18"/>
                <w:color w:val="auto"/>
              </w:rPr>
            </w:pPr>
          </w:p>
        </w:tc>
        <w:tc>
          <w:tcPr>
            <w:tcW w:w="7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Other segment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4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132%</w:t>
            </w:r>
          </w:p>
        </w:tc>
      </w:tr>
      <w:tr>
        <w:trPr>
          <w:trHeight w:val="209"/>
        </w:trPr>
        <w:tc>
          <w:tcPr>
            <w:tcW w:w="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color w:val="auto"/>
              </w:rPr>
              <w:t>Segment contribution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(10,359)</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7"/>
              </w:rPr>
              <w:t>142%</w:t>
            </w:r>
          </w:p>
        </w:tc>
      </w:tr>
    </w:tbl>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Segment contribution was $4.4 million. When excluding the $7.1 million charge ($10.1 million, net of a $3.0 million tax benefit) for our share of the Cash Converters settlement of a class action lawsuit and a $5.0 million charge for the closure of our CASHMAX business in Canada in the prior year, segment contribution increased $2.7 million, primarily due to the elimination of store losses from CASHMAX.</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Change</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36,088</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197%</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Corporate expenses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54,133</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4%</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Impairment of goodwill and intangibles</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7,579</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(100)%</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12,414</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(88)%</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21,238</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(71)%</w:t>
            </w:r>
          </w:p>
        </w:tc>
      </w:tr>
      <w:tr>
        <w:trPr>
          <w:trHeight w:val="213"/>
        </w:trPr>
        <w:tc>
          <w:tcPr>
            <w:tcW w:w="70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68%</w:t>
            </w:r>
          </w:p>
        </w:tc>
      </w:tr>
      <w:tr>
        <w:trPr>
          <w:trHeight w:val="213"/>
        </w:trPr>
        <w:tc>
          <w:tcPr>
            <w:tcW w:w="7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123%</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7"/>
              </w:rPr>
              <w:t>556%</w:t>
            </w:r>
          </w:p>
        </w:tc>
      </w:tr>
      <w:tr>
        <w:trPr>
          <w:trHeight w:val="209"/>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(68,463)</w:t>
            </w:r>
          </w:p>
        </w:tc>
        <w:tc>
          <w:tcPr>
            <w:tcW w:w="14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113%</w:t>
            </w:r>
          </w:p>
        </w:tc>
      </w:tr>
    </w:tbl>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Segment contribution increased $71.1 million, primarily due to a $47.1 million impairment charge of certain long-lived assets, $8.6 million in other charges and a $ 7.1 million charge ($10.1 million, net of a $3.0 million tax benefit) for our share of the Cash Converters settlement of a class action lawsuit in fiscal 2020. Excluding those charges, segment contribution increased by $8.3 million or 8% primarily due to the improvements of the Latin America pawn segment.</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General and administrative expenses increased $2.4 million, or 4%. In fiscal 2020, a reversal of incentive compensation for $17.0 million was recorded resulting from the termination of certain executives ($10.3 million) and the impact of COVID-19 to long-term and short-term incentive plans ($6.7 million). Excluding the reversal of incentive compensation, general and administrative expenses decreased $14.6 million or 21%, due to expense optimization initiatives that started at the end of the fourth quarter of fiscal 2020.</w:t>
      </w:r>
    </w:p>
    <w:p>
      <w:pPr>
        <w:spacing w:after="0" w:line="15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Other charges of $11.8 million incurred in the prior year resulted from the implementation of cost saving initiatives and rationalizing non-core activities.</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Income tax expense increased $9.1 million primarily due to an increase in income before income taxes of $ 86.2 million offset by a decrease in income tax expense of approximately $9.0 million due to non-deductible goodwill impairments booked in the second quarter of fiscal 2020.</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11: Income Taxes of Notes to Consolidated Financial Statements included in “Part II, Item 8 — Financial Statements and Supplemental Data” for quantification of these items.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2020 vs. Fiscal 2019</w:t>
      </w:r>
    </w:p>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Results of Operations discussion for fiscal 2020 vs. fiscal 2019 has been omitted and is located in “Part II, Item 7 — Management’s Discussion and Analysis of Financial Condition and Results of Operations” of our Annual Report on Form 10-K for the year ended September 30, 2020, which was filed with the SEC on December 14, 2020.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 a summary of the sources and uses of our cash:</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Change</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49,078</w:t>
            </w:r>
          </w:p>
        </w:tc>
        <w:tc>
          <w:tcPr>
            <w:tcW w:w="14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Cash flows (used in) provided by 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(84,611)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109,898</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(177)%</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14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(160)%</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5,497</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14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w:t>
            </w:r>
          </w:p>
        </w:tc>
      </w:tr>
      <w:tr>
        <w:trPr>
          <w:trHeight w:val="209"/>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(48,929)</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150,111</w:t>
            </w:r>
          </w:p>
        </w:tc>
        <w:tc>
          <w:tcPr>
            <w:tcW w:w="14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(133)%</w:t>
            </w:r>
          </w:p>
        </w:tc>
      </w:tr>
    </w:tbl>
    <w:p>
      <w:pPr>
        <w:spacing w:after="0" w:line="140" w:lineRule="exact"/>
        <w:rPr>
          <w:sz w:val="20"/>
          <w:szCs w:val="20"/>
          <w:color w:val="auto"/>
        </w:rPr>
      </w:pPr>
    </w:p>
    <w:p>
      <w:pPr>
        <w:ind w:left="420" w:hanging="394"/>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decrease in cash flows from operating activities year-over-year was due to a $31.2 million decrease from changes in working capital, offset by a $28.6 million increase in net income, exclusive of non-cash items. Changes in working capital are primarily related to the timing of collections in pawn service charges receivable, inventory purchases and the timing of payments of accounts payable and prepaid expenses.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decrease in cash flows from investing activities year-over-year was primarily due to a $95.8 million decrease in the sale of forfeited collateral, a decrease of $ 76.6 million in net pawn lending and collections and acquisitions of $19.0 million. The decrease in sale of forfeited collateral and decrease in net pawn lending and collections was primarily attributable to a change in customer borrowing behaviors during the COVID-19 pandemic. The $19.0 million in acquisitions is primarily attributable to the CAE acquisition discussed in Note 3: Acquisitions of Notes to Consolidated Financial Statements included in “Part II, Item 8 — Financial Statements and Supplemental Data.”</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increase in cash flows used in financing activities year-over-year was primarily due to the payment of assumed debt of $14.9 million from the CAE acquisition, offset by a $5.2 million decrease from the repurchase of common stock in the prior year.</w:t>
      </w:r>
    </w:p>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net effect of these changes was a $48.9 million decrease in cash on hand during the current year, resulting in a $263.6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December 2019, our Board of Directors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As of September 30, 2021, we had repurchased and retired 943,149 shares of our Class A Common Stock for $5.2 million. The resumption of our stock repurchase program and the amount and timing of purchases will be dependent on a variety of factors, such as the return to normal business conditions, stock price, trading volume, general market conditions, legal and regulatory requirements, cash flow levels and corporate considerations determined by management and the Board, such as liquidity and capital needs and the availability of attractive alternative investment opportunities. The Board of Directors has reserved the right to modify, suspend or terminate the program at any time. We did not make any stock repurchases during the year ended September 30, 2021.</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2022.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Given the current uncertainty related to the COVID-19 pandemic, we may adjust our capital or other expenditures.</w:t>
      </w:r>
      <w:r>
        <w:rPr>
          <w:rFonts w:ascii="Arial" w:cs="Arial" w:eastAsia="Arial" w:hAnsi="Arial"/>
          <w:sz w:val="18"/>
          <w:szCs w:val="18"/>
          <w:color w:val="auto"/>
        </w:rPr>
        <w:t xml:space="preserve"> </w:t>
      </w:r>
      <w:r>
        <w:rPr>
          <w:rFonts w:ascii="Arial" w:cs="Arial" w:eastAsia="Arial" w:hAnsi="Arial"/>
          <w:sz w:val="18"/>
          <w:szCs w:val="18"/>
          <w:color w:val="212529"/>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Convertible Notes</w:t>
      </w:r>
    </w:p>
    <w:p>
      <w:pPr>
        <w:spacing w:after="0" w:line="1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a description of the terms of our convertible notes, including the associated conversion and other related features and transactions, see Note 9: Debt of Notes to Consolidated Financial Statements included in “Part II, Item 8 — Financial Statements and Supplemental Data.”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as of September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Less than</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13"/>
                <w:szCs w:val="13"/>
                <w:color w:val="auto"/>
              </w:rPr>
            </w:pPr>
          </w:p>
        </w:tc>
        <w:tc>
          <w:tcPr>
            <w:tcW w:w="11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1 year</w:t>
            </w: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35"/>
        </w:trPr>
        <w:tc>
          <w:tcPr>
            <w:tcW w:w="4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 (a)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Interest on long-term debt obligations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obligations (b)</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260,299</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66,434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98,140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56,335</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39,390</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(c) (d)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602,595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74,664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257,316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231,225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debt discount and deferred financing costs as well as convertible features.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$5.1 million in sublease payments expected to be received.</w:t>
      </w:r>
    </w:p>
    <w:p>
      <w:pPr>
        <w:spacing w:after="0" w:line="55" w:lineRule="exact"/>
        <w:rPr>
          <w:rFonts w:ascii="Arial" w:cs="Arial" w:eastAsia="Arial" w:hAnsi="Arial"/>
          <w:sz w:val="14"/>
          <w:szCs w:val="14"/>
          <w:color w:val="auto"/>
        </w:rPr>
      </w:pPr>
    </w:p>
    <w:p>
      <w:pPr>
        <w:ind w:left="340" w:right="40" w:hanging="332"/>
        <w:spacing w:after="0" w:line="249" w:lineRule="auto"/>
        <w:tabs>
          <w:tab w:leader="none" w:pos="344"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provision for uncertain tax benefits has been reflected in the contractual obligations table as the timing of any such payment is uncertain. See Note 11: Income Taxes of Notes to Consolidated Financial Statements included in “Part II, Item 8 — Financial Statements and Supplemental Data.” Additionally, no provision for insurance reserves, deferred compensation arrangements, or other liabilities totaling $7.6 million has been included as the timing of such payments are uncertain.</w:t>
      </w:r>
    </w:p>
    <w:p>
      <w:pPr>
        <w:spacing w:after="0" w:line="38" w:lineRule="exact"/>
        <w:rPr>
          <w:rFonts w:ascii="Arial" w:cs="Arial" w:eastAsia="Arial" w:hAnsi="Arial"/>
          <w:sz w:val="14"/>
          <w:szCs w:val="14"/>
          <w:color w:val="auto"/>
        </w:rPr>
      </w:pPr>
    </w:p>
    <w:p>
      <w:pPr>
        <w:ind w:left="340" w:right="440" w:hanging="332"/>
        <w:spacing w:after="0" w:line="258" w:lineRule="auto"/>
        <w:tabs>
          <w:tab w:leader="none" w:pos="349"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Total excludes contractual obligations already recorded on our consolidated balance sheets as current liabilities, except for the accrued portions of interest and lease obligations which are included in interest on long-term debt obligations and lease obligations captions above.</w:t>
      </w:r>
    </w:p>
    <w:p>
      <w:pPr>
        <w:spacing w:after="0" w:line="13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addition to the lease obligations in the table above, we are responsible for the maintenance, property taxes and insurance at most of our locations. During the fiscal year ended September 30, 2021, these collectively amounted to $25.5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Critical Accounting Estimates</w:t>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goodwill and indefinite-lived intangible assets, long-lived and other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critical accounting policies and estimates that could have a significant impact on our results of operations, as well as relevant recent accounting pronouncements, are described in Note 1: Organization and Summary of Significant Accounting Policies of Notes to Consolidated Financial Statements included in “Part II, Item 8 — Financial Statements and Supplemental Data.” Certain accounting policies regarding the quantification of the sensitivity of certain critical estimates are discussed further below.</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Loan Revenue Recognition</w:t>
      </w:r>
    </w:p>
    <w:p>
      <w:pPr>
        <w:spacing w:after="0" w:line="18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record PSC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2021, the balance of our PSC receivable was $29.3 million. Assuming the average forfeiture rate increased or decreased by 10%, our pawn service charges receivable balance as of September 30, 2021 would have increased or decreased by approximately $0.8 million.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Inventory and Cost of Goods Sold</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consider our estimates of obsolete or slow-moving inventory and shrinkage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and resulting trends in margins. Future declines in gold prices may cause an increase in reserve rates pertaining to jewelry inventory. As of September 30, 2021, the gross balance of our inventory was $115.3 million, for which we have included reserves of $4.3 million. Assuming the reserve rates were increased or decreased by 10%, our inventory reserve balance as of September 30, 2021 would have increased or decreased by approximately $0.4 million.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 and Indefinite-Lived Intangible Assets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test indefinite-lived intangible assets for impairment by first assessing qualitative factors to determine whether it is necessary to perform a quantitative impairment test. If we believe as a result of the qualitative assessment that it is more-likely-than-not that the fair value of the indefinite-lived intangible asset is less than its carrying amount, a quantitative impairment test is required. Otherwise, no further testing is required.</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consider the assessment of the occurrence of triggering events or substantive changes in circumstances that may indicate the fair value of goodwill may be impaired to be a critical estimate. Furthermore, we consider the assumptions discussed above pertaining to the income approach we use in the quantitative testing of impairment to be critical estimates.</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results of the impairment analyses for fiscal year 2021 and fiscal year 2020 are discussed in Note 8: Goodwill and Intangible Assets of Notes to Consolidated Financial Statements included in “Part II, Item 8 — Financial Statements and Supplemental Data.”</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net recorded deferred tax assets. In the event we determine all or part of the net deferred tax assets are not realizable in the future, we will make an adjustment to the valuation allowance that would be charged to earnings in the period such determination is made. We have included valuation allowances against deferred tax assets for net operating losses and tax credits not expected to be utilized based on specific facts and estimates for each jurisdiction.</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5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characterizations of our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Concentration of business in Texas and Florida;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sales, pawn loan balances, sales margins, pawn redemption rates or other important operating metrics;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indemnification obligations for pre-closing taxes related to our sale of Grupo Finmart;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regulatory fines and penalties, lawsuits and related liabilities related to firearms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robberies, burglaries and other crimes at our stores;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design or acquire, deploy and maintain adequate information technology and other business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adequate return on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natural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 or other intangible assets such as trade names;</w:t>
      </w:r>
    </w:p>
    <w:p>
      <w:pPr>
        <w:spacing w:after="0" w:line="63" w:lineRule="exact"/>
        <w:rPr>
          <w:rFonts w:ascii="Arial" w:cs="Arial" w:eastAsia="Arial" w:hAnsi="Arial"/>
          <w:sz w:val="18"/>
          <w:szCs w:val="18"/>
          <w:color w:val="auto"/>
        </w:rPr>
      </w:pPr>
    </w:p>
    <w:p>
      <w:pPr>
        <w:ind w:left="660" w:right="520" w:hanging="328"/>
        <w:spacing w:after="0" w:line="261" w:lineRule="auto"/>
        <w:tabs>
          <w:tab w:leader="none" w:pos="6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conversion of Convertible Notes into cash (which could adversely affect liquidity) or stock (which will cause dilution of existing stockholders);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number of unreserved shares available for future issuance;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health issues that could adversely affect our financial condition or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business, regulatory, political or social climate in Latin America;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 of future litigation and regulatory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exposure under anti-corruption, anti-bribery, anti-money laundering and other general business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data security breaches or other cyber-attacks;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civil unrest or government overthrow and other events beyond our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Item 1A — Risk Factors."</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7A. QUANTITATIVE AND QUALITATIVE DISCLOSURES ABOUT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primarily to gold values and changes in foreign currency exchange rates.</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earnings and financial position are affected by changes in gold values, and to a lesser extent silver and precious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spacing w:after="0" w:line="1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spacing w:after="0" w:line="14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translation adjustment from Cash Converters through June 30, 2021 (included in our September 30, 2021 results on a three-month lag) was a $1.5 million increase to stockholders’ equity, excluding income tax impacts. During the fiscal year ended September 30, 2021, $1.00 Australian dollar strengthened to $0.7215 U.S. as compared to $0.6750 in the prior year.</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translation adjustment from Latin America primarily representing the change of the Mexican peso during the fiscal year ended September 30, 2021 was a $8.2 million increase to stockholders’ equity. During the fiscal year ended September 30, 2021, the Mexican peso strengthened approximately 8.2% to $1.00 Mexican to $0.0490 U.S. from $0.0453 U.S. as of September 30, 2020. During the fiscal year ended September 30, 2021, the Guatemalan quetzal weakened approximately 1.6% to Q1.00 Guatemalan to $0.1264 U.S. from $0.1285 U.S. as of September 30, 2020. We have currently assumed indefinite reinvestment of earnings and capital in Latin America. Accumulated translation gains or losses related to any future repatriation of earnings or capital would impact our earnings in the period of repatriation.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a lesser degree, our operations are affected by fluctuations in the exchange rate of the Honduran lempira and the Peruvian sol.</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cannot predict the future valuation of foreign currencies or how further movements in exchange rates could affect our future earnings or financial position due to the interrelationship of operating results and exchange rates.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8. FINANCIAL STATEMENTS AND SUPPLEMENTARY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6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0360" w:type="dxa"/>
            <w:vAlign w:val="bottom"/>
            <w:gridSpan w:val="28"/>
          </w:tcPr>
          <w:p>
            <w:pPr>
              <w:spacing w:after="0"/>
              <w:rPr>
                <w:sz w:val="20"/>
                <w:szCs w:val="20"/>
                <w:color w:val="auto"/>
              </w:rPr>
            </w:pPr>
            <w:r>
              <w:rPr>
                <w:rFonts w:ascii="Arial" w:cs="Arial" w:eastAsia="Arial" w:hAnsi="Arial"/>
                <w:sz w:val="18"/>
                <w:szCs w:val="18"/>
                <w:color w:val="auto"/>
              </w:rPr>
              <w:t>ITEM 8</w:t>
            </w:r>
          </w:p>
        </w:tc>
        <w:tc>
          <w:tcPr>
            <w:tcW w:w="220" w:type="dxa"/>
            <w:vAlign w:val="bottom"/>
          </w:tcPr>
          <w:p>
            <w:pPr>
              <w:spacing w:after="0"/>
              <w:rPr>
                <w:sz w:val="24"/>
                <w:szCs w:val="24"/>
                <w:color w:val="auto"/>
              </w:rPr>
            </w:pPr>
          </w:p>
        </w:tc>
        <w:tc>
          <w:tcPr>
            <w:tcW w:w="64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60" w:type="dxa"/>
            <w:vAlign w:val="bottom"/>
            <w:gridSpan w:val="2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Report of Independent Registered Public Accounting Firm</w:t>
              </w:r>
            </w:hyperlink>
          </w:p>
        </w:tc>
        <w:tc>
          <w:tcPr>
            <w:tcW w:w="220" w:type="dxa"/>
            <w:vAlign w:val="bottom"/>
          </w:tcPr>
          <w:p>
            <w:pPr>
              <w:spacing w:after="0"/>
              <w:rPr>
                <w:sz w:val="18"/>
                <w:szCs w:val="18"/>
                <w:color w:val="auto"/>
              </w:rPr>
            </w:pPr>
          </w:p>
        </w:tc>
        <w:tc>
          <w:tcPr>
            <w:tcW w:w="420" w:type="dxa"/>
            <w:vAlign w:val="bottom"/>
            <w:tcBorders>
              <w:top w:val="single" w:sz="8" w:color="auto"/>
            </w:tcBorders>
            <w:gridSpan w:val="3"/>
          </w:tcPr>
          <w:p>
            <w:pPr>
              <w:jc w:val="cente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Consolidated Financial Statements:</w:t>
              </w:r>
            </w:hyperlink>
          </w:p>
        </w:tc>
        <w:tc>
          <w:tcPr>
            <w:tcW w:w="1740" w:type="dxa"/>
            <w:vAlign w:val="bottom"/>
            <w:tcBorders>
              <w:top w:val="single" w:sz="8" w:color="0000FF"/>
            </w:tcBorders>
            <w:gridSpan w:val="8"/>
          </w:tcPr>
          <w:p>
            <w:pPr>
              <w:spacing w:after="0"/>
              <w:rPr>
                <w:sz w:val="18"/>
                <w:szCs w:val="18"/>
                <w:color w:val="auto"/>
              </w:rPr>
            </w:pPr>
          </w:p>
        </w:tc>
        <w:tc>
          <w:tcPr>
            <w:tcW w:w="5760" w:type="dxa"/>
            <w:vAlign w:val="bottom"/>
            <w:gridSpan w:val="8"/>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2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 xml:space="preserve">Consolidated Balance Sheets as of September 30, 2021 and </w:t>
              </w:r>
            </w:hyperlink>
            <w:r>
              <w:rPr>
                <w:rFonts w:ascii="Arial" w:cs="Arial" w:eastAsia="Arial" w:hAnsi="Arial"/>
                <w:sz w:val="18"/>
                <w:szCs w:val="18"/>
                <w:color w:val="0000FF"/>
              </w:rPr>
              <w:t>2020</w:t>
            </w:r>
          </w:p>
        </w:tc>
        <w:tc>
          <w:tcPr>
            <w:tcW w:w="640" w:type="dxa"/>
            <w:vAlign w:val="bottom"/>
            <w:gridSpan w:val="4"/>
          </w:tcPr>
          <w:p>
            <w:pPr>
              <w:jc w:val="center"/>
              <w:ind w:left="150"/>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39</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3"/>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Consolidated Statements of Operations for each of the three years ended September 30, 2021, 2020 and 2019</w:t>
              </w:r>
            </w:hyperlink>
          </w:p>
        </w:tc>
        <w:tc>
          <w:tcPr>
            <w:tcW w:w="1320" w:type="dxa"/>
            <w:vAlign w:val="bottom"/>
            <w:gridSpan w:val="4"/>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40</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60" w:type="dxa"/>
            <w:vAlign w:val="bottom"/>
            <w:tcBorders>
              <w:bottom w:val="single" w:sz="8" w:color="0000FF"/>
            </w:tcBorders>
            <w:gridSpan w:val="26"/>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Consolidated Statements of Comprehensive Income (Loss) for each of the three years ended September 30, 2021, 2020 and</w:t>
              </w:r>
            </w:hyperlink>
          </w:p>
        </w:tc>
        <w:tc>
          <w:tcPr>
            <w:tcW w:w="200" w:type="dxa"/>
            <w:vAlign w:val="bottom"/>
          </w:tcPr>
          <w:p>
            <w:pPr>
              <w:spacing w:after="0"/>
              <w:rPr>
                <w:sz w:val="18"/>
                <w:szCs w:val="18"/>
                <w:color w:val="auto"/>
              </w:rPr>
            </w:pPr>
          </w:p>
        </w:tc>
        <w:tc>
          <w:tcPr>
            <w:tcW w:w="640" w:type="dxa"/>
            <w:vAlign w:val="bottom"/>
            <w:gridSpan w:val="4"/>
            <w:vMerge w:val="restart"/>
          </w:tcPr>
          <w:p>
            <w:pPr>
              <w:jc w:val="center"/>
              <w:ind w:left="150"/>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41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20" w:type="dxa"/>
            <w:vAlign w:val="bottom"/>
            <w:gridSpan w:val="2"/>
            <w:vMerge w:val="restart"/>
          </w:tcPr>
          <w:p>
            <w:pPr>
              <w:spacing w:after="0"/>
              <w:rPr>
                <w:sz w:val="5"/>
                <w:szCs w:val="5"/>
                <w:color w:val="auto"/>
              </w:rPr>
            </w:pPr>
          </w:p>
        </w:tc>
        <w:tc>
          <w:tcPr>
            <w:tcW w:w="400" w:type="dxa"/>
            <w:vAlign w:val="bottom"/>
            <w:gridSpan w:val="2"/>
            <w:vMerge w:val="restart"/>
          </w:tcPr>
          <w:p>
            <w:pPr>
              <w:spacing w:after="0" w:line="156" w:lineRule="exact"/>
              <w:rPr>
                <w:rFonts w:ascii="Arial" w:cs="Arial" w:eastAsia="Arial" w:hAnsi="Arial"/>
                <w:sz w:val="18"/>
                <w:szCs w:val="18"/>
                <w:color w:val="0000FF"/>
                <w:w w:val="94"/>
              </w:rPr>
            </w:pPr>
            <w:hyperlink w:anchor="page40">
              <w:r>
                <w:rPr>
                  <w:rFonts w:ascii="Arial" w:cs="Arial" w:eastAsia="Arial" w:hAnsi="Arial"/>
                  <w:sz w:val="18"/>
                  <w:szCs w:val="18"/>
                  <w:color w:val="0000FF"/>
                  <w:w w:val="94"/>
                </w:rPr>
                <w:t>2019</w:t>
              </w:r>
            </w:hyperlink>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20" w:type="dxa"/>
            <w:vAlign w:val="bottom"/>
            <w:gridSpan w:val="2"/>
            <w:vMerge w:val="continue"/>
          </w:tcPr>
          <w:p>
            <w:pPr>
              <w:spacing w:after="0"/>
              <w:rPr>
                <w:sz w:val="6"/>
                <w:szCs w:val="6"/>
                <w:color w:val="auto"/>
              </w:rPr>
            </w:pPr>
          </w:p>
        </w:tc>
        <w:tc>
          <w:tcPr>
            <w:tcW w:w="400" w:type="dxa"/>
            <w:vAlign w:val="bottom"/>
            <w:tcBorders>
              <w:bottom w:val="single" w:sz="8" w:color="0000FF"/>
            </w:tcBorders>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2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Consolidated Statements of Stockholders’ Equity for each of the three years ended September 30, 2021, 2020 and 2019</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42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4"/>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Consolidated Statements of Cash Flows for each of the three years ended September 30, 2021, 2020 and 2019</w:t>
              </w:r>
            </w:hyperlink>
          </w:p>
        </w:tc>
        <w:tc>
          <w:tcPr>
            <w:tcW w:w="6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43</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Notes to Consolidated Financial Statements</w:t>
              </w:r>
            </w:hyperlink>
          </w:p>
        </w:tc>
        <w:tc>
          <w:tcPr>
            <w:tcW w:w="1260" w:type="dxa"/>
            <w:vAlign w:val="bottom"/>
            <w:gridSpan w:val="3"/>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44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Note 1: Organization and Summary of Significant Accounting Policies</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44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gridSpan w:val="21"/>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Note 2: Other Charges</w:t>
              </w:r>
            </w:hyperlink>
          </w:p>
        </w:tc>
        <w:tc>
          <w:tcPr>
            <w:tcW w:w="4400" w:type="dxa"/>
            <w:vAlign w:val="bottom"/>
            <w:gridSpan w:val="5"/>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50</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5"/>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Note 3: Acquisitions</w:t>
              </w:r>
            </w:hyperlink>
          </w:p>
        </w:tc>
        <w:tc>
          <w:tcPr>
            <w:tcW w:w="8100" w:type="dxa"/>
            <w:vAlign w:val="bottom"/>
            <w:gridSpan w:val="21"/>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51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 4: Earnings (Loss) Per Share</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53</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9"/>
          </w:tcPr>
          <w:p>
            <w:pPr>
              <w:spacing w:after="0"/>
              <w:rPr>
                <w:rFonts w:ascii="Arial" w:cs="Arial" w:eastAsia="Arial" w:hAnsi="Arial"/>
                <w:sz w:val="18"/>
                <w:szCs w:val="18"/>
                <w:color w:val="0000FF"/>
                <w:w w:val="98"/>
              </w:rPr>
            </w:pPr>
            <w:hyperlink w:anchor="page53">
              <w:r>
                <w:rPr>
                  <w:rFonts w:ascii="Arial" w:cs="Arial" w:eastAsia="Arial" w:hAnsi="Arial"/>
                  <w:sz w:val="18"/>
                  <w:szCs w:val="18"/>
                  <w:color w:val="0000FF"/>
                  <w:w w:val="98"/>
                </w:rPr>
                <w:t>Note 5: Strategic Investments</w:t>
              </w:r>
            </w:hyperlink>
          </w:p>
        </w:tc>
        <w:tc>
          <w:tcPr>
            <w:tcW w:w="380" w:type="dxa"/>
            <w:vAlign w:val="bottom"/>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53</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Note 6: Fair Value Measurements</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54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1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Note 7: Property and Equipment</w:t>
              </w:r>
            </w:hyperlink>
          </w:p>
        </w:tc>
        <w:tc>
          <w:tcPr>
            <w:tcW w:w="7240" w:type="dxa"/>
            <w:vAlign w:val="bottom"/>
            <w:gridSpan w:val="14"/>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55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Note 8: Goodwill and Intangible Assets</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55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1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Note 9: Debt</w:t>
              </w:r>
            </w:hyperlink>
          </w:p>
        </w:tc>
        <w:tc>
          <w:tcPr>
            <w:tcW w:w="6820" w:type="dxa"/>
            <w:vAlign w:val="bottom"/>
            <w:gridSpan w:val="12"/>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56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gridSpan w:val="17"/>
          </w:tcPr>
          <w:p>
            <w:pPr>
              <w:spacing w:after="0"/>
              <w:rPr>
                <w:rFonts w:ascii="Arial" w:cs="Arial" w:eastAsia="Arial" w:hAnsi="Arial"/>
                <w:sz w:val="18"/>
                <w:szCs w:val="18"/>
                <w:color w:val="0000FF"/>
                <w:w w:val="98"/>
              </w:rPr>
            </w:pPr>
            <w:hyperlink w:anchor="page61">
              <w:r>
                <w:rPr>
                  <w:rFonts w:ascii="Arial" w:cs="Arial" w:eastAsia="Arial" w:hAnsi="Arial"/>
                  <w:sz w:val="18"/>
                  <w:szCs w:val="18"/>
                  <w:color w:val="0000FF"/>
                  <w:w w:val="98"/>
                </w:rPr>
                <w:t>Note 10: Common Stock and Stock Compensation</w:t>
              </w:r>
            </w:hyperlink>
          </w:p>
        </w:tc>
        <w:tc>
          <w:tcPr>
            <w:tcW w:w="5880" w:type="dxa"/>
            <w:vAlign w:val="bottom"/>
            <w:gridSpan w:val="9"/>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60</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6"/>
          </w:tcPr>
          <w:p>
            <w:pPr>
              <w:spacing w:after="0"/>
              <w:rPr>
                <w:rFonts w:ascii="Arial" w:cs="Arial" w:eastAsia="Arial" w:hAnsi="Arial"/>
                <w:sz w:val="18"/>
                <w:szCs w:val="18"/>
                <w:color w:val="0000FF"/>
                <w:w w:val="96"/>
              </w:rPr>
            </w:pPr>
            <w:hyperlink w:anchor="page63">
              <w:r>
                <w:rPr>
                  <w:rFonts w:ascii="Arial" w:cs="Arial" w:eastAsia="Arial" w:hAnsi="Arial"/>
                  <w:sz w:val="18"/>
                  <w:szCs w:val="18"/>
                  <w:color w:val="0000FF"/>
                  <w:w w:val="96"/>
                </w:rPr>
                <w:t>Note 11: Income Taxes</w:t>
              </w:r>
            </w:hyperlink>
          </w:p>
        </w:tc>
        <w:tc>
          <w:tcPr>
            <w:tcW w:w="2180" w:type="dxa"/>
            <w:vAlign w:val="bottom"/>
            <w:gridSpan w:val="11"/>
          </w:tcPr>
          <w:p>
            <w:pPr>
              <w:spacing w:after="0"/>
              <w:rPr>
                <w:sz w:val="18"/>
                <w:szCs w:val="18"/>
                <w:color w:val="auto"/>
              </w:rPr>
            </w:pPr>
          </w:p>
        </w:tc>
        <w:tc>
          <w:tcPr>
            <w:tcW w:w="5880" w:type="dxa"/>
            <w:vAlign w:val="bottom"/>
            <w:gridSpan w:val="9"/>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63">
              <w:r>
                <w:rPr>
                  <w:rFonts w:ascii="Arial" w:cs="Arial" w:eastAsia="Arial" w:hAnsi="Arial"/>
                  <w:sz w:val="18"/>
                  <w:szCs w:val="18"/>
                  <w:color w:val="0000FF"/>
                  <w:w w:val="99"/>
                </w:rPr>
                <w:t>62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6"/>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Note 12: Leases</w:t>
              </w:r>
            </w:hyperlink>
          </w:p>
        </w:tc>
        <w:tc>
          <w:tcPr>
            <w:tcW w:w="8060" w:type="dxa"/>
            <w:vAlign w:val="bottom"/>
            <w:gridSpan w:val="20"/>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64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Note 13: Contingencies</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66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10"/>
          </w:tcPr>
          <w:p>
            <w:pPr>
              <w:spacing w:after="0"/>
              <w:rPr>
                <w:rFonts w:ascii="Arial" w:cs="Arial" w:eastAsia="Arial" w:hAnsi="Arial"/>
                <w:sz w:val="18"/>
                <w:szCs w:val="18"/>
                <w:color w:val="0000FF"/>
                <w:w w:val="97"/>
              </w:rPr>
            </w:pPr>
            <w:hyperlink w:anchor="page67">
              <w:r>
                <w:rPr>
                  <w:rFonts w:ascii="Arial" w:cs="Arial" w:eastAsia="Arial" w:hAnsi="Arial"/>
                  <w:sz w:val="18"/>
                  <w:szCs w:val="18"/>
                  <w:color w:val="0000FF"/>
                  <w:w w:val="97"/>
                </w:rPr>
                <w:t>Note 14: Segment Information</w:t>
              </w:r>
            </w:hyperlink>
          </w:p>
        </w:tc>
        <w:tc>
          <w:tcPr>
            <w:tcW w:w="7500" w:type="dxa"/>
            <w:vAlign w:val="bottom"/>
            <w:gridSpan w:val="16"/>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66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6"/>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Note 15: Supplemental Consolidated Financial Information</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69</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1120" w:type="dxa"/>
            <w:vAlign w:val="bottom"/>
            <w:gridSpan w:val="8"/>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gridSpan w:val="1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Note 16: Subsequent Events</w:t>
              </w:r>
            </w:hyperlink>
          </w:p>
        </w:tc>
        <w:tc>
          <w:tcPr>
            <w:tcW w:w="5260" w:type="dxa"/>
            <w:vAlign w:val="bottom"/>
            <w:gridSpan w:val="7"/>
          </w:tcPr>
          <w:p>
            <w:pPr>
              <w:spacing w:after="0"/>
              <w:rPr>
                <w:sz w:val="18"/>
                <w:szCs w:val="18"/>
                <w:color w:val="auto"/>
              </w:rPr>
            </w:pPr>
          </w:p>
        </w:tc>
        <w:tc>
          <w:tcPr>
            <w:tcW w:w="640" w:type="dxa"/>
            <w:vAlign w:val="bottom"/>
            <w:gridSpan w:val="4"/>
          </w:tcPr>
          <w:p>
            <w:pPr>
              <w:jc w:val="center"/>
              <w:ind w:left="150"/>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71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80" w:type="dxa"/>
            <w:vAlign w:val="bottom"/>
            <w:gridSpan w:val="26"/>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Note 17: Quarterly Information (Unaudited)</w:t>
              </w:r>
            </w:hyperlink>
          </w:p>
        </w:tc>
        <w:tc>
          <w:tcPr>
            <w:tcW w:w="640" w:type="dxa"/>
            <w:vAlign w:val="bottom"/>
            <w:gridSpan w:val="4"/>
          </w:tcPr>
          <w:p>
            <w:pPr>
              <w:jc w:val="center"/>
              <w:ind w:left="150"/>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72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500" w:type="dxa"/>
            <w:vAlign w:val="bottom"/>
            <w:gridSpan w:val="3"/>
          </w:tcPr>
          <w:p>
            <w:pPr>
              <w:spacing w:after="0"/>
              <w:rPr>
                <w:sz w:val="24"/>
                <w:szCs w:val="24"/>
                <w:color w:val="auto"/>
              </w:rPr>
            </w:pPr>
          </w:p>
        </w:tc>
        <w:tc>
          <w:tcPr>
            <w:tcW w:w="3380" w:type="dxa"/>
            <w:vAlign w:val="bottom"/>
            <w:tcBorders>
              <w:top w:val="single" w:sz="8" w:color="0000FF"/>
            </w:tcBorders>
            <w:gridSpan w:val="16"/>
          </w:tcPr>
          <w:p>
            <w:pPr>
              <w:spacing w:after="0"/>
              <w:rPr>
                <w:sz w:val="24"/>
                <w:szCs w:val="24"/>
                <w:color w:val="auto"/>
              </w:rPr>
            </w:pPr>
          </w:p>
        </w:tc>
        <w:tc>
          <w:tcPr>
            <w:tcW w:w="2100" w:type="dxa"/>
            <w:vAlign w:val="bottom"/>
            <w:gridSpan w:val="5"/>
          </w:tcPr>
          <w:p>
            <w:pPr>
              <w:jc w:val="right"/>
              <w:ind w:right="260"/>
              <w:spacing w:after="0"/>
              <w:rPr>
                <w:sz w:val="20"/>
                <w:szCs w:val="20"/>
                <w:color w:val="auto"/>
              </w:rPr>
            </w:pPr>
            <w:r>
              <w:rPr>
                <w:rFonts w:ascii="Arial" w:cs="Arial" w:eastAsia="Arial" w:hAnsi="Arial"/>
                <w:sz w:val="18"/>
                <w:szCs w:val="18"/>
                <w:color w:val="auto"/>
              </w:rPr>
              <w:t>36</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EZCORP, Inc. (the “Company”) as of September 30, 2021 and 2020, the related consolidated statements of operations, comprehensive income (loss), stockholders’ equity, and cash flows for each of the three years in the period ended September 30, 2021, and the related notes (collectively referred to as the “consolidated financial statements”). In our opinion, the consolidated financial statements present fairly, in all material respects, the financial position of the Company at September 30, 2021 and 2020, and the results of its operations and its cash flows for each of the three years in the period ended September 30, 2021, in conformity with accounting principles generally accepted in the United States of America.</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30,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17, 2021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is discussed in Notes 1 and 12 to the consolidated financial statements, the Company changed its method of accounting for leases in the year ended September 30, 2020, due to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Bajio Leases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described in Note 3 to the Company’s consolidated financial statements, the Company recorded approximately $10.7 million of right-of-use assets and lease liabilities on June 8, 2021, in connection with the Company’s acquisition of 100% of the common shares of PLO del Bajio S. de R.L. de C.V. (“Bajio”). These leases primarily relate to the 128 pawn stores which were added to the Company’s geographic footprint within Mexico as a result of the acquisition.</w:t>
      </w:r>
    </w:p>
    <w:p>
      <w:pPr>
        <w:spacing w:after="0" w:line="150"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We identified the accounting for the leases recorded as a result of the Bajio acquisition as a critical audit matter. Accounting for the acquired leases required management’s individual assessment of the varying terms of the large volume of leases acquired, and the estimation of the appropriate incremental borrowing rate for each lease. Auditing these elements involved especially challenging audit effort due to the volume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 leases acquired, as well as the specialized skills and knowledge required to assess the reasonableness of the incremental borrowing rates estimated by management.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660" w:hanging="328"/>
        <w:spacing w:after="0" w:line="261" w:lineRule="auto"/>
        <w:tabs>
          <w:tab w:leader="none" w:pos="6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Examining a sample of lease agreements, which required language translation, to determine that the varying terms were appropriately interpreted and accurately utilized in management’s calculation of the right-of-use asset and lease liability balances.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Verifying that the lease liability balances were properly recognized as of the acquisition date, by testing the accuracy of the initial measurement of the lease liabilities for a sample of leases, including verifying that the present value of the lease payments was clerically accurate and the Company correctly applied the provisions of ASC 842.</w:t>
      </w:r>
    </w:p>
    <w:p>
      <w:pPr>
        <w:spacing w:after="0" w:line="93" w:lineRule="exact"/>
        <w:rPr>
          <w:rFonts w:ascii="Arial" w:cs="Arial" w:eastAsia="Arial" w:hAnsi="Arial"/>
          <w:sz w:val="18"/>
          <w:szCs w:val="18"/>
          <w:color w:val="auto"/>
        </w:rPr>
      </w:pPr>
    </w:p>
    <w:p>
      <w:pPr>
        <w:ind w:left="660" w:hanging="328"/>
        <w:spacing w:after="0" w:line="261" w:lineRule="auto"/>
        <w:tabs>
          <w:tab w:leader="none" w:pos="6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skills in valuation to assist in assessing the reasonableness of the incremental borrowing rates estimated by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BALANCE SHEETS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304,542</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9,957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loans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131,323</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20,580</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95,891</w:t>
            </w:r>
          </w:p>
        </w:tc>
      </w:tr>
      <w:tr>
        <w:trPr>
          <w:trHeight w:val="213"/>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213"/>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610,861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593,250</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32,458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Right-of-use asset,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200,990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183,809</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62,104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58,638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8,931</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4,736</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r>
      <w:tr>
        <w:trPr>
          <w:trHeight w:val="20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r>
        <w:trPr>
          <w:trHeight w:val="91"/>
        </w:trPr>
        <w:tc>
          <w:tcPr>
            <w:tcW w:w="8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71,504</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12,557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6"/>
        </w:trPr>
        <w:tc>
          <w:tcPr>
            <w:tcW w:w="8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52,263</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49,742</w:t>
            </w:r>
          </w:p>
        </w:tc>
      </w:tr>
      <w:tr>
        <w:trPr>
          <w:trHeight w:val="209"/>
        </w:trPr>
        <w:tc>
          <w:tcPr>
            <w:tcW w:w="82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155,088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132,467</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251,016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153,040</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r>
        <w:trPr>
          <w:trHeight w:val="213"/>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594,673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547,896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Commitments and contingencies (Note 13)</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7"/>
        </w:trPr>
        <w:tc>
          <w:tcPr>
            <w:tcW w:w="8240" w:type="dxa"/>
            <w:vAlign w:val="bottom"/>
          </w:tcPr>
          <w:p>
            <w:pPr>
              <w:ind w:left="480"/>
              <w:spacing w:after="0" w:line="178" w:lineRule="exact"/>
              <w:rPr>
                <w:sz w:val="20"/>
                <w:szCs w:val="20"/>
                <w:color w:val="auto"/>
              </w:rPr>
            </w:pPr>
            <w:r>
              <w:rPr>
                <w:rFonts w:ascii="Arial" w:cs="Arial" w:eastAsia="Arial" w:hAnsi="Arial"/>
                <w:sz w:val="16"/>
                <w:szCs w:val="16"/>
                <w:color w:val="auto"/>
              </w:rPr>
              <w:t>Class A Non-Voting Common Stock, par value $0.01 per share; shares authorized: 100 million; 53,086,438</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2"/>
        </w:trPr>
        <w:tc>
          <w:tcPr>
            <w:tcW w:w="8240" w:type="dxa"/>
            <w:vAlign w:val="bottom"/>
          </w:tcPr>
          <w:p>
            <w:pPr>
              <w:ind w:left="480"/>
              <w:spacing w:after="0" w:line="162" w:lineRule="exact"/>
              <w:rPr>
                <w:sz w:val="20"/>
                <w:szCs w:val="20"/>
                <w:color w:val="auto"/>
              </w:rPr>
            </w:pPr>
            <w:r>
              <w:rPr>
                <w:rFonts w:ascii="Arial" w:cs="Arial" w:eastAsia="Arial" w:hAnsi="Arial"/>
                <w:sz w:val="16"/>
                <w:szCs w:val="16"/>
                <w:color w:val="auto"/>
              </w:rPr>
              <w:t>issued and outstanding as of September 30, 2021; and issued and outstanding of 52,332,848 as of</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8"/>
        </w:trPr>
        <w:tc>
          <w:tcPr>
            <w:tcW w:w="8240" w:type="dxa"/>
            <w:vAlign w:val="bottom"/>
          </w:tcPr>
          <w:p>
            <w:pPr>
              <w:ind w:left="480"/>
              <w:spacing w:after="0"/>
              <w:rPr>
                <w:sz w:val="20"/>
                <w:szCs w:val="20"/>
                <w:color w:val="auto"/>
              </w:rPr>
            </w:pPr>
            <w:r>
              <w:rPr>
                <w:rFonts w:ascii="Arial" w:cs="Arial" w:eastAsia="Arial" w:hAnsi="Arial"/>
                <w:sz w:val="16"/>
                <w:szCs w:val="16"/>
                <w:color w:val="auto"/>
              </w:rPr>
              <w:t>September 30, 2020</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180"/>
        </w:trPr>
        <w:tc>
          <w:tcPr>
            <w:tcW w:w="824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B Voting Common Stock, convertible, par value $0.01 per share; shares authorized: 3 million; issued</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and outstanding: 2,970,171 as of September 30, 2021 and 2020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403,312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398,475</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326,781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r>
      <w:tr>
        <w:trPr>
          <w:trHeight w:val="213"/>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r>
      <w:tr>
        <w:trPr>
          <w:trHeight w:val="209"/>
        </w:trPr>
        <w:tc>
          <w:tcPr>
            <w:tcW w:w="82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672,238</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649,127</w:t>
            </w:r>
          </w:p>
        </w:tc>
      </w:tr>
      <w:tr>
        <w:trPr>
          <w:trHeight w:val="21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STATEMENTS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442,798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498,213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453,375</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60,445</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327,366</w:t>
            </w: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6,043</w:t>
            </w:r>
          </w:p>
        </w:tc>
      </w:tr>
      <w:tr>
        <w:trPr>
          <w:trHeight w:val="210"/>
        </w:trPr>
        <w:tc>
          <w:tcPr>
            <w:tcW w:w="70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729,551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822,777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847,229</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297,508</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52,935</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r>
      <w:tr>
        <w:trPr>
          <w:trHeight w:val="210"/>
        </w:trPr>
        <w:tc>
          <w:tcPr>
            <w:tcW w:w="70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449,485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449,201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494,448</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330,837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350,578</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63,665</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28,797</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4,399</w:t>
            </w: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0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418,316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497,585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447,439</w:t>
            </w:r>
          </w:p>
        </w:tc>
      </w:tr>
      <w:tr>
        <w:trPr>
          <w:trHeight w:val="213"/>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47,009</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32,637</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(11,086)</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investment in unconsolidated affiliates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19,725</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w:t>
            </w: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w:t>
            </w: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r>
      <w:tr>
        <w:trPr>
          <w:trHeight w:val="21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EZCORP,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(68,463)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199"/>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 attributable to EZCORP, Inc. — continuing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Diluted earnings (loss) per share attributable to EZCORP, Inc. — continuing operations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9"/>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55,341</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55,984</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STATEMENTS OF COMPREHENSIVE INCOME (LOSS)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Other comprehensive income (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(10,042)</w:t>
            </w: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(8,731)</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(loss) attributable to EZCORP, Inc.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(84,141)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(7,501)</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CONSOLIDATED STATEMENTS OF STOCKHOLDERS' EQUITY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4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October 1, 2018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54,585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397,927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386,622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739,408</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Arial" w:cs="Arial" w:eastAsia="Arial" w:hAnsi="Arial"/>
                <w:sz w:val="14"/>
                <w:szCs w:val="14"/>
                <w:color w:val="auto"/>
              </w:rPr>
              <w:t>Stock compensation</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9,794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9,794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Release of restricted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3820" w:type="dxa"/>
            <w:vAlign w:val="bottom"/>
          </w:tcPr>
          <w:p>
            <w:pPr>
              <w:ind w:left="220"/>
              <w:spacing w:after="0" w:line="153" w:lineRule="exact"/>
              <w:rPr>
                <w:sz w:val="20"/>
                <w:szCs w:val="20"/>
                <w:color w:val="auto"/>
              </w:rPr>
            </w:pPr>
            <w:r>
              <w:rPr>
                <w:rFonts w:ascii="Arial" w:cs="Arial" w:eastAsia="Arial" w:hAnsi="Arial"/>
                <w:sz w:val="14"/>
                <w:szCs w:val="14"/>
                <w:color w:val="auto"/>
              </w:rPr>
              <w:t>Taxes paid related to net share settlement of equity</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05"/>
        </w:trPr>
        <w:tc>
          <w:tcPr>
            <w:tcW w:w="3820" w:type="dxa"/>
            <w:vAlign w:val="bottom"/>
            <w:vMerge w:val="restart"/>
          </w:tcPr>
          <w:p>
            <w:pPr>
              <w:ind w:left="2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Transfer of subsidiary shares to noncontrolling interest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Arial" w:cs="Arial" w:eastAsia="Arial" w:hAnsi="Arial"/>
                <w:sz w:val="14"/>
                <w:szCs w:val="14"/>
                <w:color w:val="auto"/>
              </w:rPr>
              <w:t>Foreign currency translation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(10,042)</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Deconsolidation of subsidiary</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7,756</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Net income (loss)</w:t>
            </w: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as of September 30, 2019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55,535</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407,628</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389,163</w:t>
            </w:r>
          </w:p>
        </w:tc>
        <w:tc>
          <w:tcPr>
            <w:tcW w:w="2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(52,398)</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744,949</w:t>
            </w:r>
          </w:p>
        </w:tc>
        <w:tc>
          <w:tcPr>
            <w:tcW w:w="0" w:type="dxa"/>
            <w:vAlign w:val="bottom"/>
          </w:tcPr>
          <w:p>
            <w:pPr>
              <w:spacing w:after="0"/>
              <w:rPr>
                <w:sz w:val="1"/>
                <w:szCs w:val="1"/>
                <w:color w:val="auto"/>
              </w:rPr>
            </w:pPr>
          </w:p>
        </w:tc>
      </w:tr>
      <w:tr>
        <w:trPr>
          <w:trHeight w:val="183"/>
        </w:trPr>
        <w:tc>
          <w:tcPr>
            <w:tcW w:w="3820" w:type="dxa"/>
            <w:vAlign w:val="bottom"/>
          </w:tcPr>
          <w:p>
            <w:pPr>
              <w:ind w:left="220"/>
              <w:spacing w:after="0"/>
              <w:rPr>
                <w:sz w:val="20"/>
                <w:szCs w:val="20"/>
                <w:color w:val="auto"/>
              </w:rPr>
            </w:pPr>
            <w:r>
              <w:rPr>
                <w:rFonts w:ascii="Arial" w:cs="Arial" w:eastAsia="Arial" w:hAnsi="Arial"/>
                <w:sz w:val="14"/>
                <w:szCs w:val="14"/>
                <w:color w:val="auto"/>
              </w:rPr>
              <w:t>Stock compensation</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Release of restricted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3"/>
        </w:trPr>
        <w:tc>
          <w:tcPr>
            <w:tcW w:w="3820" w:type="dxa"/>
            <w:vAlign w:val="bottom"/>
          </w:tcPr>
          <w:p>
            <w:pPr>
              <w:ind w:left="220"/>
              <w:spacing w:after="0" w:line="153" w:lineRule="exact"/>
              <w:rPr>
                <w:sz w:val="20"/>
                <w:szCs w:val="20"/>
                <w:color w:val="auto"/>
              </w:rPr>
            </w:pPr>
            <w:r>
              <w:rPr>
                <w:rFonts w:ascii="Arial" w:cs="Arial" w:eastAsia="Arial" w:hAnsi="Arial"/>
                <w:sz w:val="14"/>
                <w:szCs w:val="14"/>
                <w:color w:val="auto"/>
              </w:rPr>
              <w:t>Taxes paid related to net share settlement of equity</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05"/>
        </w:trPr>
        <w:tc>
          <w:tcPr>
            <w:tcW w:w="3820" w:type="dxa"/>
            <w:vAlign w:val="bottom"/>
            <w:vMerge w:val="restart"/>
          </w:tcPr>
          <w:p>
            <w:pPr>
              <w:ind w:left="2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loss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(15,678)</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Arial" w:cs="Arial" w:eastAsia="Arial" w:hAnsi="Arial"/>
                <w:sz w:val="14"/>
                <w:szCs w:val="14"/>
                <w:color w:val="auto"/>
              </w:rPr>
              <w:t>Purchase and retirement of treasury stock</w:t>
            </w:r>
          </w:p>
        </w:tc>
        <w:tc>
          <w:tcPr>
            <w:tcW w:w="680" w:type="dxa"/>
            <w:vAlign w:val="bottom"/>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(5,158)</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(68,463)</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(68,463)</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Balances as of September 30, 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55,303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398,475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318,169</w:t>
            </w: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(68,068)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649,127</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compensation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Arial" w:cs="Arial" w:eastAsia="Arial" w:hAnsi="Arial"/>
                <w:sz w:val="14"/>
                <w:szCs w:val="14"/>
                <w:color w:val="auto"/>
              </w:rPr>
              <w:t>Transfer of consideration for current period acquisition</w:t>
            </w:r>
          </w:p>
        </w:tc>
        <w:tc>
          <w:tcPr>
            <w:tcW w:w="68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Transfer of consideration for prior period acquisition</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Arial" w:cs="Arial" w:eastAsia="Arial" w:hAnsi="Arial"/>
                <w:sz w:val="14"/>
                <w:szCs w:val="14"/>
                <w:color w:val="auto"/>
              </w:rPr>
              <w:t>Release of restricted stock</w:t>
            </w:r>
          </w:p>
        </w:tc>
        <w:tc>
          <w:tcPr>
            <w:tcW w:w="680" w:type="dxa"/>
            <w:vAlign w:val="bottom"/>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Taxes paid related to net share settlement of equity</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05"/>
        </w:trPr>
        <w:tc>
          <w:tcPr>
            <w:tcW w:w="38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820" w:type="dxa"/>
            <w:vAlign w:val="bottom"/>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Arial" w:cs="Arial" w:eastAsia="Arial" w:hAnsi="Arial"/>
                <w:sz w:val="14"/>
                <w:szCs w:val="14"/>
                <w:color w:val="auto"/>
              </w:rPr>
              <w:t>Foreign currency translation gain</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9,653</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8,612</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8,612</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Balances as of September 30, 2021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56,057</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403,312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326,781</w:t>
            </w: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(58,415)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672,238</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(68,463)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1,311</w:t>
            </w: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30,827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28,797</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Amortization of debt discount and deferred financing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19,759</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Amortization of right-of-use asset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45,649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Impairment of goodwill, intangibles and other assets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Other adjustments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5,776</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Provision for inventory reserve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Reserve on jewelry scrap receivable</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3,646</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Stock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9,751</w:t>
            </w: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Equity in net (income) loss from investment in unconsolidated affiliates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Impairment of investment in unconsolidated affiliates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19,725</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Service charges and fees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5,732</w:t>
            </w: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22,246</w:t>
            </w: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layaway deposits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13"/>
        </w:trPr>
        <w:tc>
          <w:tcPr>
            <w:tcW w:w="70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(10,404)</w:t>
            </w:r>
          </w:p>
        </w:tc>
      </w:tr>
      <w:tr>
        <w:trPr>
          <w:trHeight w:val="213"/>
        </w:trPr>
        <w:tc>
          <w:tcPr>
            <w:tcW w:w="7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103,517</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made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(737,585)</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Loans repaid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351,092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394,469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434,142</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288,502</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Capital expenditures,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(38,839)</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(8,116)</w:t>
            </w:r>
          </w:p>
        </w:tc>
      </w:tr>
      <w:tr>
        <w:trPr>
          <w:trHeight w:val="213"/>
        </w:trPr>
        <w:tc>
          <w:tcPr>
            <w:tcW w:w="7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Principal collections on notes receivable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34,067</w:t>
            </w:r>
          </w:p>
        </w:tc>
      </w:tr>
      <w:tr>
        <w:trPr>
          <w:trHeight w:val="213"/>
        </w:trPr>
        <w:tc>
          <w:tcPr>
            <w:tcW w:w="7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(27,829)</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paid related to net share settlement of equity awards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Payout of deferred consideration</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net of issuance costs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Payments on assumed debt and other borrowings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(196,093)</w:t>
            </w:r>
          </w:p>
        </w:tc>
      </w:tr>
      <w:tr>
        <w:trPr>
          <w:trHeight w:val="216"/>
        </w:trPr>
        <w:tc>
          <w:tcPr>
            <w:tcW w:w="7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2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(198,317)</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(123,136)</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162,442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285,578</w:t>
            </w:r>
          </w:p>
        </w:tc>
      </w:tr>
      <w:tr>
        <w:trPr>
          <w:trHeight w:val="252"/>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263,624</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312,553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162,442</w:t>
            </w:r>
          </w:p>
        </w:tc>
      </w:tr>
      <w:tr>
        <w:trPr>
          <w:trHeight w:val="213"/>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157,567</w:t>
            </w:r>
          </w:p>
        </w:tc>
      </w:tr>
      <w:tr>
        <w:trPr>
          <w:trHeight w:val="213"/>
        </w:trPr>
        <w:tc>
          <w:tcPr>
            <w:tcW w:w="7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4,875</w:t>
            </w:r>
          </w:p>
        </w:tc>
      </w:tr>
      <w:tr>
        <w:trPr>
          <w:trHeight w:val="210"/>
        </w:trPr>
        <w:tc>
          <w:tcPr>
            <w:tcW w:w="7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263,624</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162,442</w:t>
            </w:r>
          </w:p>
        </w:tc>
      </w:tr>
      <w:tr>
        <w:trPr>
          <w:trHeight w:val="37"/>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during the period for interest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w:t>
            </w:r>
          </w:p>
        </w:tc>
      </w:tr>
      <w:tr>
        <w:trPr>
          <w:trHeight w:val="25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paid during the period for income taxes, net</w:t>
            </w:r>
          </w:p>
        </w:tc>
        <w:tc>
          <w:tcPr>
            <w:tcW w:w="3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9,753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11,132</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Pawn loans forfeited and transferred to inventory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301,357</w:t>
            </w: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Transfer of consideration for current period acquisition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earn-out contingency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020" w:type="dxa"/>
            <w:vAlign w:val="bottom"/>
          </w:tcPr>
          <w:p>
            <w:pPr>
              <w:ind w:left="140"/>
              <w:spacing w:after="0"/>
              <w:rPr>
                <w:sz w:val="20"/>
                <w:szCs w:val="20"/>
                <w:color w:val="auto"/>
              </w:rPr>
            </w:pPr>
            <w:r>
              <w:rPr>
                <w:rFonts w:ascii="Arial" w:cs="Arial" w:eastAsia="Arial" w:hAnsi="Arial"/>
                <w:sz w:val="16"/>
                <w:szCs w:val="16"/>
                <w:color w:val="auto"/>
              </w:rPr>
              <w:t>Accrued acquisition consideration held as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40" w:right="339" w:bottom="981"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81"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00497F"/>
        </w:rPr>
        <w:t>Notes to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EZCORP, Inc. was founded in 1989 and is a leading provider of pawn services in the United States and Latin America. At our pawn stores, we advance cash against the value of collateralized personal property. We also sell merchandise, primarily collateral forfeited from pawn activities and pre-owned merchandise purchased from customers. We are dedicated to satisfying the short-term cash needs of consumers, with a focus on delivering an industry-leading customer experience.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operated a total of 1,148 locations, consisting of:</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516 United States pawn stores (operating primarily as EZPAWN or Value Pawn &amp; Jewelry);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508 Mexico pawn stores (operating primarily as Empeño Fácil and Cash Apoyo Efectivo);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124 pawn stores in Guatemala, El Salvador and Honduras (operating as GuatePrenda and MaxiEfectivo).</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an equity interest (35.65% as of September 30, 2021) in Cash Converters International Limited (“Cash Converters”), a publicly traded company (ASX:CCV) headquartered in Perth, Western Australia. Cash Converters and its controlled companies comprise a diverse group generating revenues from franchising, store operations, personal finance (including pawn transactions) and vehicle finance, controlling over 700 stores across 15 countries. See Note 16: Subsequent Events.</w:t>
      </w:r>
    </w:p>
    <w:p>
      <w:pPr>
        <w:spacing w:after="0" w:line="15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also own 13.14% of Rich Data Corporation (“RDC”), a Singapore-based software-as-a-service company that utilizes global financial services expertise, advanced artificial intelligence and non-traditional data to deliver a next-generation credit scoring and decisioning platform.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 and Principles of Consolidation</w:t>
      </w:r>
    </w:p>
    <w:p>
      <w:pPr>
        <w:spacing w:after="0" w:line="18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and are expressed in U.S. dollars. They include the accounts of EZCORP, Inc., and its wholly-owned subsidiaries. We use the equity method of accounting for entities over which we exercise significant influence, but in which we have a 50% or less investment. We account for equity investments in entities over which we do not exercise significant influence, and do not have a readily determinable fair value, at cost. If we obtain evidence the fair value of such an investment has declined below its cost, we reduce the recorded cost to the lower value through an impairment charge recorded in the Consolidated Statements of Operations. All inter-company accounts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reclassified certain amounts in prior-period financial statements to conform to the current period’s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Assumptions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preparation of these financial statements requires management to make estimates and assumptions that affect the reported amounts of assets, liabilities, revenues and expenses and related disclosure of contingent assets and liabilities. We regularly evaluate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we believe are reasonable, the results of which form the basis for making judgements about the carrying values of assets and liabilities and the accrual of costs and expenses that are not readily apparent from other sources. Actual results may differ materially from the estimates under different assumptions or conditions.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Loans and Revenue Recognition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pawn loans are fully collateralized and the carrying values are based on the initial amounts loaned to customers. We record pawn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charges using the effective interest method over the life of the pawn loans for all pawn loans we believe to be collectible. We 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estimate of collectability on several inputs, including recent redemption rates, historical trends in redemption rates and the amount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due in the following months. Unexpected variations in any of these factors could change our estimate of collectibality and affect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financial condition. If a pawn loan is not repaid, the forfeited collateral is recorded as inventory at the lower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balance of the pawn loan or the net realizable value of the item. Of our consolidated pawn loans outstanding balance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$175.9 million as of September 30, 2021, $63.9 million (36%) is attributable to stores in Texas and $19.8 million (11%) is attributable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stores in Florida.</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Merchandise Sales Revenue Recognition</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performance obligations for merchandise sales primarily relate to point in time retail sales in our stores. We recognize the satisfaction of the performance obligations and record merchandise sales revenue and the related costs when merchandise inventory is sold and delivered to the customer or, in the case of a layaway sale, when we receive the final payment. Customers have a limited period of time to return merchandise for a refund or exchange, and actual returns for refunds are not material. Sales taxes collected on sales of inventory are excluded from the amounts recognized as merchandise sales and are recorded as “Accounts payable, accrued expenses and other current liabilities” in our Consolidated Balance Sheets until remitted to the appropriate governmental authorities.</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precious metals and stones sold as scrap, we recognize the satisfaction of the performance obligations and record the revenues and the related costs when the inventory is legally transferred to the refiner and the refiner obtains control of the inventory. The accounts receivable outstanding at the end of a given reporting period from such transactions are not material as payments are generally received within a short period of time after the legal transfer of the inventory.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transaction prices are explicitly stated within the contracts with our customers.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Inventory and Cost of Goods Sold</w:t>
      </w:r>
    </w:p>
    <w:p>
      <w:pPr>
        <w:spacing w:after="0" w:line="18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a pawn loan is not redeemed, the forfeited collateral is recorded as inventory at the lower of the principal balance of the pawn loan or the net realizable value of the item. We do not record a loan loss allowance or charge-off expense on the principal portion of forfeited pawn loans, as such loans are fully collateralized. Inventory is recorded using the specific identification method of accounting.</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order to state inventory at the lower of cost or net realizable value, we record an allowance for excess, obsolete or slow-moving inventory based on the type and age of the underlying merchandise. Our inventory consists primarily of general merchandise and jewelry. “Merchandise cost of goods sold" as recorded in our Consolidated Statements of Operations includes the historical cost of inventory sold, inventory shrinkage and any change in the allowance for inventory shrinkage and valuation. We include the costs of operating our central jewelry processing unit as “Jewelry scrapping cost of goods sold” in our Consolidated Statements of Operations as such costs relate directly to sales of precious metals and stones to refiners.</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consider our estimates of obsolete or slow-moving inventory and shrinkage critical to the determination of the appropriate overall valuation allowance for inventory. We continually monitor our sales margins for each type of inventory and compare the current margins to historical margins. Significant variances in those margins may require a revision to future inventory reserve estimates. We determine our reserve estimates pertaining to jewelry inventory based on the current and projected prices of gold. Future declines in the value of gold may result in an increase in reserves pertaining to jewelry inventory.</w:t>
      </w:r>
    </w:p>
    <w:p>
      <w:pPr>
        <w:spacing w:after="0" w:line="15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Situations that may result in excess or obsolete inventory include changes in business and economic conditions, changes in consumer confidence caused by changes in market conditions, decreases in demand for our products or inventory obsolescence resulting from changes in technology. Included in “Merchandise cost of goods sold” during fiscal 2020, is $2.6 million of expense for inventory provisions primarily related to the write-off of excess and obsolete inventory due to the impacts of COVID-19. Such charges were not material during fiscal 2021.</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With respect to our Mexico pawn operations, we do not own the forfeited collateral. However, we assume the risk of loss on such collateral and are solely responsible for its care and disposition and, therefore, record such collateral as inventory in our Consolidated Balance Sheets. As of September 30, 2021 and 2020, respectively, $22.6 million and $12.9 million of the balance recorded as inventory in our Consolidated Balance Sheets was from our Mexico pawn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 and Cash Concentrations</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and cash equivalents consist primarily of cash on deposit or highly liquid investments with original contractual maturities of three months or less, or money market mutual funds. We hold cash at major financial institutions in amounts that often exceed FDIC insured limits. We manage our credit risk associated with cash and cash equivalents and cash concentrations by maintaining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Cash</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Restricted cash consists of $8.0 million held in escrow pending the resolution of a pre-closing tax indemnity claim related to the sale of Grupo Finmart and $2.0 million related to the acquisition of PLO del Bajio S. de. R.L. de C.V. as discussed in Note 3: Acquisitions.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Method Investments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account for our investment in Cash Converters and RDC under the equity method. Because the fiscal year of Cash Converters ends three months before our fiscal year, we record our interest from the results of Cash Converters on a three-month lag. Thus, the results of our operations reported for the fiscal years ended September 30, 2021, 2020 and 2019 include our percentage interest in the results of Cash Converters for the twelve-month periods ended June 30, 2021, 2020 and 2019, respectively.</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record our percentage interest in the results of Cash Converters for the three months ended June 30 based on an estimate of the results of Cash Converters for the three months ended March 31 of that year. Similarly, we record our percentage interest in the results of Cash Converters for the three months ended December 31 using the estimated results of Cash Converters for the three months ended September 30 of that year. Cash Converters files semi-annual financial reports with the Australian Securities &amp; Investments Commission and the Australian Stock Exchange as of and for the periods ended June 30 and December 31. We use these publicly available financial reports to adjust the estimated amounts we recorded. The actual results of Cash Converters may vary from our estimates.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18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enter into operating lease agreements for real estate related to pawn locations and corporate offices. We determine if an arrangement contains a lease at inception by determining whether there is an identified asset and whether the arrangement conveys the right to control the use of the identified asset. Operating lease liabilities are recognized at the lease commencement date based on the present value of fixed lease payments using the Company’s incremental borrowing rate. As our leases generally do not include an implicit rate, we compute our incremental borrowing rate based on information available at the lease commencement date applying the portfolio approach to groups of leases with similar characteristics. Right-of-use operating assets are recognized based on the initial present value of fixed lease payments over the lease term. Our lease terms include options to extend the lease when it is reasonably certain we will exercise its option. We used incremental borrowing rates that match the duration of the remaining lease terms of our operating leases on a fully collateralized basis to initially measure our lease liability. We evaluate renewal options periodically for any changes in assumptions.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October 1, 2019, we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Upon adoption, we elected to utilize the modified retrospective method, including not to account for lease and non-lease components separately. Lease components generally include rent, taxes and insurance, and non-lease components generally include common area maintenance. Right-of-use assets are tested for impairment in the same manner as long-lived assets. We recognize lease expense on a straight-line basis over the lease term with variable lease expense recognized in the period in which the costs are incurred. Our lease portfolio consists of pawn locations and corporate offices with lease terms ranging from three to ten years, including options to renew. We generally account for the initial lease term of our pawn locations as up to ten years. Our primary corporate office is leased through March 2029 with annual escalating rent payments and includes two, five-year extension options at the end of the initial lease term.</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 and Indefinite-Lived Intangible Assets</w:t>
      </w:r>
    </w:p>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Goodwill represents the excess of the purchase price over the net amount of identifiable assets acquired and liabilities assumed in a business combination measured at fair value. We evaluate goodwill for impairment annually on September 30 and upon the occurrence of certain triggering events or substantive changes in circumstances that indicate that the fair value of goodwill may be impaired. We consider the assessment of the occurrence of triggering events or substantive changes in circumstances that may indicate the fair value of goodwill may be impaired to be a critical estimate.</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Impairment of goodwill is tested at the reporting unit level. A reporting unit is an operating segment or one level below an operating segment, referred to as a “component.” A component of an operating segment is required to be identified as a reporting unit if the component is a business for which discrete financial information is available and segment management regularly reviews its operating results.</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more-likely-than-not the estimated fair value of a reporting unit is less than its carrying amount. If we elect to perform a qualitative assessment and determine that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200"/>
        <w:spacing w:after="0" w:line="291" w:lineRule="auto"/>
        <w:rPr>
          <w:sz w:val="20"/>
          <w:szCs w:val="20"/>
          <w:color w:val="auto"/>
        </w:rPr>
      </w:pPr>
      <w:r>
        <w:rPr>
          <w:rFonts w:ascii="Arial" w:cs="Arial" w:eastAsia="Arial" w:hAnsi="Arial"/>
          <w:sz w:val="17"/>
          <w:szCs w:val="17"/>
          <w:color w:val="auto"/>
        </w:rPr>
        <w:t>companies that are similar but not identical to us from an operational and economic standpoint. We use discount rates that are commensurate with the risks and uncertainties inherent in the respective businesses and in our internally developed forecasts.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test indefinite-lived intangible assets for impairment by first assessing qualitative factors to determine whether it is necessary to perform a quantitative impairment test. If we believe as a result of its qualitative assessment that it is more-likely-than-not the fair value of the indefinite-lived intangible asset is less than its carrying amount, a quantitative impairment test is required. Otherwise, no further testing is required.</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 leasehold improvements over the shorter of their estimated useful life (typically 10 years) or the reasonably assured lease term at the inception of the lease.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Long-Lived Assets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carrying values of long -lived assets, inclusive of right of use (ROU) assets, are periodically reviewed whenever events or changes in circumstances indicate the carrying value may not be recoverable, such as historical operating losses or plans to close stores before the end of their previously estimated useful lives. A potential impairment has occurred if projected future undiscounted cash flows are less than the carrying value of the assets. The estimate of cash flows includes management's assumptions of cash inflows and outflows directly resulting from the use of those assets in operations. We consider the assumptions associated with the determination of projected future cash flows to be a critical estimate. When a potential impairment has occurred, an impairment write-down is recorded if the carrying value of the long-lived asset exceeds its fair value.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Software Development Costs and Cloud Computing Arrangements</w:t>
      </w:r>
    </w:p>
    <w:p>
      <w:pPr>
        <w:spacing w:after="0" w:line="18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on a straight-line basis over the estimated useful lives of the software, typically five years. Net capitalized development costs are included in “Capital expenditures, net” in our Consolidated Statements of Cash Flows.</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evaluating whether our cloud computing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Combinations</w:t>
      </w:r>
    </w:p>
    <w:p>
      <w:pPr>
        <w:spacing w:after="0" w:line="18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allocate the total acquisition price to the fair value of assets and liabilities acquired under the acquisition method with goodwill representing the excess of purchase price over the fair value of net assets acquired. We expense transaction costs as incurred. We recognize any adjustments to provisional amounts and goodwill that are identified during the measurement period in the reporting period in which the adjustment amounts are determined, with the effect on current period earnings of changes in depreciation, amortization or other income effects, if any, as a result of the change to the provisional amounts, calculated as if the accounting had been completed at the acquisition date.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Convertible Debt Securities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accounting for our convertible debt securities at issuance, we separated the securities into debt and equity components pursuant to the accounting standards for convertible debt instruments that may be fully or partially settled in cash upon conversion. The carrying value of the liability components was calculated by measuring the fair value of similar liabilities that do not have an associated conversion feature, including discount rates of approximately 8%. The excess of the principal amount over the fair value of the liability component was recorded as a discount with a corresponding increase in additional paid-in capital. The debt discounts will be accreted to “Interest expense” over the respective terms of the convertible debt securities using the effective interest method. The amount recorded to “Additional paid-in capital” will not be remeasured as long as they continue to meet the conditions for equity classification.</w:t>
      </w:r>
    </w:p>
    <w:p>
      <w:pPr>
        <w:spacing w:after="0" w:line="15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account for the conversion premium of the convertible debt securities under the treasury method in accordance with our accounting policy, which assumes settlement of the conversion premium (equal to the as-converted value over the face principal amount) in shares of our Class A Common Stock.</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foreign subsidiaries use the local currency of their respective countries as their functional currency. Assets and liabilities of our foreign subsidiaries' balance sheet accounts and our equity method investments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w:t>
      </w:r>
    </w:p>
    <w:p>
      <w:pPr>
        <w:spacing w:after="0" w:line="150"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color w:val="auto"/>
        </w:rPr>
        <w:t>Foreign currency transaction gains and losses not accounted for as translations are included in “Other expense (income)” in our Consolidated Statements of Operations. These gains were $0.1 million, $0.5 million and $0.3 million for fiscal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Store Expenses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Included in “Store expenses”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and Administrative Expense</w:t>
      </w:r>
    </w:p>
    <w:p>
      <w:pPr>
        <w:spacing w:after="0" w:line="18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Included in “General and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Advertising</w:t>
      </w:r>
    </w:p>
    <w:p>
      <w:pPr>
        <w:spacing w:after="0" w:line="184"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Advertising costs are expensed as incurred and included primarily under “Operations” expense in our Consolidated Statements of Operations. These costs were $1.6 million, $2.0 million and $2.0 million for fiscal 2021,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Compensation</w:t>
      </w:r>
    </w:p>
    <w:p>
      <w:pPr>
        <w:spacing w:after="0" w:line="18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measure share-based compensation expense at the grant date based on the price of underlying shares at that date and recognize it as expense, net of estimated forfeitures, ratably over the vesting or service period, as applicable, of the stock award. Our policy is to recognize expense on performance-based awards, where satisfaction of the performance condition is probable, ratably over the awards’ vesting period and recognize expense on awards that only have service requirements on a straight-line basis.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8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consider our assessment of the recognition of deferred tax assets as well as estimates of uncertain tax positions to be critical estimates.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 and Common Stock</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compute basic earnings per share based on the weighted average number of shares of common stock outstanding during the period. We compute diluted earnings per share based on the weighted average number of shares of common stock plus the effect of dilutive potential common shares outstanding, including conversion features embedded in our outstanding convertible debt, during the period using the treasury stock method. Dilutive potential common shares include outstanding restricted stock awards as well as shares issuable on conversion of our outstanding convertible debt securities and exercise of outstanding warrants.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2021, 2020 and 2019 requiring the application of the two-class method. When we are in a loss position for the period, dilutive securities are excluded from the calculation of earnings per share, as they would have an anti-dilutive effect.</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COVID-19</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continues to affect the U.S. and global economies, and as previously disclosed in our 2020 Annual Report, the pandemic also affected our businesses in a variety of ways beginning in the second quarter of fiscal 2020 and continuing into fiscal 2021. We cannot estimate the length or severity of the COVID-19 pandemic or the related financial consequences on our business and operations, including whether and when historic economic and operating conditions will resume or the extent to which the disruption may impact our business, financial position, results of operations or cash flows. Our estimates, judgments and assumptions related to COVID-19 could ultimately differ over time.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Policies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w:t>
      </w:r>
      <w:r>
        <w:rPr>
          <w:rFonts w:ascii="Arial" w:cs="Arial" w:eastAsia="Arial" w:hAnsi="Arial"/>
          <w:sz w:val="18"/>
          <w:szCs w:val="18"/>
          <w:color w:val="auto"/>
        </w:rPr>
        <w:t>(“ASU 2016-13”). ASU 2016-13 modifies the measurement of expected credit losses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requiring entities to estimate an expected lifetime credit loss on financial assets. The ASU amends the impairment model to utilize an expected loss methodology and replaces the incurred loss methodology for financial instruments including trade receivables. The amendment requires entities to consider other factors, such as historical loss experience, current conditions and reasonable and supportable forecasts. ASU 2016-13 was effective on October 1, 2020. We adopted ASU 2016-13 effective October 1, 2020 using the modified retrospective approach. There was no net cumulative effect adjustment to retained earnings as of October 1, 2020 as a result of this adoption. This amendment did not have a material impact on our balance sheets or cash flows from operations and did not have a material impact on our operating results.</w:t>
      </w:r>
    </w:p>
    <w:p>
      <w:pPr>
        <w:spacing w:after="0" w:line="13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848) — Facilitation of the Effects of 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Reporting </w:t>
      </w:r>
      <w:r>
        <w:rPr>
          <w:rFonts w:ascii="Arial" w:cs="Arial" w:eastAsia="Arial" w:hAnsi="Arial"/>
          <w:sz w:val="18"/>
          <w:szCs w:val="18"/>
          <w:color w:val="auto"/>
        </w:rPr>
        <w:t>(“ASU 2020-004”). ASU 2020-04 provides optional expedients and exceptions for applying GAAP to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relationships and other transactions that reference LIBOR or another reference rate. ASU 2020-04 is effective upon issuance through December 31, 2022. This ASU has not had a significant impact on our consolidated financial statements and related disclosures to date. We will continue to assess the applicability to any future arrangements.</w:t>
      </w:r>
    </w:p>
    <w:p>
      <w:pPr>
        <w:spacing w:after="0" w:line="1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Effective October 1, 2019, we adopted Accounting Standards Codification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requires companies to recognize operating and financing lease liabilities and corresponding right-of-use assets on the balance sheet using the modified retrospective method provided under ASU 2018-11, </w:t>
      </w:r>
      <w:r>
        <w:rPr>
          <w:rFonts w:ascii="Arial" w:cs="Arial" w:eastAsia="Arial" w:hAnsi="Arial"/>
          <w:sz w:val="18"/>
          <w:szCs w:val="18"/>
          <w:i w:val="1"/>
          <w:iCs w:val="1"/>
          <w:color w:val="auto"/>
        </w:rPr>
        <w:t>Leases (Topic 842) — Targeted Improvements</w:t>
      </w:r>
      <w:r>
        <w:rPr>
          <w:rFonts w:ascii="Arial" w:cs="Arial" w:eastAsia="Arial" w:hAnsi="Arial"/>
          <w:sz w:val="18"/>
          <w:szCs w:val="18"/>
          <w:color w:val="auto"/>
        </w:rPr>
        <w:t>. Additionally, we elected the package of practical expedients under ASC 842 as well as the transition guidance elections to not separate lease and non-lease components for leases under ASC 842. Further, we have elected an accounting policy to not record right-of-use assets and lease liabilities for leases that have a duration of 12 months or less. See Note 12: Leases for additional discussion.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 Contracts in Entity’s Own Equity (Subtopic 815 – 40)</w:t>
      </w:r>
      <w:r>
        <w:rPr>
          <w:rFonts w:ascii="Arial" w:cs="Arial" w:eastAsia="Arial" w:hAnsi="Arial"/>
          <w:sz w:val="17"/>
          <w:szCs w:val="17"/>
          <w:color w:val="auto"/>
        </w:rPr>
        <w:t>, (“ASU 2020-06”). ASU 2020-06 simplifies the accounting for certain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 characteristics of liabilities and equity, including convertible instruments and contracts on an entity’s own equity. The ASU</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2020-06 amendments are effective for fiscal years beginning after December 15, 2021, and interim periods within those fiscal years. Early adoption is permitted, but no earlier than fiscal years beginning after December 15, 2020, including interim periods within those fiscal years.</w:t>
      </w:r>
    </w:p>
    <w:p>
      <w:pPr>
        <w:spacing w:after="0" w:line="1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plan to early adopt this standard as of October 1, 2021 under the modified retrospective basis. Under this transition method, prior period financial information and disclosures will not be adjusted and will continue to be reported under the accounting standards that were in effect prior to our adoption of ASU 2020-06. The cash conversion model, which the Company has historically used to account for its convertible debt instruments, was eliminated by ASU 2020-06.The adoption of ASU 2020-06 will reduce non-cash interest expense in future periods due to the derecognition of the debt discount associated with the bifurcated equity component of our convertible notes. The treasury stock method for calculating earnings per share will no longer be allowed for convertible debt instruments whose principal amount may be settled using shares, instead the if-converted method will be required to determine the dilutive effect of our convertible notes.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OTHER CHARGES</w:t>
      </w:r>
    </w:p>
    <w:p>
      <w:pPr>
        <w:spacing w:after="0" w:line="20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During the fourth quarter of fiscal 2020, we began to implement strategic initiatives to refocus on our core pawn business and optimize our cost structure in order to improve our bottom line performance and position us for sustainable growth. The initiatives focused on workforce reductions, closure of our CASHMAX operations, store closures, write-offs and other miscellaneous charges.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recorded $0.2 million of charges for the fiscal year ended September 30, 2021 related to the closure of store operations in Peru.</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Accrued Charges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Payments and</w:t>
            </w: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Accrued Charges</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540" w:type="dxa"/>
            <w:vAlign w:val="bottom"/>
            <w:gridSpan w:val="3"/>
          </w:tcPr>
          <w:p>
            <w:pPr>
              <w:ind w:left="60"/>
              <w:spacing w:after="0" w:line="162" w:lineRule="exact"/>
              <w:rPr>
                <w:sz w:val="20"/>
                <w:szCs w:val="20"/>
                <w:color w:val="auto"/>
              </w:rPr>
            </w:pPr>
            <w:r>
              <w:rPr>
                <w:rFonts w:ascii="Arial" w:cs="Arial" w:eastAsia="Arial" w:hAnsi="Arial"/>
                <w:sz w:val="16"/>
                <w:szCs w:val="16"/>
                <w:b w:val="1"/>
                <w:bCs w:val="1"/>
                <w:color w:val="auto"/>
              </w:rPr>
              <w:t>at September 30,</w:t>
            </w:r>
          </w:p>
        </w:tc>
        <w:tc>
          <w:tcPr>
            <w:tcW w:w="26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Charges</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at September 30,</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Adjustments</w:t>
            </w:r>
          </w:p>
        </w:tc>
        <w:tc>
          <w:tcPr>
            <w:tcW w:w="32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7"/>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charges: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40"/>
              <w:spacing w:after="0"/>
              <w:rPr>
                <w:sz w:val="20"/>
                <w:szCs w:val="20"/>
                <w:color w:val="auto"/>
              </w:rPr>
            </w:pPr>
            <w:r>
              <w:rPr>
                <w:rFonts w:ascii="Arial" w:cs="Arial" w:eastAsia="Arial" w:hAnsi="Arial"/>
                <w:sz w:val="16"/>
                <w:szCs w:val="16"/>
                <w:color w:val="auto"/>
              </w:rPr>
              <w:t>Labor reduction costs</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5,946</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5,623</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CASHMAX shutdown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00" w:type="dxa"/>
            <w:vAlign w:val="bottom"/>
          </w:tcPr>
          <w:p>
            <w:pPr>
              <w:ind w:left="140"/>
              <w:spacing w:after="0"/>
              <w:rPr>
                <w:sz w:val="20"/>
                <w:szCs w:val="20"/>
                <w:color w:val="auto"/>
              </w:rPr>
            </w:pPr>
            <w:r>
              <w:rPr>
                <w:rFonts w:ascii="Arial" w:cs="Arial" w:eastAsia="Arial" w:hAnsi="Arial"/>
                <w:sz w:val="16"/>
                <w:szCs w:val="16"/>
                <w:color w:val="auto"/>
              </w:rPr>
              <w:t>Store closure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10,718</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recorded $20.4 million of charges for the fiscal year ended September 30, 2020, as summarized below:</w:t>
      </w:r>
    </w:p>
    <w:p>
      <w:pPr>
        <w:spacing w:after="0" w:line="15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18"/>
          <w:szCs w:val="18"/>
          <w:color w:val="auto"/>
        </w:rPr>
        <w:t>$6.4 million in severance and other payroll-related costs related to a headcount reduction in the corporate office;</w:t>
      </w:r>
    </w:p>
    <w:p>
      <w:pPr>
        <w:spacing w:after="0" w:line="107" w:lineRule="exact"/>
        <w:rPr>
          <w:rFonts w:ascii="Arial" w:cs="Arial" w:eastAsia="Arial" w:hAnsi="Arial"/>
          <w:sz w:val="20"/>
          <w:szCs w:val="20"/>
          <w:color w:val="auto"/>
        </w:rPr>
      </w:pPr>
    </w:p>
    <w:p>
      <w:pPr>
        <w:ind w:left="660" w:right="120" w:hanging="328"/>
        <w:spacing w:after="0" w:line="230" w:lineRule="auto"/>
        <w:tabs>
          <w:tab w:leader="none" w:pos="662" w:val="left"/>
        </w:tabs>
        <w:numPr>
          <w:ilvl w:val="0"/>
          <w:numId w:val="33"/>
        </w:numPr>
        <w:rPr>
          <w:rFonts w:ascii="Arial" w:cs="Arial" w:eastAsia="Arial" w:hAnsi="Arial"/>
          <w:sz w:val="20"/>
          <w:szCs w:val="20"/>
          <w:color w:val="auto"/>
        </w:rPr>
      </w:pPr>
      <w:r>
        <w:rPr>
          <w:rFonts w:ascii="Arial" w:cs="Arial" w:eastAsia="Arial" w:hAnsi="Arial"/>
          <w:sz w:val="18"/>
          <w:szCs w:val="18"/>
          <w:color w:val="auto"/>
        </w:rPr>
        <w:t>$4.9 million in costs related to the closure of the CASHMAX business and related operations, primarily consisting of severance and other payroll-related costs, net asset write-offs, impairment of internally developed software and contract termination costs;</w:t>
      </w:r>
    </w:p>
    <w:p>
      <w:pPr>
        <w:spacing w:after="0" w:line="107" w:lineRule="exact"/>
        <w:rPr>
          <w:rFonts w:ascii="Arial" w:cs="Arial" w:eastAsia="Arial" w:hAnsi="Arial"/>
          <w:sz w:val="20"/>
          <w:szCs w:val="20"/>
          <w:color w:val="auto"/>
        </w:rPr>
      </w:pPr>
    </w:p>
    <w:p>
      <w:pPr>
        <w:ind w:left="660" w:right="220" w:hanging="328"/>
        <w:spacing w:after="0" w:line="230" w:lineRule="auto"/>
        <w:tabs>
          <w:tab w:leader="none" w:pos="662" w:val="left"/>
        </w:tabs>
        <w:numPr>
          <w:ilvl w:val="0"/>
          <w:numId w:val="33"/>
        </w:numPr>
        <w:rPr>
          <w:rFonts w:ascii="Arial" w:cs="Arial" w:eastAsia="Arial" w:hAnsi="Arial"/>
          <w:sz w:val="20"/>
          <w:szCs w:val="20"/>
          <w:color w:val="auto"/>
        </w:rPr>
      </w:pPr>
      <w:r>
        <w:rPr>
          <w:rFonts w:ascii="Arial" w:cs="Arial" w:eastAsia="Arial" w:hAnsi="Arial"/>
          <w:sz w:val="18"/>
          <w:szCs w:val="18"/>
          <w:color w:val="auto"/>
        </w:rPr>
        <w:t>$4.1 million in costs primarily related to the closure of four stores in U.S. Pawn and three stores in Latin America Pawn, consisting primarily of severance and other payroll-related costs and reserves on net assets; and</w:t>
      </w:r>
    </w:p>
    <w:p>
      <w:pPr>
        <w:spacing w:after="0" w:line="107" w:lineRule="exact"/>
        <w:rPr>
          <w:rFonts w:ascii="Arial" w:cs="Arial" w:eastAsia="Arial" w:hAnsi="Arial"/>
          <w:sz w:val="20"/>
          <w:szCs w:val="20"/>
          <w:color w:val="auto"/>
        </w:rPr>
      </w:pPr>
    </w:p>
    <w:p>
      <w:pPr>
        <w:ind w:left="660" w:right="640" w:hanging="328"/>
        <w:spacing w:after="0" w:line="230" w:lineRule="auto"/>
        <w:tabs>
          <w:tab w:leader="none" w:pos="712" w:val="left"/>
        </w:tabs>
        <w:numPr>
          <w:ilvl w:val="0"/>
          <w:numId w:val="33"/>
        </w:numPr>
        <w:rPr>
          <w:rFonts w:ascii="Arial" w:cs="Arial" w:eastAsia="Arial" w:hAnsi="Arial"/>
          <w:sz w:val="20"/>
          <w:szCs w:val="20"/>
          <w:color w:val="auto"/>
        </w:rPr>
      </w:pPr>
      <w:r>
        <w:rPr>
          <w:rFonts w:ascii="Arial" w:cs="Arial" w:eastAsia="Arial" w:hAnsi="Arial"/>
          <w:sz w:val="18"/>
          <w:szCs w:val="18"/>
          <w:color w:val="auto"/>
        </w:rPr>
        <w:t>$5.0 million in other miscellaneous charges, primarily consisting of impairment of internally developed software and contract termination costs.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Accrued Charges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Payments and</w:t>
            </w: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Accrued Charges</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at September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Charges</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at September 30,</w:t>
            </w:r>
          </w:p>
        </w:tc>
        <w:tc>
          <w:tcPr>
            <w:tcW w:w="0" w:type="dxa"/>
            <w:vAlign w:val="bottom"/>
          </w:tcPr>
          <w:p>
            <w:pPr>
              <w:spacing w:after="0"/>
              <w:rPr>
                <w:sz w:val="1"/>
                <w:szCs w:val="1"/>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Adjustments</w:t>
            </w:r>
          </w:p>
        </w:tc>
        <w:tc>
          <w:tcPr>
            <w:tcW w:w="320" w:type="dxa"/>
            <w:vAlign w:val="bottom"/>
          </w:tcPr>
          <w:p>
            <w:pPr>
              <w:spacing w:after="0"/>
              <w:rPr>
                <w:sz w:val="18"/>
                <w:szCs w:val="18"/>
                <w:color w:val="auto"/>
              </w:rPr>
            </w:pPr>
          </w:p>
        </w:tc>
        <w:tc>
          <w:tcPr>
            <w:tcW w:w="1120" w:type="dxa"/>
            <w:vAlign w:val="bottom"/>
          </w:tcPr>
          <w:p>
            <w:pPr>
              <w:jc w:val="center"/>
              <w:ind w:right="2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charges:</w:t>
            </w: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Labor reduction costs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6,438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492</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5,946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CASHMAX shutdown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Store closure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12,481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10,718</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charges: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Labor reduction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CASHMAX shutdown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Store closure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20,386</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Acquisitions</w:t>
      </w:r>
    </w:p>
    <w:p>
      <w:pPr>
        <w:spacing w:after="0" w:line="18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On June 8, 2021, we completed the acquisition of 100% of the common shares of PLO del Bajio S. de R.L. de C.V. (“Bajio”) and gained control of the entity, further expanding our geographic footprint within Mexico with the addition of 128 pawn stores. These stores operate under the name "Cash Apoyo Efectivo" and are located principally in the Mexico City metropolitan area.</w:t>
      </w:r>
    </w:p>
    <w:p>
      <w:pPr>
        <w:spacing w:after="0" w:line="14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total consideration for Bajio was $ 23.6 million, consisting of $17.4 million of cash, and 212,870 shares of our Class A Non-Voting Common Stock valued at $1.6 million. In addition, the sellers are entitled to additional payments of up to $4.6 million to be paid in two payments over the next two years, contingent on the growth of the loan portfolios of the acquired stores. Up to 50% of any future contingent payments can be made in shares of our Class A Non-Voting Common Stock at our discretion. The value of the contingent consideration was included in the total consideration as the metrics were considered achievable on the date of acquisition. Cash paid at closing was</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$11.6 million and $3.8 million was paid in the fourth quarter of the fiscal year. Of the remaining $2.0 million, $1.6 million is expected to be paid prior to June 30, 2022, and $0.4 million is expected to be paid on or around the fifth anniversary of the date of acquisition .</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assets acquired and liabilities assumed are based upon the estimated fair values at the date of acquisition. The excess purchase price over the estimated fair market value of the new assets acquired has been recorded as goodwill.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Pawn loans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Pawn service charges receivable</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10,651</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26,100</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3,965</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Debt</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(14,931)</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3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(10,651)</w:t>
            </w:r>
          </w:p>
        </w:tc>
      </w:tr>
      <w:tr>
        <w:trPr>
          <w:trHeight w:val="209"/>
        </w:trPr>
        <w:tc>
          <w:tcPr>
            <w:tcW w:w="6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consideration</w:t>
            </w:r>
          </w:p>
        </w:tc>
        <w:tc>
          <w:tcPr>
            <w:tcW w:w="3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indefinite-lived trade names.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factors contributing to the recognition of goodwill, which is recorded in our Latin America Pawn segment, were based on several strategic and synergistic benefits we expect to realize from the acquisition, including expansion of our store base as well as the ability to further leverage our pawn expertise, investments in information technology and other back office and support functions of our existing Mexico pawn business. We expect none of the goodwill resulting from this business combination will be deductible for income tax purposes.</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results of Bajio have been included in our condensed consolidated financial statements from the date of acquisition in our Latin America Pawn segment. The acquired business contributed revenues of $9.6 million and net loss of $0.1 million during the period subsequent to acquisition.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 June 9, 2021, we repaid $14.9 million of Bajio’s existing debt assumed in the acquisition.</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unaudited pro forma summary presents consolidated information for us as if the business combination had occurred on October 1, 2019.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 opportunities following the acquisition. The pro forma adjustments reflected in the table below are subject to change as additional analysis is performed.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color w:val="auto"/>
              </w:rPr>
              <w:t>Fiscal Years Ended September 30,</w:t>
            </w: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37"/>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748,957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854,926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8,828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(65,206)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Diluted earnings (loss)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(1.18)</w:t>
            </w:r>
          </w:p>
        </w:tc>
      </w:tr>
    </w:tbl>
    <w:p>
      <w:pPr>
        <w:spacing w:after="0" w:line="2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did not have any material, nonrecurring pro forma adjustments directly attributable to the business combination included in the reported pro forma net revenue and net income.</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fiscal year end ended September 30, 2021, we incurred total acquisition-related costs of $0.8 million. The acquisition-related costs were primarily related to legal, accounting and consulting services and were expensed as incurred through September 30, 2021, and are included in general and administrative expenses in the Consolidated Statements of Operations.</w:t>
      </w:r>
    </w:p>
    <w:p>
      <w:pPr>
        <w:spacing w:after="0" w:line="1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May 2021, we acquired substantially all of the assets associated with 11 pawn stores in the Houston, Texas area, enhancing our position in this strategically important market. We have concluded that this acquisition was immaterial to our overall consolidated financial position and consolidated results of operations, and, therefore, have omitted information that would otherwise be required.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(LOSS) PER SHARE</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Fiscal Year Ended September 30,</w:t>
            </w:r>
          </w:p>
        </w:tc>
        <w:tc>
          <w:tcPr>
            <w:tcW w:w="940" w:type="dxa"/>
            <w:vAlign w:val="bottom"/>
            <w:tcBorders>
              <w:bottom w:val="single" w:sz="8" w:color="auto"/>
            </w:tcBorders>
          </w:tcPr>
          <w:p>
            <w:pPr>
              <w:spacing w:after="0"/>
              <w:rPr>
                <w:sz w:val="18"/>
                <w:szCs w:val="18"/>
                <w:color w:val="auto"/>
              </w:rPr>
            </w:pPr>
          </w:p>
        </w:tc>
      </w:tr>
      <w:tr>
        <w:trPr>
          <w:trHeight w:val="212"/>
        </w:trPr>
        <w:tc>
          <w:tcPr>
            <w:tcW w:w="672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5"/>
        </w:trPr>
        <w:tc>
          <w:tcPr>
            <w:tcW w:w="6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Average common share outstanding (denominator)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55,313</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55,341</w:t>
            </w:r>
          </w:p>
        </w:tc>
      </w:tr>
      <w:tr>
        <w:trPr>
          <w:trHeight w:val="21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199"/>
        </w:trPr>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Average common share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55,313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55,341</w:t>
            </w:r>
          </w:p>
        </w:tc>
      </w:tr>
      <w:tr>
        <w:trPr>
          <w:trHeight w:val="216"/>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Dilutive effect of restricted stock and convertible notes*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09"/>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 average common shares outstanding (denominator)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55,313</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55,984</w:t>
            </w:r>
          </w:p>
        </w:tc>
      </w:tr>
      <w:tr>
        <w:trPr>
          <w:trHeight w:val="199"/>
        </w:trPr>
        <w:tc>
          <w:tcPr>
            <w:tcW w:w="67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r>
      <w:tr>
        <w:trPr>
          <w:trHeight w:val="207"/>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(loss)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91"/>
        </w:trPr>
        <w:tc>
          <w:tcPr>
            <w:tcW w:w="67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77"/>
        </w:trPr>
        <w:tc>
          <w:tcPr>
            <w:tcW w:w="6720" w:type="dxa"/>
            <w:vAlign w:val="bottom"/>
          </w:tcPr>
          <w:p>
            <w:pPr>
              <w:ind w:left="20"/>
              <w:spacing w:after="0" w:line="178" w:lineRule="exact"/>
              <w:rPr>
                <w:sz w:val="20"/>
                <w:szCs w:val="20"/>
                <w:color w:val="auto"/>
              </w:rPr>
            </w:pPr>
            <w:r>
              <w:rPr>
                <w:rFonts w:ascii="Arial" w:cs="Arial" w:eastAsia="Arial" w:hAnsi="Arial"/>
                <w:sz w:val="16"/>
                <w:szCs w:val="16"/>
                <w:color w:val="auto"/>
              </w:rPr>
              <w:t>Potential common shares excluded from the calculation of diluted earnings per share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8"/>
        </w:trPr>
        <w:tc>
          <w:tcPr>
            <w:tcW w:w="6720" w:type="dxa"/>
            <w:vAlign w:val="bottom"/>
          </w:tcPr>
          <w:p>
            <w:pPr>
              <w:ind w:left="20"/>
              <w:spacing w:after="0"/>
              <w:rPr>
                <w:sz w:val="20"/>
                <w:szCs w:val="20"/>
                <w:color w:val="auto"/>
              </w:rPr>
            </w:pPr>
            <w:r>
              <w:rPr>
                <w:rFonts w:ascii="Arial" w:cs="Arial" w:eastAsia="Arial" w:hAnsi="Arial"/>
                <w:sz w:val="16"/>
                <w:szCs w:val="16"/>
                <w:color w:val="auto"/>
              </w:rPr>
              <w:t>above: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r>
    </w:tbl>
    <w:p>
      <w:pPr>
        <w:spacing w:after="0" w:line="153" w:lineRule="exact"/>
        <w:rPr>
          <w:sz w:val="20"/>
          <w:szCs w:val="20"/>
          <w:color w:val="auto"/>
        </w:rPr>
      </w:pPr>
    </w:p>
    <w:p>
      <w:pPr>
        <w:ind w:left="340" w:right="140" w:hanging="332"/>
        <w:spacing w:after="0" w:line="241" w:lineRule="auto"/>
        <w:tabs>
          <w:tab w:leader="none" w:pos="232"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performance-based restricted stock units. See Note 9: Debt for discussion of the terms and conditions of the potential impact of the 2024 Convertible Notes and 2025 Convertible Notes. There is no dilutive impact for the Convertible Notes for the periods presented. This amount excludes all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potential common shares for periods when there is a loss from continuing operations.</w:t>
      </w:r>
    </w:p>
    <w:p>
      <w:pPr>
        <w:spacing w:after="0" w:line="1" w:lineRule="exact"/>
        <w:rPr>
          <w:sz w:val="20"/>
          <w:szCs w:val="20"/>
          <w:color w:val="auto"/>
        </w:rPr>
      </w:pPr>
    </w:p>
    <w:p>
      <w:pPr>
        <w:ind w:left="340" w:right="80" w:hanging="332"/>
        <w:spacing w:after="0" w:line="258" w:lineRule="auto"/>
        <w:tabs>
          <w:tab w:leader="none" w:pos="288"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STRATEGIC INVESTMENTS</w:t>
      </w:r>
    </w:p>
    <w:p>
      <w:pPr>
        <w:spacing w:after="0" w:line="2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September 30, 2021, we owned 223,702,991 shares, or approximately 35.65%, of Cash Converters. We acquired our original investment (representing approximately 30% of the outstanding shares) in November 2009 and have increased our ownership through the acquisition of additional shares periodically since that time. In April 2021, we acquired 9,519,277 shares through the Cash Converters Dividend Reinvestment Plan, bringing our total ownership to 35.65% as indicated above. Since September 30 2021, we have acquired an additional 13 million shares, bringing our total ownership as of November 1, 2021 to 236,702,991 shares representing an ownership interest of 37.72%. See Note 16: Subsequent Events.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equity in Cash Converters’s net income was $4.3 million in fiscal 2021, and our equity in net loss was $2.1 million and $0.1 million in fiscal 2020 and 2019, respectively. Cash Converters did not declare or pay a dividend in fiscal 2020 or 2019. Cash Converters’s accumulated undistributed after-tax earnings included in our consolidated retained earnings were $18.0 million as of September 30, 2021.</w:t>
      </w:r>
    </w:p>
    <w:p>
      <w:pPr>
        <w:spacing w:after="0" w:line="148"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following tables present summary financial information for Cash Converters’s most recently reported results as applicable after translation to U.S. dollars: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2"/>
        </w:trPr>
        <w:tc>
          <w:tcPr>
            <w:tcW w:w="8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157,183</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191,788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172,833</w:t>
            </w:r>
          </w:p>
        </w:tc>
      </w:tr>
      <w:tr>
        <w:trPr>
          <w:trHeight w:val="210"/>
        </w:trPr>
        <w:tc>
          <w:tcPr>
            <w:tcW w:w="8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359,341</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330,016</w:t>
            </w:r>
          </w:p>
        </w:tc>
      </w:tr>
      <w:tr>
        <w:trPr>
          <w:trHeight w:val="91"/>
        </w:trPr>
        <w:tc>
          <w:tcPr>
            <w:tcW w:w="8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68,028</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51,275</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240,435</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210,713</w:t>
            </w:r>
          </w:p>
        </w:tc>
      </w:tr>
      <w:tr>
        <w:trPr>
          <w:trHeight w:val="210"/>
        </w:trPr>
        <w:tc>
          <w:tcPr>
            <w:tcW w:w="8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359,341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330,016</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line="51"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Fiscal Year Ended June 30,</w:t>
            </w:r>
          </w:p>
        </w:tc>
        <w:tc>
          <w:tcPr>
            <w:tcW w:w="960" w:type="dxa"/>
            <w:vAlign w:val="bottom"/>
            <w:tcBorders>
              <w:bottom w:val="single" w:sz="8" w:color="auto"/>
            </w:tcBorders>
          </w:tcPr>
          <w:p>
            <w:pPr>
              <w:spacing w:after="0"/>
              <w:rPr>
                <w:sz w:val="18"/>
                <w:szCs w:val="18"/>
                <w:color w:val="auto"/>
              </w:rPr>
            </w:pP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201,365</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105,851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112,511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111,932</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r>
    </w:tbl>
    <w:p>
      <w:pPr>
        <w:spacing w:after="0" w:line="2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At September 30, 2021, the fair value of our investment in Cash Converters, as estimated by reference to its quoted market price per share, was greater than its carrying value.</w:t>
      </w:r>
    </w:p>
    <w:p>
      <w:pPr>
        <w:spacing w:after="0" w:line="14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For the first and second quarters of fiscal 2019, we determined that our investment was impaired and that such impairment was "other-than-temporary." In reaching this conclusion, we considered all available evidence, including evidence in existence as of September 30, 2018. Additionally, we noted the following developments subsequent to September 30, 2018: (i) continued decline in Cash Converters's share price; and (ii) ongoing uncertainty around the Queensland, Australia class action lawsuit regarding historical lending practices by Cash Converters, for which a settlement agreement was reached subsequent to September 30, 2019. As a result, we recognized an other-than-temporary impairment loss in Cash Converters of $19.8 million ($15.3 million, net of taxes) during fiscal 2019. The fair value of our investment in Cash Converters was $6.2 million below its carrying value as of September 30, 2019, which we determined was not other-than temporary primarily as a result of the subsequent settlement of the remaining Queensland, Australia class action lawsuit and recovery of share price.</w:t>
      </w:r>
    </w:p>
    <w:p>
      <w:pPr>
        <w:spacing w:after="0" w:line="15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will continue to monitor the fair value of our investment in Cash Converters for other-than-temporary impairments in future reporting periods and may record additional impairment charges should the fair value of our investment in Cash Converters decline below its carrying value for an extended period of time. See Note 6: Fair Value Measurements for the fair value and carrying value of our investment in Cash Converters.</w:t>
      </w:r>
    </w:p>
    <w:p>
      <w:pPr>
        <w:spacing w:after="0" w:line="1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hold a 13.14% ownership in "RDC" and recognized a $0.4 million, $0.3 million and $0.2 million net loss for the fiscal years ended 2021, 2020 and 2019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FAIR VALUE MEASUREMENTS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Assets and Liabilities Not Measured at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were not measured at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Estimated Fair Value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3"/>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496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1,181</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48,954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41,638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153,281</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153,281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96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155,250</w:t>
            </w:r>
          </w:p>
        </w:tc>
        <w:tc>
          <w:tcPr>
            <w:tcW w:w="1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155,250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Estimated Fair Value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2"/>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Level 2</w:t>
            </w:r>
          </w:p>
        </w:tc>
        <w:tc>
          <w:tcPr>
            <w:tcW w:w="16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9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496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96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137,569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8.5% unsecured debt due 2024</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r>
    </w:tbl>
    <w:p>
      <w:pPr>
        <w:spacing w:after="0" w:line="25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Based primarily on the short-term nature of cash and cash equivalents, pawn loans, pawn service charges receivable and other debt, we estimate that their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5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Included in “Accounts payable, accrued expenses and other current liabilities“ in our Consolidated Balance Sheets is $4.6 million which represents the fair value of acquisition-related contingent consideration as discussed in Note 3: Acquisitions. The key assumptions used to determine the fair value of acquisition-related contingent consideration are estimated by management, not observable in the market and, therefore considered Level 3 inputs within the fair value hierarchy.</w:t>
      </w:r>
    </w:p>
    <w:p>
      <w:pPr>
        <w:sectPr>
          <w:pgSz w:w="11900" w:h="16889" w:orient="portrait"/>
          <w:cols w:equalWidth="0" w:num="1">
            <w:col w:w="11240"/>
          </w:cols>
          <w:pgMar w:left="320" w:top="140" w:right="339" w:bottom="0" w:gutter="0" w:footer="0" w:header="0"/>
        </w:sectPr>
      </w:pPr>
    </w:p>
    <w:bookmarkStart w:id="54" w:name="page55"/>
    <w:bookmarkEnd w:id="54"/>
    <w:p>
      <w:pPr>
        <w:ind w:right="40"/>
        <w:spacing w:after="0" w:line="253"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September 30, 2021 and 2020, respectively. In August 2019, AlphaCredit notified us of an indemnity claim for certain pre-closing taxes, but the nature, extent and validity of such claim has yet to be determined.</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use the equity method of accounting for our 13.14% ownership in a previously consolidated variable interest entity, RDC, over which we no longer have the power to direct the activities that most significantly affect its economic performance. We believe its fair value approximates carrying value although such fair value is highly variable and includes significant unobservable inputs.</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principal amount of the note approximated its carrying value as of September 30, 2021 and 2020, respectively.</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PROPERTY AND EQUIPMENT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56"/>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line="156"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100" w:type="dxa"/>
            <w:vAlign w:val="bottom"/>
          </w:tcPr>
          <w:p>
            <w:pPr>
              <w:jc w:val="center"/>
              <w:ind w:right="119"/>
              <w:spacing w:after="0" w:line="156" w:lineRule="exact"/>
              <w:rPr>
                <w:sz w:val="20"/>
                <w:szCs w:val="20"/>
                <w:color w:val="auto"/>
              </w:rPr>
            </w:pPr>
            <w:r>
              <w:rPr>
                <w:rFonts w:ascii="Arial" w:cs="Arial" w:eastAsia="Arial" w:hAnsi="Arial"/>
                <w:sz w:val="16"/>
                <w:szCs w:val="16"/>
                <w:b w:val="1"/>
                <w:bCs w:val="1"/>
                <w:color w:val="auto"/>
                <w:w w:val="99"/>
              </w:rPr>
              <w:t>Net Book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00"/>
              <w:spacing w:after="0" w:line="156"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6"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100" w:type="dxa"/>
            <w:vAlign w:val="bottom"/>
          </w:tcPr>
          <w:p>
            <w:pPr>
              <w:jc w:val="right"/>
              <w:ind w:right="219"/>
              <w:spacing w:after="0" w:line="156" w:lineRule="exact"/>
              <w:rPr>
                <w:sz w:val="20"/>
                <w:szCs w:val="20"/>
                <w:color w:val="auto"/>
              </w:rPr>
            </w:pPr>
            <w:r>
              <w:rPr>
                <w:rFonts w:ascii="Arial" w:cs="Arial" w:eastAsia="Arial" w:hAnsi="Arial"/>
                <w:sz w:val="16"/>
                <w:szCs w:val="16"/>
                <w:b w:val="1"/>
                <w:bCs w:val="1"/>
                <w:color w:val="auto"/>
              </w:rPr>
              <w:t>Net Book</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Depreciation</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Depreciation</w:t>
            </w:r>
          </w:p>
        </w:tc>
        <w:tc>
          <w:tcPr>
            <w:tcW w:w="2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Value</w:t>
            </w:r>
          </w:p>
        </w:tc>
      </w:tr>
      <w:tr>
        <w:trPr>
          <w:trHeight w:val="35"/>
        </w:trPr>
        <w:tc>
          <w:tcPr>
            <w:tcW w:w="28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(75,445)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29,692</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25,905</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33,981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6"/>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r>
      <w:tr>
        <w:trPr>
          <w:trHeight w:val="209"/>
        </w:trPr>
        <w:tc>
          <w:tcPr>
            <w:tcW w:w="2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284,867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(231,056)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267,509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(210,523)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56,986</w:t>
            </w:r>
          </w:p>
        </w:tc>
      </w:tr>
    </w:tbl>
    <w:p>
      <w:pPr>
        <w:spacing w:after="0" w:line="25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depreciation of property and equipment is recorded as depreciation expense and included under “Depreciation and amortization” recorded in our Consolidated Statements of Operations. These amounts were $19.4 million, $19.6 million and $21.0 million for fiscal 2021, 2020 and 2019,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GOODWILL AND INTANGIBLE ASSETS</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evaluate goodwill for impairment annually on September 30 and upon the occurrence of certain triggering events or substantive changes in circumstances that indicate that the fair value of goodwill may be impaired.</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2021, we assessed qualitative factors and determined that it was not more-likely-than-not that the fair values of our reporting units were less than their carrying values as of the testing date. As a result of our assessment, no goodwill impairment charge was recorded during the fiscal year ended September 30, 2021.</w:t>
      </w:r>
    </w:p>
    <w:p>
      <w:pPr>
        <w:spacing w:after="0" w:line="148"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During the second quarter of fiscal 2020, the decline in our market capitalization indicated a possible impairment in the carrying value of goodwill. We elected to perform a quantitative analysis as of March 31, 2020, using the income approach with discount rates from 11% to 19%. As a result of our quantitative analysis, we determined the fair value of each of our reporting units was below its carrying value, primarily as a result of the impact of the COVID-19 pandemic on typical customer behavior, which led to a significant decline in pawn loan balances, and the mandated closure of stores in our GPMX countries. We recorded a goodwill impairment charge of $ 41.3 million in the second quarter of fiscal 2020 as “Impairment of goodwill, intangible and other assets” in our Consolidated Statements of Operations. No further indicators of goodwill impairment were noted as of September 30, 2020.</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test indefinite-lived intangible assets for impairment by first assessing qualitative factors to determine whether it is necessary to perform a quantitative impairment test. Based on our assessment of qualitative factors as of September 30, 2021, no impairment charges were recorded related to intangible assets or long-lived asset groups.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analysis of goodwill as of March 31, 2020, we determined that the fair values of the trade names associated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acquired entities in our Mexico and GPMX reporting units were also impaired and recorded an impairment charge of $2.9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million, respectively. Furthermore, we determined the carrying amount of certain long-lived asset groups were not recoverable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an impairment charge of $1.1 million in the second quarter of 2020 related to these asset groups. These impairment charges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as “Impairment of goodwill, intangible and other assets” in our Consolidated Statements of Operations. No additional indicators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of intangible assets or long-lived asset groups were noted as of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value of goodwill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6"/>
                <w:szCs w:val="16"/>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0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2019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300,527</w:t>
            </w:r>
          </w:p>
        </w:tc>
        <w:tc>
          <w:tcPr>
            <w:tcW w:w="0" w:type="dxa"/>
            <w:vAlign w:val="bottom"/>
          </w:tcPr>
          <w:p>
            <w:pPr>
              <w:spacing w:after="0"/>
              <w:rPr>
                <w:sz w:val="1"/>
                <w:szCs w:val="1"/>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Measurement period adjustments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impairment *</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(41,340)</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Effect of foreign currency translation changes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15,654</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257,582</w:t>
            </w:r>
          </w:p>
        </w:tc>
        <w:tc>
          <w:tcPr>
            <w:tcW w:w="0" w:type="dxa"/>
            <w:vAlign w:val="bottom"/>
          </w:tcPr>
          <w:p>
            <w:pPr>
              <w:spacing w:after="0"/>
              <w:rPr>
                <w:sz w:val="1"/>
                <w:szCs w:val="1"/>
                <w:color w:val="auto"/>
              </w:rPr>
            </w:pPr>
          </w:p>
        </w:tc>
      </w:tr>
      <w:tr>
        <w:trPr>
          <w:trHeight w:val="209"/>
        </w:trPr>
        <w:tc>
          <w:tcPr>
            <w:tcW w:w="7020" w:type="dxa"/>
            <w:vAlign w:val="bottom"/>
          </w:tcPr>
          <w:p>
            <w:pPr>
              <w:ind w:left="22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28,643</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Effect of foreign currency translation changes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244,471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6" w:name="page57"/>
    <w:bookmarkEnd w:id="56"/>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300" w:val="left"/>
        </w:tabs>
        <w:rPr>
          <w:sz w:val="20"/>
          <w:szCs w:val="20"/>
          <w:color w:val="auto"/>
        </w:rPr>
      </w:pPr>
      <w:r>
        <w:rPr>
          <w:rFonts w:ascii="Arial" w:cs="Arial" w:eastAsia="Arial" w:hAnsi="Arial"/>
          <w:sz w:val="14"/>
          <w:szCs w:val="14"/>
          <w:color w:val="auto"/>
        </w:rPr>
        <w:t>*</w:t>
        <w:tab/>
        <w:t>Represents cumulative goodwill impairment.</w:t>
      </w:r>
    </w:p>
    <w:p>
      <w:pPr>
        <w:spacing w:after="0" w:line="3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presents the balance of each major class of intangible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8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thousands)</w:t>
            </w:r>
          </w:p>
        </w:tc>
        <w:tc>
          <w:tcPr>
            <w:tcW w:w="3100" w:type="dxa"/>
            <w:vAlign w:val="bottom"/>
          </w:tcPr>
          <w:p>
            <w:pPr>
              <w:spacing w:after="0"/>
              <w:rPr>
                <w:sz w:val="18"/>
                <w:szCs w:val="18"/>
                <w:color w:val="auto"/>
              </w:rPr>
            </w:pPr>
          </w:p>
        </w:tc>
        <w:tc>
          <w:tcPr>
            <w:tcW w:w="14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35"/>
        </w:trPr>
        <w:tc>
          <w:tcPr>
            <w:tcW w:w="100" w:type="dxa"/>
            <w:vAlign w:val="bottom"/>
          </w:tcPr>
          <w:p>
            <w:pPr>
              <w:spacing w:after="0"/>
              <w:rPr>
                <w:sz w:val="3"/>
                <w:szCs w:val="3"/>
                <w:color w:val="auto"/>
              </w:rPr>
            </w:pPr>
          </w:p>
        </w:tc>
        <w:tc>
          <w:tcPr>
            <w:tcW w:w="51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6"/>
                <w:szCs w:val="16"/>
                <w:color w:val="auto"/>
                <w:w w:val="89"/>
              </w:rPr>
              <w:t>n</w:t>
            </w: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3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Trade names</w:t>
            </w:r>
          </w:p>
        </w:tc>
        <w:tc>
          <w:tcPr>
            <w:tcW w:w="3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23,036$</w:t>
            </w:r>
          </w:p>
        </w:tc>
        <w:tc>
          <w:tcPr>
            <w:tcW w:w="1200" w:type="dxa"/>
            <w:vAlign w:val="bottom"/>
          </w:tcPr>
          <w:p>
            <w:pPr>
              <w:jc w:val="right"/>
              <w:spacing w:after="0"/>
              <w:rPr>
                <w:sz w:val="20"/>
                <w:szCs w:val="20"/>
                <w:color w:val="auto"/>
              </w:rPr>
            </w:pPr>
            <w:r>
              <w:rPr>
                <w:rFonts w:ascii="Arial" w:cs="Arial" w:eastAsia="Arial" w:hAnsi="Arial"/>
                <w:sz w:val="16"/>
                <w:szCs w:val="16"/>
                <w:color w:val="auto"/>
              </w:rPr>
              <w:t>19,094</w:t>
            </w:r>
          </w:p>
        </w:tc>
      </w:tr>
      <w:tr>
        <w:trPr>
          <w:trHeight w:val="216"/>
        </w:trPr>
        <w:tc>
          <w:tcPr>
            <w:tcW w:w="10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Accumulated impairment losses</w:t>
            </w:r>
          </w:p>
        </w:tc>
        <w:tc>
          <w:tcPr>
            <w:tcW w:w="3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(4,598)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(4,598)</w:t>
            </w:r>
          </w:p>
        </w:tc>
      </w:tr>
      <w:tr>
        <w:trPr>
          <w:trHeight w:val="209"/>
        </w:trPr>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18,438</w:t>
            </w:r>
          </w:p>
        </w:tc>
        <w:tc>
          <w:tcPr>
            <w:tcW w:w="1200" w:type="dxa"/>
            <w:vAlign w:val="bottom"/>
          </w:tcPr>
          <w:p>
            <w:pPr>
              <w:jc w:val="right"/>
              <w:spacing w:after="0"/>
              <w:rPr>
                <w:sz w:val="20"/>
                <w:szCs w:val="20"/>
                <w:color w:val="auto"/>
              </w:rPr>
            </w:pPr>
            <w:r>
              <w:rPr>
                <w:rFonts w:ascii="Arial" w:cs="Arial" w:eastAsia="Arial" w:hAnsi="Arial"/>
                <w:sz w:val="16"/>
                <w:szCs w:val="16"/>
                <w:color w:val="auto"/>
              </w:rPr>
              <w:t>14,496</w:t>
            </w:r>
          </w:p>
        </w:tc>
      </w:tr>
      <w:tr>
        <w:trPr>
          <w:trHeight w:val="216"/>
        </w:trPr>
        <w:tc>
          <w:tcPr>
            <w:tcW w:w="10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Pawn licenses</w:t>
            </w:r>
          </w:p>
        </w:tc>
        <w:tc>
          <w:tcPr>
            <w:tcW w:w="3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9,694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9,509</w:t>
            </w:r>
          </w:p>
        </w:tc>
      </w:tr>
      <w:tr>
        <w:trPr>
          <w:trHeight w:val="209"/>
        </w:trPr>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28,132$</w:t>
            </w:r>
          </w:p>
        </w:tc>
        <w:tc>
          <w:tcPr>
            <w:tcW w:w="1200" w:type="dxa"/>
            <w:vAlign w:val="bottom"/>
          </w:tcPr>
          <w:p>
            <w:pPr>
              <w:jc w:val="right"/>
              <w:spacing w:after="0"/>
              <w:rPr>
                <w:sz w:val="20"/>
                <w:szCs w:val="20"/>
                <w:color w:val="auto"/>
              </w:rPr>
            </w:pPr>
            <w:r>
              <w:rPr>
                <w:rFonts w:ascii="Arial" w:cs="Arial" w:eastAsia="Arial" w:hAnsi="Arial"/>
                <w:sz w:val="16"/>
                <w:szCs w:val="16"/>
                <w:color w:val="auto"/>
              </w:rPr>
              <w:t>24,005</w:t>
            </w:r>
          </w:p>
        </w:tc>
      </w:tr>
      <w:tr>
        <w:trPr>
          <w:trHeight w:val="219"/>
        </w:trPr>
        <w:tc>
          <w:tcPr>
            <w:tcW w:w="10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5240" w:type="dxa"/>
            <w:vAlign w:val="bottom"/>
            <w:gridSpan w:val="2"/>
          </w:tcPr>
          <w:p>
            <w:pPr>
              <w:ind w:left="40"/>
              <w:spacing w:after="0"/>
              <w:rPr>
                <w:sz w:val="20"/>
                <w:szCs w:val="20"/>
                <w:color w:val="auto"/>
              </w:rPr>
            </w:pPr>
            <w:r>
              <w:rPr>
                <w:rFonts w:ascii="Arial" w:cs="Arial" w:eastAsia="Arial" w:hAnsi="Arial"/>
                <w:sz w:val="16"/>
                <w:szCs w:val="16"/>
                <w:color w:val="auto"/>
              </w:rPr>
              <w:t>ortizing intangible assets:</w:t>
            </w:r>
          </w:p>
        </w:tc>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5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Internally developed software</w:t>
            </w:r>
          </w:p>
        </w:tc>
        <w:tc>
          <w:tcPr>
            <w:tcW w:w="3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78,174$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67,457</w:t>
            </w:r>
          </w:p>
        </w:tc>
      </w:tr>
      <w:tr>
        <w:trPr>
          <w:trHeight w:val="213"/>
        </w:trPr>
        <w:tc>
          <w:tcPr>
            <w:tcW w:w="100" w:type="dxa"/>
            <w:vAlign w:val="bottom"/>
          </w:tcPr>
          <w:p>
            <w:pPr>
              <w:spacing w:after="0"/>
              <w:rPr>
                <w:sz w:val="18"/>
                <w:szCs w:val="18"/>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Accumulated amortization</w:t>
            </w:r>
          </w:p>
        </w:tc>
        <w:tc>
          <w:tcPr>
            <w:tcW w:w="310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(43,710)</w:t>
            </w:r>
          </w:p>
        </w:tc>
        <w:tc>
          <w:tcPr>
            <w:tcW w:w="1200" w:type="dxa"/>
            <w:vAlign w:val="bottom"/>
          </w:tcPr>
          <w:p>
            <w:pPr>
              <w:jc w:val="right"/>
              <w:spacing w:after="0"/>
              <w:rPr>
                <w:sz w:val="20"/>
                <w:szCs w:val="20"/>
                <w:color w:val="auto"/>
              </w:rPr>
            </w:pPr>
            <w:r>
              <w:rPr>
                <w:rFonts w:ascii="Arial" w:cs="Arial" w:eastAsia="Arial" w:hAnsi="Arial"/>
                <w:sz w:val="16"/>
                <w:szCs w:val="16"/>
                <w:color w:val="auto"/>
              </w:rPr>
              <w:t>(33,646)</w:t>
            </w:r>
          </w:p>
        </w:tc>
      </w:tr>
      <w:tr>
        <w:trPr>
          <w:trHeight w:val="216"/>
        </w:trPr>
        <w:tc>
          <w:tcPr>
            <w:tcW w:w="10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Accumulated impairment losses</w:t>
            </w:r>
          </w:p>
        </w:tc>
        <w:tc>
          <w:tcPr>
            <w:tcW w:w="3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(2,579)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w:t>
            </w:r>
          </w:p>
        </w:tc>
      </w:tr>
      <w:tr>
        <w:trPr>
          <w:trHeight w:val="209"/>
        </w:trPr>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31,885$</w:t>
            </w:r>
          </w:p>
        </w:tc>
        <w:tc>
          <w:tcPr>
            <w:tcW w:w="1200" w:type="dxa"/>
            <w:vAlign w:val="bottom"/>
          </w:tcPr>
          <w:p>
            <w:pPr>
              <w:jc w:val="right"/>
              <w:spacing w:after="0"/>
              <w:rPr>
                <w:sz w:val="20"/>
                <w:szCs w:val="20"/>
                <w:color w:val="auto"/>
              </w:rPr>
            </w:pPr>
            <w:r>
              <w:rPr>
                <w:rFonts w:ascii="Arial" w:cs="Arial" w:eastAsia="Arial" w:hAnsi="Arial"/>
                <w:sz w:val="16"/>
                <w:szCs w:val="16"/>
                <w:color w:val="auto"/>
              </w:rPr>
              <w:t>31,232</w:t>
            </w:r>
          </w:p>
        </w:tc>
      </w:tr>
      <w:tr>
        <w:trPr>
          <w:trHeight w:val="219"/>
        </w:trPr>
        <w:tc>
          <w:tcPr>
            <w:tcW w:w="10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6"/>
                <w:szCs w:val="16"/>
                <w:color w:val="auto"/>
              </w:rPr>
              <w:t>Non-compete agreements</w:t>
            </w:r>
          </w:p>
        </w:tc>
        <w:tc>
          <w:tcPr>
            <w:tcW w:w="3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3,502$</w:t>
            </w:r>
          </w:p>
        </w:tc>
        <w:tc>
          <w:tcPr>
            <w:tcW w:w="1200" w:type="dxa"/>
            <w:vAlign w:val="bottom"/>
          </w:tcPr>
          <w:p>
            <w:pPr>
              <w:jc w:val="right"/>
              <w:spacing w:after="0"/>
              <w:rPr>
                <w:sz w:val="20"/>
                <w:szCs w:val="20"/>
                <w:color w:val="auto"/>
              </w:rPr>
            </w:pPr>
            <w:r>
              <w:rPr>
                <w:rFonts w:ascii="Arial" w:cs="Arial" w:eastAsia="Arial" w:hAnsi="Arial"/>
                <w:sz w:val="16"/>
                <w:szCs w:val="16"/>
                <w:color w:val="auto"/>
              </w:rPr>
              <w:t>3,417</w:t>
            </w:r>
          </w:p>
        </w:tc>
      </w:tr>
      <w:tr>
        <w:trPr>
          <w:trHeight w:val="216"/>
        </w:trPr>
        <w:tc>
          <w:tcPr>
            <w:tcW w:w="10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3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(3,502)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w:t>
            </w:r>
          </w:p>
        </w:tc>
      </w:tr>
      <w:tr>
        <w:trPr>
          <w:trHeight w:val="209"/>
        </w:trPr>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10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6"/>
                <w:szCs w:val="16"/>
                <w:color w:val="auto"/>
              </w:rPr>
              <w:t>Other</w:t>
            </w:r>
          </w:p>
        </w:tc>
        <w:tc>
          <w:tcPr>
            <w:tcW w:w="3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4,452$</w:t>
            </w:r>
          </w:p>
        </w:tc>
        <w:tc>
          <w:tcPr>
            <w:tcW w:w="1200" w:type="dxa"/>
            <w:vAlign w:val="bottom"/>
          </w:tcPr>
          <w:p>
            <w:pPr>
              <w:jc w:val="right"/>
              <w:spacing w:after="0"/>
              <w:rPr>
                <w:sz w:val="20"/>
                <w:szCs w:val="20"/>
                <w:color w:val="auto"/>
              </w:rPr>
            </w:pPr>
            <w:r>
              <w:rPr>
                <w:rFonts w:ascii="Arial" w:cs="Arial" w:eastAsia="Arial" w:hAnsi="Arial"/>
                <w:sz w:val="16"/>
                <w:szCs w:val="16"/>
                <w:color w:val="auto"/>
              </w:rPr>
              <w:t>5,600</w:t>
            </w:r>
          </w:p>
        </w:tc>
      </w:tr>
      <w:tr>
        <w:trPr>
          <w:trHeight w:val="216"/>
        </w:trPr>
        <w:tc>
          <w:tcPr>
            <w:tcW w:w="10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3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(2,365)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w:t>
            </w:r>
          </w:p>
        </w:tc>
      </w:tr>
      <w:tr>
        <w:trPr>
          <w:trHeight w:val="209"/>
        </w:trPr>
        <w:tc>
          <w:tcPr>
            <w:tcW w:w="100" w:type="dxa"/>
            <w:vAlign w:val="bottom"/>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2,087$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w:t>
            </w:r>
          </w:p>
        </w:tc>
      </w:tr>
      <w:tr>
        <w:trPr>
          <w:trHeight w:val="210"/>
        </w:trPr>
        <w:tc>
          <w:tcPr>
            <w:tcW w:w="100" w:type="dxa"/>
            <w:vAlign w:val="bottom"/>
          </w:tcPr>
          <w:p>
            <w:pPr>
              <w:spacing w:after="0"/>
              <w:rPr>
                <w:sz w:val="18"/>
                <w:szCs w:val="18"/>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angible assets, net</w:t>
            </w:r>
          </w:p>
        </w:tc>
        <w:tc>
          <w:tcPr>
            <w:tcW w:w="3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62,104$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58,638</w:t>
            </w:r>
          </w:p>
        </w:tc>
      </w:tr>
    </w:tbl>
    <w:p>
      <w:pPr>
        <w:spacing w:after="0" w:line="256" w:lineRule="exact"/>
        <w:rPr>
          <w:sz w:val="20"/>
          <w:szCs w:val="20"/>
          <w:color w:val="auto"/>
        </w:rPr>
      </w:pPr>
    </w:p>
    <w:p>
      <w:pPr>
        <w:ind w:left="100" w:right="260"/>
        <w:spacing w:after="0" w:line="256" w:lineRule="auto"/>
        <w:rPr>
          <w:sz w:val="20"/>
          <w:szCs w:val="20"/>
          <w:color w:val="auto"/>
        </w:rPr>
      </w:pPr>
      <w:r>
        <w:rPr>
          <w:rFonts w:ascii="Arial" w:cs="Arial" w:eastAsia="Arial" w:hAnsi="Arial"/>
          <w:sz w:val="18"/>
          <w:szCs w:val="18"/>
          <w:color w:val="auto"/>
        </w:rPr>
        <w:t>The amortization of most definite-lived intangible assets is recorded as amortization expense and included under “Depreciation and amortization” expense in our Consolidated Statements of Operations. These amounts were $11.3 million, $11.2 million and $7.8 million for fiscal 2021, 2020 and 2019, respectively.</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of September 30, 2021, our estimate of future amortization expense for definite-lived intangible assets is as follows (in thousands):</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160" w:type="dxa"/>
            <w:vAlign w:val="bottom"/>
            <w:shd w:val="clear" w:color="auto" w:fill="CCEEFF"/>
          </w:tcPr>
          <w:p>
            <w:pPr>
              <w:jc w:val="right"/>
              <w:ind w:right="4699"/>
              <w:spacing w:after="0"/>
              <w:rPr>
                <w:sz w:val="20"/>
                <w:szCs w:val="20"/>
                <w:color w:val="auto"/>
              </w:rPr>
            </w:pPr>
            <w:r>
              <w:rPr>
                <w:rFonts w:ascii="Arial" w:cs="Arial" w:eastAsia="Arial" w:hAnsi="Arial"/>
                <w:sz w:val="16"/>
                <w:szCs w:val="16"/>
                <w:color w:val="auto"/>
              </w:rPr>
              <w:t>2022</w:t>
            </w:r>
          </w:p>
        </w:tc>
        <w:tc>
          <w:tcPr>
            <w:tcW w:w="5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11,301</w:t>
            </w:r>
          </w:p>
        </w:tc>
      </w:tr>
      <w:tr>
        <w:trPr>
          <w:trHeight w:val="213"/>
        </w:trPr>
        <w:tc>
          <w:tcPr>
            <w:tcW w:w="5160" w:type="dxa"/>
            <w:vAlign w:val="bottom"/>
          </w:tcPr>
          <w:p>
            <w:pPr>
              <w:jc w:val="right"/>
              <w:ind w:right="4699"/>
              <w:spacing w:after="0"/>
              <w:rPr>
                <w:sz w:val="20"/>
                <w:szCs w:val="20"/>
                <w:color w:val="auto"/>
              </w:rPr>
            </w:pPr>
            <w:r>
              <w:rPr>
                <w:rFonts w:ascii="Arial" w:cs="Arial" w:eastAsia="Arial" w:hAnsi="Arial"/>
                <w:sz w:val="16"/>
                <w:szCs w:val="16"/>
                <w:color w:val="auto"/>
              </w:rPr>
              <w:t>2023</w:t>
            </w:r>
          </w:p>
        </w:tc>
        <w:tc>
          <w:tcPr>
            <w:tcW w:w="5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9,240</w:t>
            </w:r>
          </w:p>
        </w:tc>
      </w:tr>
      <w:tr>
        <w:trPr>
          <w:trHeight w:val="219"/>
        </w:trPr>
        <w:tc>
          <w:tcPr>
            <w:tcW w:w="5160" w:type="dxa"/>
            <w:vAlign w:val="bottom"/>
            <w:shd w:val="clear" w:color="auto" w:fill="CCEEFF"/>
          </w:tcPr>
          <w:p>
            <w:pPr>
              <w:jc w:val="right"/>
              <w:ind w:right="4699"/>
              <w:spacing w:after="0"/>
              <w:rPr>
                <w:sz w:val="20"/>
                <w:szCs w:val="20"/>
                <w:color w:val="auto"/>
              </w:rPr>
            </w:pPr>
            <w:r>
              <w:rPr>
                <w:rFonts w:ascii="Arial" w:cs="Arial" w:eastAsia="Arial" w:hAnsi="Arial"/>
                <w:sz w:val="16"/>
                <w:szCs w:val="16"/>
                <w:color w:val="auto"/>
              </w:rPr>
              <w:t>2024</w:t>
            </w:r>
          </w:p>
        </w:tc>
        <w:tc>
          <w:tcPr>
            <w:tcW w:w="5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7,332</w:t>
            </w:r>
          </w:p>
        </w:tc>
      </w:tr>
      <w:tr>
        <w:trPr>
          <w:trHeight w:val="213"/>
        </w:trPr>
        <w:tc>
          <w:tcPr>
            <w:tcW w:w="5160" w:type="dxa"/>
            <w:vAlign w:val="bottom"/>
          </w:tcPr>
          <w:p>
            <w:pPr>
              <w:jc w:val="right"/>
              <w:ind w:right="4699"/>
              <w:spacing w:after="0"/>
              <w:rPr>
                <w:sz w:val="20"/>
                <w:szCs w:val="20"/>
                <w:color w:val="auto"/>
              </w:rPr>
            </w:pPr>
            <w:r>
              <w:rPr>
                <w:rFonts w:ascii="Arial" w:cs="Arial" w:eastAsia="Arial" w:hAnsi="Arial"/>
                <w:sz w:val="16"/>
                <w:szCs w:val="16"/>
                <w:color w:val="auto"/>
              </w:rPr>
              <w:t>2025</w:t>
            </w:r>
          </w:p>
        </w:tc>
        <w:tc>
          <w:tcPr>
            <w:tcW w:w="5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4,211</w:t>
            </w:r>
          </w:p>
        </w:tc>
      </w:tr>
      <w:tr>
        <w:trPr>
          <w:trHeight w:val="219"/>
        </w:trPr>
        <w:tc>
          <w:tcPr>
            <w:tcW w:w="5160" w:type="dxa"/>
            <w:vAlign w:val="bottom"/>
            <w:shd w:val="clear" w:color="auto" w:fill="CCEEFF"/>
          </w:tcPr>
          <w:p>
            <w:pPr>
              <w:jc w:val="right"/>
              <w:ind w:right="4699"/>
              <w:spacing w:after="0"/>
              <w:rPr>
                <w:sz w:val="20"/>
                <w:szCs w:val="20"/>
                <w:color w:val="auto"/>
              </w:rPr>
            </w:pPr>
            <w:r>
              <w:rPr>
                <w:rFonts w:ascii="Arial" w:cs="Arial" w:eastAsia="Arial" w:hAnsi="Arial"/>
                <w:sz w:val="16"/>
                <w:szCs w:val="16"/>
                <w:color w:val="auto"/>
              </w:rPr>
              <w:t>2026</w:t>
            </w:r>
          </w:p>
        </w:tc>
        <w:tc>
          <w:tcPr>
            <w:tcW w:w="5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r>
    </w:tbl>
    <w:p>
      <w:pPr>
        <w:spacing w:after="0" w:line="24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0497F"/>
        </w:rPr>
        <w:t>NOTE 9: DEBT</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tables present our debt instruments outstanding, contractual maturities and interest expense:</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2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rPr>
              <w:t>Debt Discount</w:t>
            </w: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3"/>
                <w:szCs w:val="13"/>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Debt Discount</w:t>
            </w:r>
          </w:p>
        </w:tc>
        <w:tc>
          <w:tcPr>
            <w:tcW w:w="140" w:type="dxa"/>
            <w:vAlign w:val="bottom"/>
          </w:tcPr>
          <w:p>
            <w:pPr>
              <w:spacing w:after="0"/>
              <w:rPr>
                <w:sz w:val="13"/>
                <w:szCs w:val="13"/>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and Issuance</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 Issuance</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5"/>
        </w:trPr>
        <w:tc>
          <w:tcPr>
            <w:tcW w:w="40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117,193</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140,643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133,164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8.5% unsecured debt due 2024*</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316,250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(52,064)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264,186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317,122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251,229</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316,250</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264,186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316,909</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251,016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2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translated from Guatemalan quetzales as of the applicable period end.</w:t>
      </w:r>
    </w:p>
    <w:p>
      <w:pPr>
        <w:sectPr>
          <w:pgSz w:w="11900" w:h="16838" w:orient="portrait"/>
          <w:cols w:equalWidth="0" w:num="1">
            <w:col w:w="11340"/>
          </w:cols>
          <w:pgMar w:left="220" w:top="1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0" w:right="339" w:bottom="1440" w:gutter="0" w:footer="0" w:header="0"/>
          <w:type w:val="continuous"/>
        </w:sectPr>
      </w:pPr>
    </w:p>
    <w:bookmarkStart w:id="57" w:name="page58"/>
    <w:bookmarkEnd w:id="57"/>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Schedule of Contractual Maturities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Less Than</w:t>
            </w:r>
          </w:p>
        </w:tc>
        <w:tc>
          <w:tcPr>
            <w:tcW w:w="20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1 - 3 Years</w:t>
            </w:r>
          </w:p>
        </w:tc>
        <w:tc>
          <w:tcPr>
            <w:tcW w:w="180" w:type="dxa"/>
            <w:vAlign w:val="bottom"/>
          </w:tcPr>
          <w:p>
            <w:pPr>
              <w:spacing w:after="0"/>
              <w:rPr>
                <w:sz w:val="13"/>
                <w:szCs w:val="13"/>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3 - 5 Years</w:t>
            </w:r>
          </w:p>
        </w:tc>
        <w:tc>
          <w:tcPr>
            <w:tcW w:w="0" w:type="dxa"/>
            <w:vAlign w:val="bottom"/>
          </w:tcPr>
          <w:p>
            <w:pPr>
              <w:spacing w:after="0"/>
              <w:rPr>
                <w:sz w:val="1"/>
                <w:szCs w:val="1"/>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58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172,500</w:t>
            </w:r>
          </w:p>
        </w:tc>
        <w:tc>
          <w:tcPr>
            <w:tcW w:w="0" w:type="dxa"/>
            <w:vAlign w:val="bottom"/>
          </w:tcPr>
          <w:p>
            <w:pPr>
              <w:spacing w:after="0"/>
              <w:rPr>
                <w:sz w:val="1"/>
                <w:szCs w:val="1"/>
                <w:color w:val="auto"/>
              </w:rPr>
            </w:pPr>
          </w:p>
        </w:tc>
      </w:tr>
      <w:tr>
        <w:trPr>
          <w:trHeight w:val="308"/>
        </w:trPr>
        <w:tc>
          <w:tcPr>
            <w:tcW w:w="5580" w:type="dxa"/>
            <w:vAlign w:val="bottom"/>
          </w:tcPr>
          <w:p>
            <w:pPr>
              <w:spacing w:after="0"/>
              <w:rPr>
                <w:sz w:val="20"/>
                <w:szCs w:val="20"/>
                <w:color w:val="auto"/>
              </w:rPr>
            </w:pPr>
            <w:r>
              <w:rPr>
                <w:rFonts w:ascii="Arial" w:cs="Arial" w:eastAsia="Arial" w:hAnsi="Arial"/>
                <w:sz w:val="14"/>
                <w:szCs w:val="14"/>
                <w:color w:val="auto"/>
              </w:rPr>
              <w:t>*  Excludes the potential impact of embedded derivatives.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Borders>
              <w:bottom w:val="single" w:sz="8" w:color="auto"/>
            </w:tcBorders>
            <w:gridSpan w:val="5"/>
          </w:tcPr>
          <w:p>
            <w:pPr>
              <w:jc w:val="right"/>
              <w:ind w:right="839"/>
              <w:spacing w:after="0"/>
              <w:rPr>
                <w:sz w:val="20"/>
                <w:szCs w:val="20"/>
                <w:color w:val="auto"/>
              </w:rPr>
            </w:pPr>
            <w:r>
              <w:rPr>
                <w:rFonts w:ascii="Arial" w:cs="Arial" w:eastAsia="Arial" w:hAnsi="Arial"/>
                <w:sz w:val="16"/>
                <w:szCs w:val="16"/>
                <w:b w:val="1"/>
                <w:bCs w:val="1"/>
                <w:color w:val="auto"/>
              </w:rPr>
              <w:t>Fiscal Year Ended September 30,</w:t>
            </w:r>
          </w:p>
        </w:tc>
      </w:tr>
      <w:tr>
        <w:trPr>
          <w:trHeight w:val="211"/>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thousands)</w:t>
            </w:r>
          </w:p>
        </w:tc>
        <w:tc>
          <w:tcPr>
            <w:tcW w:w="156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3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5"/>
        </w:trPr>
        <w:tc>
          <w:tcPr>
            <w:tcW w:w="5400" w:type="dxa"/>
            <w:vAlign w:val="bottom"/>
            <w:gridSpan w:val="2"/>
          </w:tcPr>
          <w:p>
            <w:pPr>
              <w:spacing w:after="0"/>
              <w:rPr>
                <w:sz w:val="20"/>
                <w:szCs w:val="20"/>
                <w:color w:val="auto"/>
              </w:rPr>
            </w:pPr>
            <w:r>
              <w:rPr>
                <w:rFonts w:ascii="Arial" w:cs="Arial" w:eastAsia="Arial" w:hAnsi="Arial"/>
                <w:sz w:val="16"/>
                <w:szCs w:val="16"/>
                <w:color w:val="auto"/>
              </w:rPr>
              <w:t>19 Convertible Notes:</w:t>
            </w:r>
          </w:p>
        </w:tc>
        <w:tc>
          <w:tcPr>
            <w:tcW w:w="156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19"/>
        </w:trPr>
        <w:tc>
          <w:tcPr>
            <w:tcW w:w="5400" w:type="dxa"/>
            <w:vAlign w:val="bottom"/>
            <w:gridSpan w:val="2"/>
          </w:tcPr>
          <w:p>
            <w:pPr>
              <w:spacing w:after="0"/>
              <w:rPr>
                <w:sz w:val="20"/>
                <w:szCs w:val="20"/>
                <w:color w:val="auto"/>
              </w:rPr>
            </w:pPr>
            <w:r>
              <w:rPr>
                <w:rFonts w:ascii="Arial" w:cs="Arial" w:eastAsia="Arial" w:hAnsi="Arial"/>
                <w:sz w:val="16"/>
                <w:szCs w:val="16"/>
                <w:color w:val="auto"/>
              </w:rPr>
              <w:t>Contractual interest expense</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3,074</w:t>
            </w:r>
          </w:p>
        </w:tc>
      </w:tr>
      <w:tr>
        <w:trPr>
          <w:trHeight w:val="216"/>
        </w:trPr>
        <w:tc>
          <w:tcPr>
            <w:tcW w:w="100" w:type="dxa"/>
            <w:vAlign w:val="bottom"/>
          </w:tcPr>
          <w:p>
            <w:pPr>
              <w:spacing w:after="0"/>
              <w:rPr>
                <w:sz w:val="18"/>
                <w:szCs w:val="18"/>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Amortization of debt discount and deferred financing costs</w:t>
            </w:r>
          </w:p>
        </w:tc>
        <w:tc>
          <w:tcPr>
            <w:tcW w:w="1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w:t>
            </w:r>
          </w:p>
        </w:tc>
      </w:tr>
      <w:tr>
        <w:trPr>
          <w:trHeight w:val="209"/>
        </w:trPr>
        <w:tc>
          <w:tcPr>
            <w:tcW w:w="100" w:type="dxa"/>
            <w:vAlign w:val="bottom"/>
          </w:tcPr>
          <w:p>
            <w:pPr>
              <w:spacing w:after="0"/>
              <w:rPr>
                <w:sz w:val="18"/>
                <w:szCs w:val="18"/>
                <w:color w:val="auto"/>
              </w:rPr>
            </w:pPr>
          </w:p>
        </w:tc>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interest expense</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10,630</w:t>
            </w:r>
          </w:p>
        </w:tc>
      </w:tr>
      <w:tr>
        <w:trPr>
          <w:trHeight w:val="213"/>
        </w:trPr>
        <w:tc>
          <w:tcPr>
            <w:tcW w:w="5400" w:type="dxa"/>
            <w:vAlign w:val="bottom"/>
            <w:gridSpan w:val="2"/>
          </w:tcPr>
          <w:p>
            <w:pPr>
              <w:spacing w:after="0"/>
              <w:rPr>
                <w:sz w:val="20"/>
                <w:szCs w:val="20"/>
                <w:color w:val="auto"/>
              </w:rPr>
            </w:pPr>
            <w:r>
              <w:rPr>
                <w:rFonts w:ascii="Arial" w:cs="Arial" w:eastAsia="Arial" w:hAnsi="Arial"/>
                <w:sz w:val="16"/>
                <w:szCs w:val="16"/>
                <w:color w:val="auto"/>
              </w:rPr>
              <w:t>24 Convertible Notes:</w:t>
            </w: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400" w:type="dxa"/>
            <w:vAlign w:val="bottom"/>
            <w:gridSpan w:val="2"/>
          </w:tcPr>
          <w:p>
            <w:pPr>
              <w:spacing w:after="0"/>
              <w:rPr>
                <w:sz w:val="20"/>
                <w:szCs w:val="20"/>
                <w:color w:val="auto"/>
              </w:rPr>
            </w:pPr>
            <w:r>
              <w:rPr>
                <w:rFonts w:ascii="Arial" w:cs="Arial" w:eastAsia="Arial" w:hAnsi="Arial"/>
                <w:sz w:val="16"/>
                <w:szCs w:val="16"/>
                <w:color w:val="auto"/>
              </w:rPr>
              <w:t>Contractual interest expense</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4,133$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4,133$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4,133</w:t>
            </w:r>
          </w:p>
        </w:tc>
      </w:tr>
      <w:tr>
        <w:trPr>
          <w:trHeight w:val="216"/>
        </w:trPr>
        <w:tc>
          <w:tcPr>
            <w:tcW w:w="100" w:type="dxa"/>
            <w:vAlign w:val="bottom"/>
          </w:tcPr>
          <w:p>
            <w:pPr>
              <w:spacing w:after="0"/>
              <w:rPr>
                <w:sz w:val="18"/>
                <w:szCs w:val="18"/>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Amortization of debt discount and deferred financing costs</w:t>
            </w:r>
          </w:p>
        </w:tc>
        <w:tc>
          <w:tcPr>
            <w:tcW w:w="1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5,883</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5,452</w:t>
            </w:r>
          </w:p>
        </w:tc>
      </w:tr>
      <w:tr>
        <w:trPr>
          <w:trHeight w:val="209"/>
        </w:trPr>
        <w:tc>
          <w:tcPr>
            <w:tcW w:w="100" w:type="dxa"/>
            <w:vAlign w:val="bottom"/>
          </w:tcPr>
          <w:p>
            <w:pPr>
              <w:spacing w:after="0"/>
              <w:rPr>
                <w:sz w:val="18"/>
                <w:szCs w:val="18"/>
                <w:color w:val="auto"/>
              </w:rPr>
            </w:pPr>
          </w:p>
        </w:tc>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interest expense</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10,482$</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10,016$</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9,585</w:t>
            </w:r>
          </w:p>
        </w:tc>
      </w:tr>
      <w:tr>
        <w:trPr>
          <w:trHeight w:val="213"/>
        </w:trPr>
        <w:tc>
          <w:tcPr>
            <w:tcW w:w="5400" w:type="dxa"/>
            <w:vAlign w:val="bottom"/>
            <w:gridSpan w:val="2"/>
          </w:tcPr>
          <w:p>
            <w:pPr>
              <w:spacing w:after="0"/>
              <w:rPr>
                <w:sz w:val="20"/>
                <w:szCs w:val="20"/>
                <w:color w:val="auto"/>
              </w:rPr>
            </w:pPr>
            <w:r>
              <w:rPr>
                <w:rFonts w:ascii="Arial" w:cs="Arial" w:eastAsia="Arial" w:hAnsi="Arial"/>
                <w:sz w:val="16"/>
                <w:szCs w:val="16"/>
                <w:color w:val="auto"/>
              </w:rPr>
              <w:t>25 Convertible Notes:</w:t>
            </w: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400" w:type="dxa"/>
            <w:vAlign w:val="bottom"/>
            <w:gridSpan w:val="2"/>
          </w:tcPr>
          <w:p>
            <w:pPr>
              <w:spacing w:after="0"/>
              <w:rPr>
                <w:sz w:val="20"/>
                <w:szCs w:val="20"/>
                <w:color w:val="auto"/>
              </w:rPr>
            </w:pPr>
            <w:r>
              <w:rPr>
                <w:rFonts w:ascii="Arial" w:cs="Arial" w:eastAsia="Arial" w:hAnsi="Arial"/>
                <w:sz w:val="16"/>
                <w:szCs w:val="16"/>
                <w:color w:val="auto"/>
              </w:rPr>
              <w:t>Contractual interest expense</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4,097$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4,097$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4,097</w:t>
            </w:r>
          </w:p>
        </w:tc>
      </w:tr>
      <w:tr>
        <w:trPr>
          <w:trHeight w:val="216"/>
        </w:trPr>
        <w:tc>
          <w:tcPr>
            <w:tcW w:w="100" w:type="dxa"/>
            <w:vAlign w:val="bottom"/>
          </w:tcPr>
          <w:p>
            <w:pPr>
              <w:spacing w:after="0"/>
              <w:rPr>
                <w:sz w:val="18"/>
                <w:szCs w:val="18"/>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Amortization of debt discount and deferred financing costs</w:t>
            </w:r>
          </w:p>
        </w:tc>
        <w:tc>
          <w:tcPr>
            <w:tcW w:w="1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7,479</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6,954</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6,468</w:t>
            </w:r>
          </w:p>
        </w:tc>
      </w:tr>
      <w:tr>
        <w:trPr>
          <w:trHeight w:val="210"/>
        </w:trPr>
        <w:tc>
          <w:tcPr>
            <w:tcW w:w="100" w:type="dxa"/>
            <w:vAlign w:val="bottom"/>
          </w:tcPr>
          <w:p>
            <w:pPr>
              <w:spacing w:after="0"/>
              <w:rPr>
                <w:sz w:val="18"/>
                <w:szCs w:val="18"/>
                <w:color w:val="auto"/>
              </w:rPr>
            </w:pPr>
          </w:p>
        </w:tc>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interest expense</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11,576$</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11,051$</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-1696720</wp:posOffset>
            </wp:positionV>
            <wp:extent cx="692658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-1139825</wp:posOffset>
            </wp:positionV>
            <wp:extent cx="516064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6064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-574040</wp:posOffset>
            </wp:positionV>
            <wp:extent cx="516064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60645" cy="146050"/>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2.375% </w:t>
      </w:r>
      <w:r>
        <w:rPr>
          <w:rFonts w:ascii="Arial" w:cs="Arial" w:eastAsia="Arial" w:hAnsi="Arial"/>
          <w:sz w:val="18"/>
          <w:szCs w:val="18"/>
          <w:b w:val="1"/>
          <w:bCs w:val="1"/>
          <w:color w:val="252525"/>
        </w:rPr>
        <w:t>Convertible Senior Notes Due 2025</w:t>
      </w:r>
    </w:p>
    <w:p>
      <w:pPr>
        <w:spacing w:after="0" w:line="193" w:lineRule="exact"/>
        <w:rPr>
          <w:sz w:val="20"/>
          <w:szCs w:val="20"/>
          <w:color w:val="auto"/>
        </w:rPr>
      </w:pPr>
    </w:p>
    <w:p>
      <w:pPr>
        <w:ind w:left="100" w:right="120"/>
        <w:spacing w:after="0" w:line="254"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All of the 2025 Convertible Notes were issued pursuant to an indenture dated May 14, 2018 (the "2018 Indenture") by and between us and Wells Fargo Bank, National Association, as the trustee. Effective October 1, 2019, Branch Banking and Trust Company (“BB&amp;T”), a North Carolina Bank, has assumed the duties and responsibilities as trustee under the 2018 Indenture.</w:t>
      </w:r>
    </w:p>
    <w:p>
      <w:pPr>
        <w:spacing w:after="0" w:line="150" w:lineRule="exact"/>
        <w:rPr>
          <w:sz w:val="20"/>
          <w:szCs w:val="20"/>
          <w:color w:val="auto"/>
        </w:rPr>
      </w:pPr>
    </w:p>
    <w:p>
      <w:pPr>
        <w:ind w:left="100" w:right="40"/>
        <w:spacing w:after="0" w:line="253" w:lineRule="auto"/>
        <w:rPr>
          <w:sz w:val="20"/>
          <w:szCs w:val="20"/>
          <w:color w:val="auto"/>
        </w:rPr>
      </w:pPr>
      <w:r>
        <w:rPr>
          <w:rFonts w:ascii="Arial" w:cs="Arial" w:eastAsia="Arial" w:hAnsi="Arial"/>
          <w:sz w:val="18"/>
          <w:szCs w:val="18"/>
          <w:color w:val="auto"/>
        </w:rPr>
        <w:t>The 2025 Convertible Notes were issued in a private offering and resold under Rule 144A under the Securities Act of 1933. The 2025 Convertible Notes pay interest semi-annually in arrears at a rate of 2.375% per annum on May 1 and November 1 of each year, commencing November 1, 2018, and will mature on May 1, 2025 (the "2025 Maturity Date"), unless converted, redeemed or repurchased in accordance with their terms prior to such date. At maturity, the holders of the 2025 Convertible Notes will be entitled to receive cash equal to the principal amount of the 2025 Convertible Notes plus unpaid accrued interest.</w:t>
      </w:r>
    </w:p>
    <w:p>
      <w:pPr>
        <w:spacing w:after="0" w:line="151" w:lineRule="exact"/>
        <w:rPr>
          <w:sz w:val="20"/>
          <w:szCs w:val="20"/>
          <w:color w:val="auto"/>
        </w:rPr>
      </w:pPr>
    </w:p>
    <w:p>
      <w:pPr>
        <w:ind w:left="100" w:right="80"/>
        <w:spacing w:after="0" w:line="252"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Non-Voting Common Stock (“Class A Common Stock”) per $1,000 principal amount (equivalent to an initial conversion price of $ 15.90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 We account for the Class A Common Stock issuable upon conversion under the treasury stock method. If our average share price is over $15.90 per share for any fiscal quarter, we are required to recognize incremental dilution of our earnings per share.</w:t>
      </w:r>
    </w:p>
    <w:p>
      <w:pPr>
        <w:spacing w:after="0" w:line="153" w:lineRule="exact"/>
        <w:rPr>
          <w:sz w:val="20"/>
          <w:szCs w:val="20"/>
          <w:color w:val="auto"/>
        </w:rPr>
      </w:pPr>
    </w:p>
    <w:p>
      <w:pPr>
        <w:ind w:left="100" w:right="120"/>
        <w:spacing w:after="0" w:line="251"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57" w:lineRule="exact"/>
        <w:rPr>
          <w:sz w:val="20"/>
          <w:szCs w:val="20"/>
          <w:color w:val="auto"/>
        </w:rPr>
      </w:pPr>
    </w:p>
    <w:p>
      <w:pPr>
        <w:ind w:left="100" w:right="200"/>
        <w:spacing w:after="0" w:line="291" w:lineRule="auto"/>
        <w:rPr>
          <w:sz w:val="20"/>
          <w:szCs w:val="20"/>
          <w:color w:val="auto"/>
        </w:rPr>
      </w:pPr>
      <w:r>
        <w:rPr>
          <w:rFonts w:ascii="Arial" w:cs="Arial" w:eastAsia="Arial" w:hAnsi="Arial"/>
          <w:sz w:val="17"/>
          <w:szCs w:val="17"/>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w:t>
      </w:r>
    </w:p>
    <w:p>
      <w:pPr>
        <w:sectPr>
          <w:pgSz w:w="11900" w:h="16838" w:orient="portrait"/>
          <w:cols w:equalWidth="0" w:num="1">
            <w:col w:w="11320"/>
          </w:cols>
          <w:pgMar w:left="220" w:top="140"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40" w:right="3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14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measured the fair value of the liability component of the 2025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a discount rate of 8% for a similarly structured liability with no conversion feature, maturing in seven years. Our estimate resulted in an initial carrying value of the liability component of the 2025 Convertible Notes of $121.3 million with an associated original issue discount of $ 51.2 million, exclusive of deferred financing costs, accreted to the face value of the 2025 Convertible Notes based on the effective interest method through the 2025 Maturity Date.</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accounted for the conversion feature of the 2025 Convertible Notes as a separate equity-classified instrument (“2025 Convertible Notes Embedded Derivative”). The carrying amount of the 2025 Convertible Notes conversion feature (the “2025 Convertible Notes Embedded Derivative”) is currently included under “Additional paid-in capital” in our Consolidated Balance Sheets of September 30, 2021 and was initially calculated as $49.6 million ($39.1 million, net of tax).</w:t>
      </w:r>
    </w:p>
    <w:p>
      <w:pPr>
        <w:spacing w:after="0" w:line="1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incurred transaction costs of $5.5 million related to the issuance of the 2025 Convertible Notes, which we recorded as deferred financing costs and are included under “Long-term debt, net” and “Additional paid-in capital” in our Consolidated Balance Sheets.</w:t>
      </w:r>
    </w:p>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 xml:space="preserve">The effective interest rate for fiscal </w:t>
      </w:r>
      <w:r>
        <w:rPr>
          <w:rFonts w:ascii="Arial" w:cs="Arial" w:eastAsia="Arial" w:hAnsi="Arial"/>
          <w:sz w:val="18"/>
          <w:szCs w:val="18"/>
          <w:color w:val="252525"/>
        </w:rPr>
        <w:t>2021</w:t>
      </w:r>
      <w:r>
        <w:rPr>
          <w:rFonts w:ascii="Arial" w:cs="Arial" w:eastAsia="Arial" w:hAnsi="Arial"/>
          <w:sz w:val="18"/>
          <w:szCs w:val="18"/>
          <w:color w:val="auto"/>
        </w:rPr>
        <w:t xml:space="preserve"> was approximately 9%. As of September 30, 2021, the remaining unamortized debt discount and issuance costs will be amortized through the 2025 Maturity Date assuming no early conversion.</w:t>
      </w:r>
    </w:p>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September 30, 2021, the 2025 Convertible Notes were not convertible as no conditions of conversion had been met. Accordingly, the net balance of the 2025 Convertible Notes was classified as a non-current liability in our Consolidated Balance Sheets as of September 30, 2021. The classification of the 2025 Convertible Notes as current or non-current in the Consolidated Balance Sheets is evaluated at each balance sheet date and may change from time to time depending on whether any of the conversion conditions has been met.</w:t>
      </w:r>
    </w:p>
    <w:p>
      <w:pPr>
        <w:spacing w:after="0" w:line="1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one of the conversion conditions is met in any future fiscal quarter, we will classify our net liability under the 2025 Convertible Notes as a current liability in the Consolidated Balance Sheets as of the end of that fiscal quarter. If none of the conversion conditions have been met in a future fiscal quarter prior to the one-year period immediately preceding the 2025 Maturity Date, we will classify our net liability under the 2025 Convertible Notes as a non-current liability in the Consolidated Balance Sheets as of the end of that fiscal quarter. If the note holders elect to convert their 2025 Convertible Notes prior to maturity, any unamortized discount and transaction costs will be recognized as expense at the time of conversion. If the entire outstanding principal amount had been converted on September 30, 2021, we would have recorded an expense associated with the conversion, comprised of $31.9 million of unamortized debt discount and issuance costs. As of September 30, 2021, none of the note holders had elected to convert their 2025 Convertible Notes. As of September 30, 2021, the if-converted value of the 2025 Convertible Notes did not exceed the principal amount.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2.875% </w:t>
      </w:r>
      <w:r>
        <w:rPr>
          <w:rFonts w:ascii="Arial" w:cs="Arial" w:eastAsia="Arial" w:hAnsi="Arial"/>
          <w:sz w:val="18"/>
          <w:szCs w:val="18"/>
          <w:b w:val="1"/>
          <w:bCs w:val="1"/>
          <w:color w:val="252525"/>
        </w:rPr>
        <w:t>Convertible Senior Notes Due 2024</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Effective October 1, 2019, BB&amp;T has assumed the duties and responsibilities as trustee under the 2017 Indenture.</w:t>
      </w:r>
    </w:p>
    <w:p>
      <w:pPr>
        <w:spacing w:after="0" w:line="1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2024 Convertible Notes were issued in a private offering and resold under Rule 144A under the Securities Act of 1933. The 2024 Convertible Notes pay interest semi-annually in arrears at a rate of 2.875% per annum on January 1 and July 1 of each year, commencing January 1, 2018, and will mature on July 1, 2024 (the “2024 Maturity Date”), unless converted, redeemed or repurchased in accordance with their terms prior to such date. At maturity, the holders of the 2024 Convertible Notes will be entitled to receive cash equal to the principal amount of the 2024 Convertible Notes plus unpaid accrued interest.</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 We account for the Class A Common Stock issuable upon conversion under the treasury stock method. If our share price increases over $10.00 per share, we are required to recognize incremental dilution of our earnings per share.</w:t>
      </w:r>
    </w:p>
    <w:p>
      <w:pPr>
        <w:spacing w:after="0" w:line="15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5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may not redeem the 2024 Convertible Notes prior to July 6, 2021. 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pacing w:after="0" w:line="15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measured the fair value of the liability component of the 2024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discount rates slightly above 8% for a similarly structured liability with no conversion feature, maturing in seven years. Our estimate resulted in an initial carrying value of the liability component of the 2024 Convertible Notes of $102.7 million with an associated original issue discount of $41.0 million, exclusive of deferred financing costs, accreted to the face value of the 2024 Convertible Notes based on the effective interest method through the 2024 Maturity Date.</w:t>
      </w:r>
    </w:p>
    <w:p>
      <w:pPr>
        <w:spacing w:after="0" w:line="15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accounted for the conversion feature of the 2024 Convertible Notes as a separate equity-classified instrument (the “2024 Convertible Notes Embedded Derivative”), initially recorded as $39.8 million ($25.3 million, net of tax), inclusive of deferred financing costs, on the issuance date and included under “Additional paid-in capital” in our Consolidated Balance Sheets, including an allocated portion of the deferred financing costs.The carrying amount of the 2024 Convertible Notes Embedded Derivative included under “Additional paid-in capital” in our Consolidated Balance Sheets of September 30, 2021 was $25.3 million.</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252525"/>
        </w:rPr>
        <w:t xml:space="preserve">We incurred transaction costs of $4.2 million related to the issuance of the 2024 Convertible Notes, which we recorded as deferred financing costs and are included under “Long-term debt, net” and “Additional paid-in capital” in our </w:t>
      </w:r>
      <w:r>
        <w:rPr>
          <w:rFonts w:ascii="Arial" w:cs="Arial" w:eastAsia="Arial" w:hAnsi="Arial"/>
          <w:sz w:val="18"/>
          <w:szCs w:val="18"/>
          <w:color w:val="000000"/>
        </w:rPr>
        <w:t>Consolidated Balance Sheets</w:t>
      </w:r>
      <w:r>
        <w:rPr>
          <w:rFonts w:ascii="Arial" w:cs="Arial" w:eastAsia="Arial" w:hAnsi="Arial"/>
          <w:sz w:val="18"/>
          <w:szCs w:val="18"/>
          <w:color w:val="252525"/>
        </w:rPr>
        <w:t>. Deferred financing costs recorded under “Long-term debt, net” are being amortized to interest expense over the expected term of the 2024 Convertible Notes.</w:t>
      </w:r>
    </w:p>
    <w:p>
      <w:pPr>
        <w:spacing w:after="0" w:line="14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252525"/>
        </w:rPr>
        <w:t xml:space="preserve">The effective interest rate for fiscal 2021 was approximately 9%. </w:t>
      </w:r>
      <w:r>
        <w:rPr>
          <w:rFonts w:ascii="Arial" w:cs="Arial" w:eastAsia="Arial" w:hAnsi="Arial"/>
          <w:sz w:val="18"/>
          <w:szCs w:val="18"/>
          <w:color w:val="000000"/>
        </w:rPr>
        <w:t>As of September 30, 2021, the remaining unamortized debt discount and</w:t>
      </w:r>
      <w:r>
        <w:rPr>
          <w:rFonts w:ascii="Arial" w:cs="Arial" w:eastAsia="Arial" w:hAnsi="Arial"/>
          <w:sz w:val="18"/>
          <w:szCs w:val="18"/>
          <w:color w:val="252525"/>
        </w:rPr>
        <w:t xml:space="preserve"> </w:t>
      </w:r>
      <w:r>
        <w:rPr>
          <w:rFonts w:ascii="Arial" w:cs="Arial" w:eastAsia="Arial" w:hAnsi="Arial"/>
          <w:sz w:val="18"/>
          <w:szCs w:val="18"/>
          <w:color w:val="000000"/>
        </w:rPr>
        <w:t>issuance costs will be amortized through the 2024 Maturity Date assuming no early conversion.</w:t>
      </w:r>
    </w:p>
    <w:p>
      <w:pPr>
        <w:spacing w:after="0" w:line="1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of September 30, 2021, the 2024 Convertible Notes were not convertible as no conditions of conversion had been met. Accordingly, the net balance of the 2024 Convertible Notes was classified as a non-current liability in our Consolidated Balance Sheets as of September 30, 2021. The classification of the 2024 Convertible Notes as current or non-current in the Consolidated Balance Sheets is evaluated at each balance sheet date and may change from time to time depending on whether any of the conversion conditions has been met.</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one of the conversion conditions is met in any future fiscal quarter, we will classify our net liability under the 2024 Convertible Notes as a current liability in the Consolidated Balance Sheets as of the end of that fiscal quarter. If none of the conversion conditions have been met in a future fiscal quarter prior to the one-year period immediately preceding the 2024 Maturity Date, we will classify our net liability under the 2024 Convertible Notes as a non-current liability in the Consolidated Balance Sheets as of the end of that fiscal quarter. If the note holders elect to convert their 2024 Convertible Notes prior to maturity, any unamortized discount and transaction costs will be recognized as expense at the time of conversion. If the entire outstanding principal amount had been converted on September 30, 2021, we would have recorded an expense associated with the conversion, comprised of $20.2 million of unamortized debt discount and issuance costs. As of September 30, 2021, none of the note holders had elected to convert their 2024 Convertible Notes. As of September 30, 2021, the if-converted value of the 2024 Convertible Notes did not exceed the principal amount.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2.125% Cash Convertible Senior Notes Due 2019</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252525"/>
        </w:rPr>
        <w:t xml:space="preserve">In June 2014, we issued $ 200 million aggregate principal amount of 2.125% Cash Convertible Senior Notes Due 2019 (the “2019 Convertible Notes”), with </w:t>
      </w:r>
      <w:r>
        <w:rPr>
          <w:rFonts w:ascii="Arial" w:cs="Arial" w:eastAsia="Arial" w:hAnsi="Arial"/>
          <w:sz w:val="18"/>
          <w:szCs w:val="18"/>
          <w:color w:val="000000"/>
        </w:rPr>
        <w:t>an additional $ 30 million principal amount being issued in July 2014.</w:t>
      </w:r>
      <w:r>
        <w:rPr>
          <w:rFonts w:ascii="Arial" w:cs="Arial" w:eastAsia="Arial" w:hAnsi="Arial"/>
          <w:sz w:val="18"/>
          <w:szCs w:val="18"/>
          <w:color w:val="252525"/>
        </w:rPr>
        <w:t xml:space="preserve"> In </w:t>
      </w:r>
      <w:r>
        <w:rPr>
          <w:rFonts w:ascii="Arial" w:cs="Arial" w:eastAsia="Arial" w:hAnsi="Arial"/>
          <w:sz w:val="18"/>
          <w:szCs w:val="18"/>
          <w:color w:val="000000"/>
        </w:rPr>
        <w:t>July 2017, we used $34.4 million of net proceeds from</w:t>
      </w:r>
      <w:r>
        <w:rPr>
          <w:rFonts w:ascii="Arial" w:cs="Arial" w:eastAsia="Arial" w:hAnsi="Arial"/>
          <w:sz w:val="18"/>
          <w:szCs w:val="18"/>
          <w:color w:val="252525"/>
        </w:rPr>
        <w:t xml:space="preserve"> </w:t>
      </w:r>
      <w:r>
        <w:rPr>
          <w:rFonts w:ascii="Arial" w:cs="Arial" w:eastAsia="Arial" w:hAnsi="Arial"/>
          <w:sz w:val="18"/>
          <w:szCs w:val="18"/>
          <w:color w:val="000000"/>
        </w:rPr>
        <w:t xml:space="preserve">the 2024 Convertible Notes offering to repurchase and retire $35.0 million aggregate principal amount of 2019 Convertible Notes. The 2019 Convertible Notes </w:t>
      </w:r>
      <w:r>
        <w:rPr>
          <w:rFonts w:ascii="Arial" w:cs="Arial" w:eastAsia="Arial" w:hAnsi="Arial"/>
          <w:sz w:val="18"/>
          <w:szCs w:val="18"/>
          <w:color w:val="252525"/>
        </w:rPr>
        <w:t>paid interest semi-annually in arrears at a rate of 2.125% per annum on June 15 and December 15 of each year. The 2019</w:t>
      </w:r>
      <w:r>
        <w:rPr>
          <w:rFonts w:ascii="Arial" w:cs="Arial" w:eastAsia="Arial" w:hAnsi="Arial"/>
          <w:sz w:val="18"/>
          <w:szCs w:val="18"/>
          <w:color w:val="000000"/>
        </w:rPr>
        <w:t xml:space="preserve"> </w:t>
      </w:r>
      <w:r>
        <w:rPr>
          <w:rFonts w:ascii="Arial" w:cs="Arial" w:eastAsia="Arial" w:hAnsi="Arial"/>
          <w:sz w:val="18"/>
          <w:szCs w:val="18"/>
          <w:color w:val="252525"/>
        </w:rPr>
        <w:t>Convertible Notes matured on June 15, 2019 (the "2019 Maturity Date")</w:t>
      </w:r>
      <w:r>
        <w:rPr>
          <w:rFonts w:ascii="Arial" w:cs="Arial" w:eastAsia="Arial" w:hAnsi="Arial"/>
          <w:sz w:val="18"/>
          <w:szCs w:val="18"/>
          <w:color w:val="000000"/>
        </w:rPr>
        <w:t>, and the remaining $195.0 million aggregate principal amount</w:t>
      </w:r>
      <w:r>
        <w:rPr>
          <w:rFonts w:ascii="Arial" w:cs="Arial" w:eastAsia="Arial" w:hAnsi="Arial"/>
          <w:sz w:val="18"/>
          <w:szCs w:val="18"/>
          <w:color w:val="252525"/>
        </w:rPr>
        <w:t xml:space="preserve"> </w:t>
      </w:r>
      <w:r>
        <w:rPr>
          <w:rFonts w:ascii="Arial" w:cs="Arial" w:eastAsia="Arial" w:hAnsi="Arial"/>
          <w:sz w:val="18"/>
          <w:szCs w:val="18"/>
          <w:color w:val="000000"/>
        </w:rPr>
        <w:t>outstanding plus accrued interest was repaid using cash on hand.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2019 Convertible Notes Warrants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the issuance of the 2019 Convertible Notes, we also sold net-share-settled warrants (the “2019 Convertible Notes Warrants”). The 2019 Convertible Notes Warrants allowed for the purchase of up to approximately 14.3 million shares of our Class A Common Stock at a strike price of $20.83 per share. We accounted for the Class A Common Stock issuable upon exercise under the treasury stock method. The 2019 Convertible Notes Warrants began to expire on a daily basis after we repaid the 2019 Convertible Notes and the last of the unexpired 2019 Convertible Notes Warrants expired in May 2020. As of September 30, 2020, there were no 2019 Convertible Notes Warrants outstanding, and no shares of Class A Common Stock were ever issued pursuant to the 2019 Convertible Notes Warrants.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 xml:space="preserve">CASHMAX </w:t>
      </w:r>
      <w:r>
        <w:rPr>
          <w:rFonts w:ascii="Arial" w:cs="Arial" w:eastAsia="Arial" w:hAnsi="Arial"/>
          <w:sz w:val="18"/>
          <w:szCs w:val="18"/>
          <w:b w:val="1"/>
          <w:bCs w:val="1"/>
          <w:color w:val="000000"/>
        </w:rPr>
        <w:t>Secured Borrowing Facility</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November 2018, we entered into a receivable's securitization facility with a third-party lender to provide funding for installment loan originations in our Canadian CASHMAX business. We terminated this facility in September 2020 as part of the closure of the operations of our CASHMAX business.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COMMON STOCK AND STOCK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December 2019, our Board of Directors (the "Board") authorized the repurchase of up to $60.0 million of our Class A Common Stock over three years. Repurchases under the program were suspended in March 2020 in order to preserve liquidity as a result of uncertainties regarding the COVID-19 pandemic, and no share repurchases under the program have been executed since then. Through March 2020, we repurchased and retired 943,149 shares of our Class A Common Stock for $5.2 million, which amount was allocated between "Additional paid-in capital" and "Retained earnings" in our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Long-Term Incentive Plan (the “LTI Plan”) permits grants of options, restricted stock awards and stock appreciation rights covering up to 5,485,649 shares of our Class A Common Stock plus any shares that become available for issuance under either the LTI Plan or prior plans as a result of forfeitures or cancellations of awards without delivery of shares or as a result of withholding shares to satisfy tax withholding obligations.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purpose of the LTI Plan is to retain the services of valued employees and directors and to incentivize such persons to make contributions to our company and motivate excellent performance. Under the LTI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are measured at the grant date fair value with compensation costs associated with the awards recognized over the requisite service period, usually the vesting period, on a straight-line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 Awards</w:t>
      </w:r>
    </w:p>
    <w:p>
      <w:pPr>
        <w:spacing w:after="0" w:line="18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February 2021, we granted 127,744 shares of restricted stock to the non-employee directors who were elected to serve one-year terms at the 2021 Annual Meeting of Stockholders. Those shares are scheduled to vest at the 2022 Annual Meeting of Stockholders (but in no event later than March 31, 2022), subject only to service conditions.</w:t>
      </w:r>
    </w:p>
    <w:p>
      <w:pPr>
        <w:spacing w:after="0" w:line="14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December 2020, we granted 143,145 shares of restricted stock to the non-employee directors serving at that time. Those shares were scheduled to vest on March 31, 2021, subject only to service conditions. The vesting of 79,525 of such shares was accelerated to February 18, 2021 (the date of the 2021 Annual Meeting of Stockholders) when the term of service for five of the non-employee directors ended. The remaining 63,620 shares vested on March 31, 2021.</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May 2020, we granted 12,346 shares of restricted stock to a newly-elected non-employee director, and in November 2019, we granted 222,912 shares of restricted stock to the non-employee directors serving at that time. The vesting of these shares was subject only to service conditions, and all of such shares vested on September 30, 2020.</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May 2019 and April 2019, we granted a total of 60,088 shares of restricted stock to our seven newly-elected non-employee directors, and in November 2018, we granted 59,812 shares of restricted stock to our non-employee directors serving at that time. The vesting of these shares was subject only to service conditions, and all of the shares vested on September 30, 2019.</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LTI Plan awards are reviewed and approved by the People and Compensation Committee of the Board of Directors (the “Committee”).</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FY21 Awards </w:t>
      </w:r>
      <w:r>
        <w:rPr>
          <w:rFonts w:ascii="Arial" w:cs="Arial" w:eastAsia="Arial" w:hAnsi="Arial"/>
          <w:sz w:val="18"/>
          <w:szCs w:val="18"/>
          <w:color w:val="auto"/>
        </w:rPr>
        <w:t>— In February 2021, we granted 1,177,214 shares of restricted stock to employees. The awards have a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consisting of fiscal 2021, fiscal 2022 and fiscal 2023.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become available to vest based on the achievement of the performance conditions will vest on September 30, 2023, subject to continuous, active employment with the Company through that date. Performance targets for the fiscal 2021 tranche were determined and communicated in February 2021. Grant dates for the other two tranches will be determined when the applicable performance targets are established for these tranches. As of September 30, 2021, we considered the performance targets for the fiscal 2021 tranche to be probable of achievement at the 150% level. In August 2021, we granted an additional 4,722 shares of restricted stock to employees under similar terms as those granted in February 2021.</w:t>
      </w:r>
    </w:p>
    <w:p>
      <w:pPr>
        <w:spacing w:after="0" w:line="1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i w:val="1"/>
          <w:iCs w:val="1"/>
          <w:color w:val="auto"/>
        </w:rPr>
        <w:t xml:space="preserve">FY20 Awards </w:t>
      </w:r>
      <w:r>
        <w:rPr>
          <w:rFonts w:ascii="Arial" w:cs="Arial" w:eastAsia="Arial" w:hAnsi="Arial"/>
          <w:sz w:val="18"/>
          <w:szCs w:val="18"/>
          <w:color w:val="auto"/>
        </w:rPr>
        <w:t>— In January 2020, the Committee approved restricted stock awards for employees but did not finalize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at that time. In November 2020, the Committee approved the applicable performance targets and we granted 550,224 shares of restricted stock to employees. We consider the awards to have a three-year performance period consisting of fiscal 2020, fiscal 2021 and fiscal 2022, with a service condition applicable to fiscal 2020 and then separate performance conditions applicable to fiscal 2021 and 2022. For each award, the total number of shares was allocated equally among fiscal 2021 and fiscal 2022, with each tranche having separate performance conditions. The number of shares available to vest from each tranche is dependent on the achievement of the performance condition for that tranche and can range from 0 to 100%. All of the shares that become available to vest based on the achievement of the performance conditions will vest on September 30, 2022, subject to continuous, active employment with the Company through that date. Performance targets for the fiscal 2021 tranche were communicated in January 2021. Grant dates for the fiscal 2022 tranche will be determined when performance targets are established for that tranche. As of September 30, 2021, we considered the performance targets for the fiscal 2021 tranche to be probable of achievement at the 100% level.</w:t>
      </w:r>
    </w:p>
    <w:p>
      <w:pPr>
        <w:spacing w:after="0" w:line="13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i w:val="1"/>
          <w:iCs w:val="1"/>
          <w:color w:val="auto"/>
        </w:rPr>
        <w:t xml:space="preserve">FY19 Awards </w:t>
      </w:r>
      <w:r>
        <w:rPr>
          <w:rFonts w:ascii="Arial" w:cs="Arial" w:eastAsia="Arial" w:hAnsi="Arial"/>
          <w:sz w:val="17"/>
          <w:szCs w:val="17"/>
          <w:color w:val="auto"/>
        </w:rPr>
        <w:t>— In July 2019 and November 2018, we granted 61,138 shares of restricted stock and 971,615 shares of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to employees. The awards had a three-year performance period consisting of fiscal 2019, fiscal 2020 and fiscal 2021, and were subject to a single three-year performance condition as well as a service condition through the end of the performance period. In November 2020, the Committee determined that the stated performance target for such awards was not probable of achievement and approved a modification of such awards that reduced the number of shares available for vesting and established a new one-year performance condition (in addition to the continuing service condition) applicable to the vesting of the remaining shares. We treated this modification as a cancellation of the existing awards and the grant of new awards subject to a new performance condition, which resulted in (1) the cancellation of awards covering 458,960 shares and the reversal of $2.9 million of previously recognized stock compensation expense and</w:t>
      </w:r>
    </w:p>
    <w:p>
      <w:pPr>
        <w:spacing w:after="0" w:line="6" w:lineRule="exact"/>
        <w:rPr>
          <w:sz w:val="20"/>
          <w:szCs w:val="20"/>
          <w:color w:val="auto"/>
        </w:rPr>
      </w:pPr>
    </w:p>
    <w:p>
      <w:pPr>
        <w:ind w:firstLine="8"/>
        <w:spacing w:after="0" w:line="256"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grant of 358,883 shares of restricted stock. These awards are scheduled to vest on September 30, 2021, subject to the achievement of the specified performance target, which will be determined in November 2021. As of September 30, 2021, we considered that performance target to be probable of achievement.</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FY18 Awards </w:t>
      </w:r>
      <w:r>
        <w:rPr>
          <w:rFonts w:ascii="Arial" w:cs="Arial" w:eastAsia="Arial" w:hAnsi="Arial"/>
          <w:sz w:val="18"/>
          <w:szCs w:val="18"/>
          <w:color w:val="auto"/>
        </w:rPr>
        <w:t>— In December 2017, we granted 1,308,533 shares of restricted stock to employees. The awards had a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consisting of fiscal 2018, fiscal 2019 and fiscal 2020, and were subject to a single three-year performance condition as well as a service condition through the end of the performance period. Awards covering 190,725 shares vested on September 30, 2018. In November 2020, the Committee determined that the performance target applicable to the awards was only partially achieved,and approved the vesting of 295,723 shares in December 2020. Awards covering 81,896 shares were cancelled, resulting in a reversal of $0.8 million of previously recognized stock compensation expense.</w:t>
      </w:r>
    </w:p>
    <w:p>
      <w:pPr>
        <w:spacing w:after="0" w:line="13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FY17 Awards </w:t>
      </w:r>
      <w:r>
        <w:rPr>
          <w:rFonts w:ascii="Arial" w:cs="Arial" w:eastAsia="Arial" w:hAnsi="Arial"/>
          <w:sz w:val="18"/>
          <w:szCs w:val="18"/>
          <w:color w:val="auto"/>
        </w:rPr>
        <w:t>— In November and December 2016 and April 2017, we granted 931,260 shares of restricted stock to employees. The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had a three-year performance period consisting of fiscal 2017, fiscal 2018 and fiscal 2019, and were subject to a single three-year performance condition as well as a service condition through the end of the performance period. Following the end of fiscal 2019, the Committee determined that the applicable performance target had been achieved, and the awards that remained outstanding at that time (covering 463,467 shares) vested.</w:t>
      </w:r>
    </w:p>
    <w:p>
      <w:pPr>
        <w:spacing w:after="0" w:line="14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As of September 30, 2021, the unamortized fair value, exclusive of forfeitures, of share awards to be amortized over their remaining vesting periods was approximately $1.2 million. The weighted-average period over which these costs will be amortized is approximately two years.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related to our stock compensation arrangements: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center"/>
              <w:ind w:right="21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costs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9,751</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Income tax expense (benefit) on share-based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(1,098)</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5"/>
        </w:trPr>
        <w:tc>
          <w:tcPr>
            <w:tcW w:w="7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1,108,920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Granted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6"/>
                <w:szCs w:val="16"/>
                <w:color w:val="auto"/>
              </w:rPr>
              <w:t>1,811,708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Cancelled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2021</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2,218,777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7180" w:type="dxa"/>
            <w:vAlign w:val="bottom"/>
          </w:tcPr>
          <w:p>
            <w:pPr>
              <w:spacing w:after="0"/>
              <w:rPr>
                <w:sz w:val="20"/>
                <w:szCs w:val="20"/>
                <w:color w:val="auto"/>
              </w:rPr>
            </w:pPr>
            <w:r>
              <w:rPr>
                <w:rFonts w:ascii="Arial" w:cs="Arial" w:eastAsia="Arial" w:hAnsi="Arial"/>
                <w:sz w:val="14"/>
                <w:szCs w:val="14"/>
                <w:color w:val="auto"/>
              </w:rPr>
              <w:t>(a) 168,653 shares were withheld to satisfy related income tax withholding.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180" w:type="dxa"/>
            <w:vAlign w:val="bottom"/>
          </w:tcPr>
          <w:p>
            <w:pPr>
              <w:spacing w:after="0"/>
              <w:rPr>
                <w:sz w:val="20"/>
                <w:szCs w:val="20"/>
                <w:color w:val="auto"/>
              </w:rPr>
            </w:pPr>
            <w:r>
              <w:rPr>
                <w:rFonts w:ascii="Arial" w:cs="Arial" w:eastAsia="Arial" w:hAnsi="Arial"/>
                <w:sz w:val="18"/>
                <w:szCs w:val="18"/>
                <w:color w:val="auto"/>
              </w:rPr>
              <w:t>The following table presents a summary of the fair value of shares granted: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gridSpan w:val="11"/>
          </w:tcPr>
          <w:p>
            <w:pPr>
              <w:ind w:left="460"/>
              <w:spacing w:after="0"/>
              <w:rPr>
                <w:sz w:val="20"/>
                <w:szCs w:val="20"/>
                <w:color w:val="auto"/>
              </w:rPr>
            </w:pPr>
            <w:r>
              <w:rPr>
                <w:rFonts w:ascii="Arial" w:cs="Arial" w:eastAsia="Arial" w:hAnsi="Arial"/>
                <w:sz w:val="16"/>
                <w:szCs w:val="16"/>
                <w:b w:val="1"/>
                <w:bCs w:val="1"/>
                <w:color w:val="auto"/>
              </w:rPr>
              <w:t>Fiscal Year Ended September 30,</w:t>
            </w:r>
          </w:p>
        </w:tc>
        <w:tc>
          <w:tcPr>
            <w:tcW w:w="0" w:type="dxa"/>
            <w:vAlign w:val="bottom"/>
          </w:tcPr>
          <w:p>
            <w:pPr>
              <w:spacing w:after="0"/>
              <w:rPr>
                <w:sz w:val="1"/>
                <w:szCs w:val="1"/>
                <w:color w:val="auto"/>
              </w:rPr>
            </w:pPr>
          </w:p>
        </w:tc>
      </w:tr>
      <w:tr>
        <w:trPr>
          <w:trHeight w:val="212"/>
        </w:trPr>
        <w:tc>
          <w:tcPr>
            <w:tcW w:w="7180" w:type="dxa"/>
            <w:vAlign w:val="bottom"/>
          </w:tcPr>
          <w:p>
            <w:pPr>
              <w:ind w:left="20"/>
              <w:spacing w:after="0"/>
              <w:rPr>
                <w:sz w:val="20"/>
                <w:szCs w:val="20"/>
                <w:color w:val="auto"/>
              </w:rPr>
            </w:pPr>
            <w:r>
              <w:rPr>
                <w:rFonts w:ascii="Arial" w:cs="Arial" w:eastAsia="Arial" w:hAnsi="Arial"/>
                <w:sz w:val="16"/>
                <w:szCs w:val="16"/>
                <w:color w:val="auto"/>
              </w:rPr>
              <w:t>(in millions except per share amounts)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Weighted average grant date fair value per share granted </w:t>
            </w:r>
            <w:r>
              <w:rPr>
                <w:rFonts w:ascii="Arial" w:cs="Arial" w:eastAsia="Arial" w:hAnsi="Arial"/>
                <w:sz w:val="21"/>
                <w:szCs w:val="21"/>
                <w:color w:val="auto"/>
                <w:vertAlign w:val="superscript"/>
              </w:rPr>
              <w:t>(a)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Total market value of shares released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252525"/>
        </w:rPr>
      </w:pPr>
      <w:r>
        <w:rPr>
          <w:rFonts w:ascii="Arial" w:cs="Arial" w:eastAsia="Arial" w:hAnsi="Arial"/>
          <w:sz w:val="14"/>
          <w:szCs w:val="14"/>
          <w:color w:val="auto"/>
        </w:rPr>
        <w:t>Awards with performance and time-based vesting provisions are generally valued based upon the underlying share price as of the issuance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not declared or paid any dividends and currently do not anticipate paying any dividends in the immediate future. As described in Note 9: Debt, payment of a dividend requires an adjustment to the conversion rate of our Convertible Notes</w:t>
      </w:r>
      <w:r>
        <w:rPr>
          <w:rFonts w:ascii="Arial" w:cs="Arial" w:eastAsia="Arial" w:hAnsi="Arial"/>
          <w:sz w:val="18"/>
          <w:szCs w:val="18"/>
          <w:color w:val="252525"/>
        </w:rPr>
        <w:t>.</w:t>
      </w:r>
      <w:r>
        <w:rPr>
          <w:rFonts w:ascii="Arial" w:cs="Arial" w:eastAsia="Arial" w:hAnsi="Arial"/>
          <w:sz w:val="18"/>
          <w:szCs w:val="18"/>
          <w:color w:val="auto"/>
        </w:rPr>
        <w:t xml:space="preserve">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INCOME TAXES</w:t>
      </w:r>
    </w:p>
    <w:p>
      <w:pPr>
        <w:spacing w:after="0" w:line="20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 presents the components of our income from continuing operations before income taxes, including inter-segment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(9,609)</w:t>
            </w:r>
          </w:p>
        </w:tc>
      </w:tr>
      <w:tr>
        <w:trPr>
          <w:trHeight w:val="21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(38,106)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13,783</w:t>
            </w:r>
          </w:p>
        </w:tc>
      </w:tr>
      <w:tr>
        <w:trPr>
          <w:trHeight w:val="210"/>
        </w:trPr>
        <w:tc>
          <w:tcPr>
            <w:tcW w:w="69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4,174</w:t>
            </w:r>
          </w:p>
        </w:tc>
      </w:tr>
    </w:tbl>
    <w:p>
      <w:pPr>
        <w:spacing w:after="0" w:line="153"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majority of our corporate administrative costs. See Note 14: Segment Information for information pertaining to segment contribution.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the income tax provision: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Federal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(6,631)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16"/>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State and foreign</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10,544</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09"/>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1,135</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Federal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(4,264)</w:t>
            </w:r>
          </w:p>
        </w:tc>
      </w:tr>
      <w:tr>
        <w:trPr>
          <w:trHeight w:val="216"/>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State and foreign</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5,535</w:t>
            </w:r>
          </w:p>
        </w:tc>
      </w:tr>
      <w:tr>
        <w:trPr>
          <w:trHeight w:val="209"/>
        </w:trPr>
        <w:tc>
          <w:tcPr>
            <w:tcW w:w="6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r>
      <w:tr>
        <w:trPr>
          <w:trHeight w:val="210"/>
        </w:trPr>
        <w:tc>
          <w:tcPr>
            <w:tcW w:w="6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Total income tax (benefit)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2,406</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income taxes calculated at the statutory rate and the provision for income taxes: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Fiscal Year Ended September 30,</w:t>
            </w:r>
          </w:p>
        </w:tc>
        <w:tc>
          <w:tcPr>
            <w:tcW w:w="940" w:type="dxa"/>
            <w:vAlign w:val="bottom"/>
            <w:tcBorders>
              <w:bottom w:val="single" w:sz="8" w:color="auto"/>
            </w:tcBorders>
          </w:tcPr>
          <w:p>
            <w:pPr>
              <w:spacing w:after="0"/>
              <w:rPr>
                <w:sz w:val="18"/>
                <w:szCs w:val="18"/>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5"/>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at the federal statutory rate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878</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184</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Mexico inflation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(801)</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Non-deductible items</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2,087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2,088</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(551)</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Foreign rate differential</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1,080</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1,601</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(711)</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(1,596)</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Non-deductible impairment</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9,093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true-up</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234</w:t>
            </w:r>
          </w:p>
        </w:tc>
      </w:tr>
      <w:tr>
        <w:trPr>
          <w:trHeight w:val="210"/>
        </w:trPr>
        <w:tc>
          <w:tcPr>
            <w:tcW w:w="6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income tax expense (benefit)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2,406</w:t>
            </w:r>
          </w:p>
        </w:tc>
      </w:tr>
      <w:tr>
        <w:trPr>
          <w:trHeight w:val="21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84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8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Cash Converters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13,848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15,049</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over book inventory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9,737</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8,924</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1,565</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tax credit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State and foreign net operating loss carryforwards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15,990</w:t>
            </w: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Book over tax depreciation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w:t>
            </w:r>
          </w:p>
        </w:tc>
      </w:tr>
      <w:tr>
        <w:trPr>
          <w:trHeight w:val="213"/>
        </w:trPr>
        <w:tc>
          <w:tcPr>
            <w:tcW w:w="84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w:t>
            </w:r>
          </w:p>
        </w:tc>
      </w:tr>
      <w:tr>
        <w:trPr>
          <w:trHeight w:val="213"/>
        </w:trPr>
        <w:tc>
          <w:tcPr>
            <w:tcW w:w="8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deferred tax assets before valuation allowance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62,981</w:t>
            </w:r>
          </w:p>
        </w:tc>
      </w:tr>
      <w:tr>
        <w:trPr>
          <w:trHeight w:val="213"/>
        </w:trPr>
        <w:tc>
          <w:tcPr>
            <w:tcW w:w="84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(18,524)</w:t>
            </w:r>
          </w:p>
        </w:tc>
      </w:tr>
      <w:tr>
        <w:trPr>
          <w:trHeight w:val="213"/>
        </w:trPr>
        <w:tc>
          <w:tcPr>
            <w:tcW w:w="8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deferred tax assets,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44,457</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over book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22,444</w:t>
            </w:r>
          </w:p>
        </w:tc>
      </w:tr>
      <w:tr>
        <w:trPr>
          <w:trHeight w:val="213"/>
        </w:trPr>
        <w:tc>
          <w:tcPr>
            <w:tcW w:w="8420" w:type="dxa"/>
            <w:vAlign w:val="bottom"/>
          </w:tcPr>
          <w:p>
            <w:pPr>
              <w:ind w:left="220"/>
              <w:spacing w:after="0"/>
              <w:rPr>
                <w:sz w:val="20"/>
                <w:szCs w:val="20"/>
                <w:color w:val="auto"/>
              </w:rPr>
            </w:pPr>
            <w:r>
              <w:rPr>
                <w:rFonts w:ascii="Arial" w:cs="Arial" w:eastAsia="Arial" w:hAnsi="Arial"/>
                <w:sz w:val="16"/>
                <w:szCs w:val="16"/>
                <w:color w:val="auto"/>
              </w:rPr>
              <w:t>Note receivable discount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12,257</w:t>
            </w:r>
          </w:p>
        </w:tc>
      </w:tr>
      <w:tr>
        <w:trPr>
          <w:trHeight w:val="216"/>
        </w:trPr>
        <w:tc>
          <w:tcPr>
            <w:tcW w:w="8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r>
      <w:tr>
        <w:trPr>
          <w:trHeight w:val="210"/>
        </w:trPr>
        <w:tc>
          <w:tcPr>
            <w:tcW w:w="84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deferred tax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36,050</w:t>
            </w:r>
          </w:p>
        </w:tc>
      </w:tr>
      <w:tr>
        <w:trPr>
          <w:trHeight w:val="209"/>
        </w:trPr>
        <w:tc>
          <w:tcPr>
            <w:tcW w:w="84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Net deferred tax asset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8,407</w:t>
            </w:r>
          </w:p>
        </w:tc>
      </w:tr>
    </w:tbl>
    <w:p>
      <w:pPr>
        <w:spacing w:after="0" w:line="24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of September 30, 2021, we had federal and state net operating loss carryforwards of approximately $100.6 million, which begin to expire in 2022 if not utilized. We also had foreign net operating loss carryforwards of $56.9 million, which will begin to expire in 2030 if not utilized. Additionally, we have a $1.7 million foreign tax credit that will expire between 2024 to 2027 if not utilized.</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Deferred tax assets and liabilities are recorded for the estimated tax impact of temporary differences between the tax basis and book basis of assets and liabilities. The Company has elected to account for the tax on Global Intangible Low-Taxed Income (“GILTI”) as a period cost and therefore has not recorded deferred taxes related to GILTI on its foreign subsidiaries. A valuation allowance is established against a deferred tax asset when it is more likely than not that the deferred tax asset will not be realized. Our valuation allowance has been established to offset certain state and foreign net operating loss carryforwards and foreign tax credit carryforwards that are not more likely than not to be utilized prior to expiration. The valuation allowance increased by $0.6 million in fiscal 2021, primarily due to the recording of a valuation allowance for losses generated during the year in certain foreign jurisdictions which we believe are not more likely than not to be utilized. We believe our results from future operations will generate sufficient taxable income in the appropriate jurisdictions such that it is more likely than not that the remaining deferred tax assets will be realized.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Deferred taxes are not provided for undistributed earnings of foreign subsidiaries of approximately $70.0 million which are intended to be reinvested outside of the U.S. Accordingly, no provision for foreign withholding taxes associated with a distribution of those earnings has been made. We estimate that, upon distribution of our share of these earnings, we would be subject to withholding taxes of approximately $3.8 million as of September 30, 2021. We provided deferred income taxes on all undistributed earnings from Cash Converters.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unrecognized tax benefits: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w:t>
            </w: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Increase for tax positions taken during a prior period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for tax positions taken during the current period</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Decrease for tax positions as a result of the lapse of the statute of limitations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w:t>
            </w:r>
          </w:p>
        </w:tc>
      </w:tr>
      <w:tr>
        <w:trPr>
          <w:trHeight w:val="209"/>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r>
    </w:tbl>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of the above unrecognized tax benefits, if recognized, would impact our effective tax rate for the respective period of each ending balance. The statute of limitations will expire within the next twelve months with respect to approximately $2.2 million of foreign uncertain tax positions. The Company recognizes accrued interest and penalties related to unrecognized tax benefits in income tax expense. During 2021, 2020, and 2019, the Company recognized income tax expense consisting of interest and penalties of $0.3 million, $1.2 million, and $0.2 million, respectively, due to the accrual of current year interest and penalties on existing positions offset by the reversal of previous accruals due to the lapse of the statute of limitations. The total amount of accrued interest and penalties was $1.8 million, $1.5 million and $0.3 million in 2021, 2020 and 2019, respectively.</w:t>
      </w:r>
    </w:p>
    <w:p>
      <w:pPr>
        <w:spacing w:after="0" w:line="15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subject to U.S., Mexico, Canada, Guatemala, Honduras, El Salvador, Peru and the Netherlands income taxes as well as income taxes levied by various state and local jurisdictions. With few exceptions, we are no longer subject to examinations by tax authorities for years before the tax year ended September 30, 2014. We believe that adequate provisions have been made for any adjustments that may result from tax examinations.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LEASES</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weighted-average remaining lease term for operating leases as of September 30, 2021 was 5.08 years, which includes options to extend when it is reasonably certain that we will exercise the option. We used incremental borrowing rates that match the duration of the remaining lease terms of our operating leases on a fully collateralized basis upon adoption as of October 1, 2019 to initially measure our lease liability. The weighted average incremental borrowing rate used to measure the lease liability as of September 30, 2021 was 5.92%.</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details of our right-of-use asset and lease liability recognized upon adoption of ASC 842 was computed based on the consumer price index and foreign currency exchange rate as applicable then in effect and excluding executory costs on October 1, 2019, were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4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246,028</w:t>
            </w:r>
          </w:p>
        </w:tc>
      </w:tr>
      <w:tr>
        <w:trPr>
          <w:trHeight w:val="21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Straight-line rent accrual</w:t>
            </w:r>
          </w:p>
        </w:tc>
        <w:tc>
          <w:tcPr>
            <w:tcW w:w="4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(8,479)</w:t>
            </w:r>
          </w:p>
        </w:tc>
      </w:tr>
      <w:tr>
        <w:trPr>
          <w:trHeight w:val="209"/>
        </w:trPr>
        <w:tc>
          <w:tcPr>
            <w:tcW w:w="5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Net right-of-use asset</w:t>
            </w:r>
          </w:p>
        </w:tc>
        <w:tc>
          <w:tcPr>
            <w:tcW w:w="44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237,549</w:t>
            </w:r>
          </w:p>
        </w:tc>
      </w:tr>
      <w:tr>
        <w:trPr>
          <w:trHeight w:val="91"/>
        </w:trPr>
        <w:tc>
          <w:tcPr>
            <w:tcW w:w="558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4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45,272</w:t>
            </w:r>
          </w:p>
        </w:tc>
      </w:tr>
      <w:tr>
        <w:trPr>
          <w:trHeight w:val="21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4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200,756</w:t>
            </w:r>
          </w:p>
        </w:tc>
      </w:tr>
      <w:tr>
        <w:trPr>
          <w:trHeight w:val="210"/>
        </w:trPr>
        <w:tc>
          <w:tcPr>
            <w:tcW w:w="5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Total lease liability</w:t>
            </w:r>
          </w:p>
        </w:tc>
        <w:tc>
          <w:tcPr>
            <w:tcW w:w="44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balances of our operating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 2020</w:t>
            </w:r>
          </w:p>
        </w:tc>
      </w:tr>
      <w:tr>
        <w:trPr>
          <w:trHeight w:val="37"/>
        </w:trPr>
        <w:tc>
          <w:tcPr>
            <w:tcW w:w="71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20" w:type="dxa"/>
            <w:vAlign w:val="bottom"/>
            <w:tcBorders>
              <w:top w:val="single" w:sz="8" w:color="auto"/>
            </w:tcBorders>
          </w:tcPr>
          <w:p>
            <w:pPr>
              <w:spacing w:after="0"/>
              <w:rPr>
                <w:sz w:val="3"/>
                <w:szCs w:val="3"/>
                <w:color w:val="auto"/>
              </w:rPr>
            </w:pPr>
          </w:p>
        </w:tc>
      </w:tr>
      <w:tr>
        <w:trPr>
          <w:trHeight w:val="21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183,809</w:t>
            </w:r>
          </w:p>
        </w:tc>
      </w:tr>
      <w:tr>
        <w:trPr>
          <w:trHeight w:val="199"/>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49,742</w:t>
            </w:r>
          </w:p>
        </w:tc>
      </w:tr>
      <w:tr>
        <w:trPr>
          <w:trHeight w:val="21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161,330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153,040</w:t>
            </w:r>
          </w:p>
        </w:tc>
      </w:tr>
      <w:tr>
        <w:trPr>
          <w:trHeight w:val="219"/>
        </w:trPr>
        <w:tc>
          <w:tcPr>
            <w:tcW w:w="7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213,593</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202,782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composition of our lease costs: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r>
      <w:tr>
        <w:trPr>
          <w:trHeight w:val="35"/>
        </w:trPr>
        <w:tc>
          <w:tcPr>
            <w:tcW w:w="7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62,925</w:t>
            </w:r>
          </w:p>
        </w:tc>
      </w:tr>
      <w:tr>
        <w:trPr>
          <w:trHeight w:val="21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expense</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11,846</w:t>
            </w:r>
          </w:p>
        </w:tc>
      </w:tr>
      <w:tr>
        <w:trPr>
          <w:trHeight w:val="210"/>
        </w:trPr>
        <w:tc>
          <w:tcPr>
            <w:tcW w:w="7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expense</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74,980</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74,771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maturities of lease liabilities under ASC 842 by fiscal year were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38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66,434</w:t>
            </w: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55,068</w:t>
            </w: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43,072</w:t>
            </w: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3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32,833</w:t>
            </w: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3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23,502</w:t>
            </w:r>
          </w:p>
        </w:tc>
      </w:tr>
      <w:tr>
        <w:trPr>
          <w:trHeight w:val="21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39,390</w:t>
            </w:r>
          </w:p>
        </w:tc>
      </w:tr>
      <w:tr>
        <w:trPr>
          <w:trHeight w:val="212"/>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3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260,299</w:t>
            </w:r>
          </w:p>
        </w:tc>
      </w:tr>
      <w:tr>
        <w:trPr>
          <w:trHeight w:val="213"/>
        </w:trPr>
        <w:tc>
          <w:tcPr>
            <w:tcW w:w="61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Less: portion representing interest</w:t>
            </w:r>
          </w:p>
        </w:tc>
        <w:tc>
          <w:tcPr>
            <w:tcW w:w="3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46,706</w:t>
            </w:r>
          </w:p>
        </w:tc>
      </w:tr>
      <w:tr>
        <w:trPr>
          <w:trHeight w:val="213"/>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net lease liabilities</w:t>
            </w:r>
          </w:p>
        </w:tc>
        <w:tc>
          <w:tcPr>
            <w:tcW w:w="3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213,593</w:t>
            </w:r>
          </w:p>
        </w:tc>
      </w:tr>
      <w:tr>
        <w:trPr>
          <w:trHeight w:val="213"/>
        </w:trPr>
        <w:tc>
          <w:tcPr>
            <w:tcW w:w="61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Less: current portion</w:t>
            </w:r>
          </w:p>
        </w:tc>
        <w:tc>
          <w:tcPr>
            <w:tcW w:w="3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52,263</w:t>
            </w:r>
          </w:p>
        </w:tc>
      </w:tr>
      <w:tr>
        <w:trPr>
          <w:trHeight w:val="210"/>
        </w:trPr>
        <w:tc>
          <w:tcPr>
            <w:tcW w:w="6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Total long term net lease liabilities</w:t>
            </w:r>
          </w:p>
        </w:tc>
        <w:tc>
          <w:tcPr>
            <w:tcW w:w="38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161,330</w:t>
            </w:r>
          </w:p>
        </w:tc>
      </w:tr>
    </w:tbl>
    <w:p>
      <w:pPr>
        <w:spacing w:after="0" w:line="25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December 2014, we entered into a non-cancelable 13-year operating lease for our corporate offices, with rent payments beginning February 2016 and ending March 2029. Annual rent, net of square footage subsequently terminated as a result of negotiations with the landlord, escalate from $2.5 million at lease inception to $3.9 million in the terminal year of the lease.</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lease includes two five-year extension options at the end of the initial lease term. The estimated minimum future rental payments under the lease are approximately $27.9 million as of September 30, 2021. During fiscal 2017 and 2016, we initiated subleases for a portion of our corporate operating office lease for estimated minimum future sublease payments of approximately $12.2 million. In addition to the above subleases, during fiscal 2018 we entered into an amendment to the operating lease surrendering another 15% of the initial leased premises. As a result, sublease payments were expected to fully offset our original operating lease obligations through August 2022, with renewal options available until the end of the master operating lease in March 2029.</w:t>
      </w:r>
    </w:p>
    <w:p>
      <w:pPr>
        <w:spacing w:after="0" w:line="15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During the second quarter of fiscal 2015, we entered into cancellable subleases for our Miami office for an estimated minimum future sublease payment of approximately $2.9 million. Sublease payments are expected to offset substantially all of our original operating lease obligations over the nine-year period beginning March 2015 and ending September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amount of net rent recognized as expense under ASC Topic 840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rPr>
              <w:t>Fiscal Year Ended</w:t>
            </w:r>
          </w:p>
        </w:tc>
      </w:tr>
      <w:tr>
        <w:trPr>
          <w:trHeight w:val="215"/>
        </w:trPr>
        <w:tc>
          <w:tcPr>
            <w:tcW w:w="9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9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2019</w:t>
            </w:r>
          </w:p>
        </w:tc>
      </w:tr>
      <w:tr>
        <w:trPr>
          <w:trHeight w:val="35"/>
        </w:trPr>
        <w:tc>
          <w:tcPr>
            <w:tcW w:w="9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16"/>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rent expense from continuing operations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65,295</w:t>
            </w:r>
          </w:p>
        </w:tc>
      </w:tr>
      <w:tr>
        <w:trPr>
          <w:trHeight w:val="213"/>
        </w:trPr>
        <w:tc>
          <w:tcPr>
            <w:tcW w:w="9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Sublease rent revenue from continuing operations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9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rent expense from continuing operations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65,260</w:t>
            </w:r>
          </w:p>
        </w:tc>
      </w:tr>
    </w:tbl>
    <w:p>
      <w:pPr>
        <w:spacing w:after="0" w:line="24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As a result of the COVID-19 pandemic, we believe there was a significant adverse change in the business climate that impacted the office leasing market and a significant decrease in the market prices of an asset or asset group that affected the value of the right of use asset for our corporate office. We determined the undiscounted cash flows of the subleases did not exceed the net book value of the right of use asset. We then determined the discounted cash flows of the subleases did not exceed the book value of the right of use asset, and an impairment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charge of $5.0 million was recorded in the fourth quarter of fiscal 2020 and is recorded under “Impairment of goodwill, intangible and other assets” in the Consolidated Statements of Operations. No such charge was taken in fiscal year 2021.</w:t>
      </w:r>
    </w:p>
    <w:p>
      <w:pPr>
        <w:spacing w:after="0" w:line="14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recorded $62.8 million and $29.2 million in non-cash additions to our right of use assets and lease liabilities for the fiscal year ended September 30, 2021 and 2020,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13: CONTINGENCIES</w:t>
      </w:r>
    </w:p>
    <w:p>
      <w:pPr>
        <w:spacing w:after="0" w:line="20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The amount of resulting loss may differ from these estimates.</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While we are unable to determine the ultimate outcome of any current litigation or regulatory actions, we do not believe the resolution of any particular matter will have a material adverse effect on our financial condition, results of operations or liquidity.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14: SEGMENT INFORMATION</w:t>
      </w:r>
    </w:p>
    <w:p>
      <w:pPr>
        <w:spacing w:after="0" w:line="20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Our operations are primarily managed on a geographical basis and consist of three reportable segments. The factors for determining our reportable segments include the manner in which our chief operating decision maker (CODM) evaluates performance for purposes of allocating resources and assessing performance. During the first quarter of fiscal 2021, the financial information of our Lana business activities were no longer reviewed by the CODM for evaluating performance since Lana no longer has business activities but, rather, offers support activities to our U.S. Pawn and Latin America Pawn operating segments. As a result, Lana is no longer an operating or reportable segment. Our historical segment results have been recast to conform to current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International — Primarily our equity interest in the net income of Cash Converters and RDC.</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14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18"/>
          </w:tcPr>
          <w:p>
            <w:pPr>
              <w:jc w:val="right"/>
              <w:ind w:right="579"/>
              <w:spacing w:after="0"/>
              <w:rPr>
                <w:sz w:val="20"/>
                <w:szCs w:val="20"/>
                <w:color w:val="auto"/>
              </w:rPr>
            </w:pPr>
            <w:r>
              <w:rPr>
                <w:rFonts w:ascii="Arial" w:cs="Arial" w:eastAsia="Arial" w:hAnsi="Arial"/>
                <w:sz w:val="16"/>
                <w:szCs w:val="16"/>
                <w:b w:val="1"/>
                <w:bCs w:val="1"/>
                <w:color w:val="auto"/>
              </w:rPr>
              <w:t>Fiscal Year Ended September 30, 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Latin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420"/>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w w:val="99"/>
              </w:rPr>
              <w:t>Corporate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vMerge w:val="restart"/>
          </w:tcPr>
          <w:p>
            <w:pPr>
              <w:jc w:val="right"/>
              <w:ind w:right="4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106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Pawn</w:t>
            </w: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International</w:t>
            </w:r>
          </w:p>
        </w:tc>
        <w:tc>
          <w:tcPr>
            <w:tcW w:w="60" w:type="dxa"/>
            <w:vAlign w:val="bottom"/>
          </w:tcPr>
          <w:p>
            <w:pPr>
              <w:spacing w:after="0"/>
              <w:rPr>
                <w:sz w:val="18"/>
                <w:szCs w:val="18"/>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rPr>
              <w:t>Segments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9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341,495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101,303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442,798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442,798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196,721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63,475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260,196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260,196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553,581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175,550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729,551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729,551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66,179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257,218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9,847</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330,837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56,495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56,495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22,177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85,520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107,209</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Income (loss) from continuing operations before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107,209</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(91,147)</w:t>
            </w:r>
          </w:p>
        </w:tc>
        <w:tc>
          <w:tcPr>
            <w:tcW w:w="3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5"/>
          </w:tcPr>
          <w:p>
            <w:pPr>
              <w:jc w:val="right"/>
              <w:ind w:right="399"/>
              <w:spacing w:after="0"/>
              <w:rPr>
                <w:sz w:val="20"/>
                <w:szCs w:val="20"/>
                <w:color w:val="auto"/>
              </w:rPr>
            </w:pPr>
            <w:r>
              <w:rPr>
                <w:rFonts w:ascii="Arial" w:cs="Arial" w:eastAsia="Arial" w:hAnsi="Arial"/>
                <w:sz w:val="16"/>
                <w:szCs w:val="16"/>
                <w:b w:val="1"/>
                <w:bCs w:val="1"/>
                <w:color w:val="auto"/>
              </w:rPr>
              <w:t>Fiscal Year Ended September 30,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160"/>
              <w:spacing w:after="0" w:line="158" w:lineRule="exact"/>
              <w:rPr>
                <w:sz w:val="20"/>
                <w:szCs w:val="20"/>
                <w:color w:val="auto"/>
              </w:rPr>
            </w:pPr>
            <w:r>
              <w:rPr>
                <w:rFonts w:ascii="Arial" w:cs="Arial" w:eastAsia="Arial" w:hAnsi="Arial"/>
                <w:sz w:val="16"/>
                <w:szCs w:val="16"/>
                <w:b w:val="1"/>
                <w:bCs w:val="1"/>
                <w:color w:val="auto"/>
                <w:w w:val="99"/>
              </w:rPr>
              <w:t>Latin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U.S. Pawn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America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106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Pawn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Segments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Items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9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391,921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106,292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498,213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340" w:type="dxa"/>
            <w:vAlign w:val="bottom"/>
            <w:gridSpan w:val="4"/>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498,213</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47,953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47,953</w:t>
            </w: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210,081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62,557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272,638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4"/>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272,638</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3,973</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3,973</w:t>
            </w:r>
          </w:p>
        </w:tc>
        <w:tc>
          <w:tcPr>
            <w:tcW w:w="0" w:type="dxa"/>
            <w:vAlign w:val="bottom"/>
          </w:tcPr>
          <w:p>
            <w:pPr>
              <w:spacing w:after="0"/>
              <w:rPr>
                <w:sz w:val="1"/>
                <w:szCs w:val="1"/>
                <w:color w:val="auto"/>
              </w:rPr>
            </w:pPr>
          </w:p>
        </w:tc>
      </w:tr>
      <w:tr>
        <w:trPr>
          <w:trHeight w:val="209"/>
        </w:trPr>
        <w:tc>
          <w:tcPr>
            <w:tcW w:w="39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638,843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180,111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3,823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822,777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4"/>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822,777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334,481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334,481</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9,977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38,041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4"/>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38,041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1,054</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0"/>
        </w:trPr>
        <w:tc>
          <w:tcPr>
            <w:tcW w:w="39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359,235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87,096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2,870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449,201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4"/>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449,201</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261,608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69,916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5,246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336,770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4"/>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336,770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54,133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54,133</w:t>
            </w: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47,087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54,666</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18,413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12,414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30,827</w:t>
            </w: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293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8,623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20,388</w:t>
            </w: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1,234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21,238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22,472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2,429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2,429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4"/>
          </w:tcPr>
          <w:p>
            <w:pPr>
              <w:jc w:val="right"/>
              <w:ind w:right="1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73,106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(26,659)</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(10,359)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36,088</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Income (loss) from continuing operations before</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36,088</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(106,183)</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0"/>
          </w:tcPr>
          <w:p>
            <w:pPr>
              <w:ind w:left="80"/>
              <w:spacing w:after="0"/>
              <w:rPr>
                <w:sz w:val="20"/>
                <w:szCs w:val="20"/>
                <w:color w:val="auto"/>
              </w:rPr>
            </w:pPr>
            <w:r>
              <w:rPr>
                <w:rFonts w:ascii="Arial" w:cs="Arial" w:eastAsia="Arial" w:hAnsi="Arial"/>
                <w:sz w:val="16"/>
                <w:szCs w:val="16"/>
                <w:b w:val="1"/>
                <w:bCs w:val="1"/>
                <w:color w:val="auto"/>
              </w:rPr>
              <w:t>Fiscal Year Ended September 30, 2019</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9"/>
              </w:rPr>
              <w:t>Latin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Corporate</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U.S. Pawn</w:t>
            </w:r>
          </w:p>
        </w:tc>
        <w:tc>
          <w:tcPr>
            <w:tcW w:w="140" w:type="dxa"/>
            <w:vAlign w:val="bottom"/>
          </w:tcPr>
          <w:p>
            <w:pPr>
              <w:spacing w:after="0"/>
              <w:rPr>
                <w:sz w:val="14"/>
                <w:szCs w:val="14"/>
                <w:color w:val="auto"/>
              </w:rPr>
            </w:pPr>
          </w:p>
        </w:tc>
        <w:tc>
          <w:tcPr>
            <w:tcW w:w="8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8"/>
              </w:rPr>
              <w:t>America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1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Segments</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355,996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97,379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453,375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453,375</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60,445</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248,369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78,997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327,366</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6,043</w:t>
            </w:r>
          </w:p>
        </w:tc>
        <w:tc>
          <w:tcPr>
            <w:tcW w:w="0" w:type="dxa"/>
            <w:vAlign w:val="bottom"/>
          </w:tcPr>
          <w:p>
            <w:pPr>
              <w:spacing w:after="0"/>
              <w:rPr>
                <w:sz w:val="1"/>
                <w:szCs w:val="1"/>
                <w:color w:val="auto"/>
              </w:rPr>
            </w:pPr>
          </w:p>
        </w:tc>
      </w:tr>
      <w:tr>
        <w:trPr>
          <w:trHeight w:val="209"/>
        </w:trPr>
        <w:tc>
          <w:tcPr>
            <w:tcW w:w="39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650,413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191,185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847,229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847,229</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297,508</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52,935</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0" w:type="dxa"/>
            <w:vAlign w:val="bottom"/>
          </w:tcPr>
          <w:p>
            <w:pPr>
              <w:spacing w:after="0"/>
              <w:rPr>
                <w:sz w:val="1"/>
                <w:szCs w:val="1"/>
                <w:color w:val="auto"/>
              </w:rPr>
            </w:pPr>
          </w:p>
        </w:tc>
      </w:tr>
      <w:tr>
        <w:trPr>
          <w:trHeight w:val="209"/>
        </w:trPr>
        <w:tc>
          <w:tcPr>
            <w:tcW w:w="3960" w:type="dxa"/>
            <w:vAlign w:val="bottom"/>
          </w:tcPr>
          <w:p>
            <w:pPr>
              <w:ind w:left="220"/>
              <w:spacing w:after="0"/>
              <w:rPr>
                <w:sz w:val="20"/>
                <w:szCs w:val="20"/>
                <w:color w:val="auto"/>
              </w:rPr>
            </w:pPr>
            <w:r>
              <w:rPr>
                <w:rFonts w:ascii="Arial" w:cs="Arial" w:eastAsia="Arial" w:hAnsi="Arial"/>
                <w:sz w:val="16"/>
                <w:szCs w:val="16"/>
                <w:color w:val="auto"/>
              </w:rPr>
              <w:t>Net revenues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385,959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494,448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494,448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(income):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269,003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350,578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63,665</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28,797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32,637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(11,086)</w:t>
            </w:r>
          </w:p>
        </w:tc>
        <w:tc>
          <w:tcPr>
            <w:tcW w:w="0" w:type="dxa"/>
            <w:vAlign w:val="bottom"/>
          </w:tcPr>
          <w:p>
            <w:pPr>
              <w:spacing w:after="0"/>
              <w:rPr>
                <w:sz w:val="1"/>
                <w:szCs w:val="1"/>
                <w:color w:val="auto"/>
              </w:rPr>
            </w:pPr>
          </w:p>
        </w:tc>
      </w:tr>
      <w:tr>
        <w:trPr>
          <w:trHeight w:val="213"/>
        </w:trPr>
        <w:tc>
          <w:tcPr>
            <w:tcW w:w="3960" w:type="dxa"/>
            <w:vAlign w:val="bottom"/>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Impairment of investment in unconsolidated</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19,725</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101,675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24,124</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(26,830)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98,969</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60" w:type="dxa"/>
            <w:vAlign w:val="bottom"/>
          </w:tcPr>
          <w:p>
            <w:pPr>
              <w:ind w:left="20"/>
              <w:spacing w:after="0" w:line="174"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98,969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(94,795)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International</w:t>
            </w:r>
          </w:p>
        </w:tc>
        <w:tc>
          <w:tcPr>
            <w:tcW w:w="1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0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as of September 30, 2021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135,931</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39,970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ind w:left="740"/>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175,901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29,337</w:t>
            </w: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110,989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as of September 30,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106,340</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24,983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131,323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20,580</w:t>
            </w: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95,891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1,197,023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net assets of our Latin America Pawn segment, exclusive of intercompany amounts and inclusive of certain other assets not separately identified above, were $199.2 million as of September 30, 2021.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759"/>
              <w:spacing w:after="0"/>
              <w:rPr>
                <w:sz w:val="20"/>
                <w:szCs w:val="20"/>
                <w:color w:val="auto"/>
              </w:rPr>
            </w:pPr>
            <w:r>
              <w:rPr>
                <w:rFonts w:ascii="Arial" w:cs="Arial" w:eastAsia="Arial" w:hAnsi="Arial"/>
                <w:sz w:val="16"/>
                <w:szCs w:val="16"/>
                <w:b w:val="1"/>
                <w:bCs w:val="1"/>
                <w:color w:val="auto"/>
              </w:rPr>
              <w:t>Fiscal Year Ended September 30,</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5"/>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553,581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638,844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650,413</w:t>
            </w:r>
          </w:p>
        </w:tc>
      </w:tr>
      <w:tr>
        <w:trPr>
          <w:trHeight w:val="219"/>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Mexico</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138,897</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Other Latin America</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52,288</w:t>
            </w:r>
          </w:p>
        </w:tc>
      </w:tr>
      <w:tr>
        <w:trPr>
          <w:trHeight w:val="216"/>
        </w:trPr>
        <w:tc>
          <w:tcPr>
            <w:tcW w:w="7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Canada and 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5,631</w:t>
            </w:r>
          </w:p>
        </w:tc>
      </w:tr>
      <w:tr>
        <w:trPr>
          <w:trHeight w:val="209"/>
        </w:trPr>
        <w:tc>
          <w:tcPr>
            <w:tcW w:w="70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729,551</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822,777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847,229</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8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tangible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30,651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36,361</w:t>
            </w: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Mexico</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15,141</w:t>
            </w:r>
          </w:p>
        </w:tc>
      </w:tr>
      <w:tr>
        <w:trPr>
          <w:trHeight w:val="213"/>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Latin America</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5,484</w:t>
            </w:r>
          </w:p>
        </w:tc>
      </w:tr>
      <w:tr>
        <w:trPr>
          <w:trHeight w:val="210"/>
        </w:trPr>
        <w:tc>
          <w:tcPr>
            <w:tcW w:w="8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long-lived tangible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53,811</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56,986</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15: SUPPLEMENTAL CONSOLIDATED FINANCIAL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Consolidated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net amounts included in our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8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35"/>
        </w:trPr>
        <w:tc>
          <w:tcPr>
            <w:tcW w:w="8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37,360</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(6,679)</w:t>
            </w:r>
          </w:p>
        </w:tc>
      </w:tr>
      <w:tr>
        <w:trPr>
          <w:trHeight w:val="209"/>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29,337</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20,580</w:t>
            </w:r>
          </w:p>
        </w:tc>
      </w:tr>
      <w:tr>
        <w:trPr>
          <w:trHeight w:val="199"/>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115,300</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108,205</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(12,314)</w:t>
            </w:r>
          </w:p>
        </w:tc>
      </w:tr>
      <w:tr>
        <w:trPr>
          <w:trHeight w:val="209"/>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110,989</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95,891</w:t>
            </w:r>
          </w:p>
        </w:tc>
      </w:tr>
      <w:tr>
        <w:trPr>
          <w:trHeight w:val="199"/>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5,386</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10,614</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9,322</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6,991</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prepaid and receivable</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16,302</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15,298</w:t>
            </w:r>
          </w:p>
        </w:tc>
      </w:tr>
      <w:tr>
        <w:trPr>
          <w:trHeight w:val="209"/>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31,010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199"/>
        </w:trPr>
        <w:tc>
          <w:tcPr>
            <w:tcW w:w="8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22,462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19,114</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9,093</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12,993</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Incentive accrual</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16,868</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4,895</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payroll related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10,695</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Accrued sales and VAT taxes</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10,936</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9,291</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20,214</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16,140</w:t>
            </w:r>
          </w:p>
        </w:tc>
      </w:tr>
      <w:tr>
        <w:trPr>
          <w:trHeight w:val="210"/>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 payable, accrued expenses and other current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90,268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71,504</w:t>
            </w:r>
          </w:p>
        </w:tc>
      </w:tr>
      <w:tr>
        <w:trPr>
          <w:trHeight w:val="199"/>
        </w:trPr>
        <w:tc>
          <w:tcPr>
            <w:tcW w:w="8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Unrecognized tax benefits, non-current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2,571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4,214</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7,814</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6,635</w:t>
            </w:r>
          </w:p>
        </w:tc>
      </w:tr>
      <w:tr>
        <w:trPr>
          <w:trHeight w:val="210"/>
        </w:trPr>
        <w:tc>
          <w:tcPr>
            <w:tcW w:w="8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10,385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valuation and qualifying accounts not disclosed elsewhere: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Additions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8" w:lineRule="exact"/>
              <w:rPr>
                <w:sz w:val="20"/>
                <w:szCs w:val="20"/>
                <w:color w:val="auto"/>
              </w:rPr>
            </w:pPr>
            <w:r>
              <w:rPr>
                <w:rFonts w:ascii="Arial" w:cs="Arial" w:eastAsia="Arial" w:hAnsi="Arial"/>
                <w:sz w:val="16"/>
                <w:szCs w:val="16"/>
                <w:b w:val="1"/>
                <w:bCs w:val="1"/>
                <w:color w:val="auto"/>
              </w:rPr>
              <w:t>Balance at</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Charged to</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Charged to</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Balance at End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Beginning of</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Deductions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Period</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Expense</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35"/>
        </w:trPr>
        <w:tc>
          <w:tcPr>
            <w:tcW w:w="42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valuation of inventory: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8,003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4,311</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2019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9,737</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Allowance for uncollectible pawn service charges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6,679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2019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10,036</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Allowance for uncollectible consumer loan fees and</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receivable: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2019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valuation of deferred tax 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19,135</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18,524</w:t>
            </w:r>
          </w:p>
        </w:tc>
        <w:tc>
          <w:tcPr>
            <w:tcW w:w="0" w:type="dxa"/>
            <w:vAlign w:val="bottom"/>
          </w:tcPr>
          <w:p>
            <w:pPr>
              <w:spacing w:after="0"/>
              <w:rPr>
                <w:sz w:val="1"/>
                <w:szCs w:val="1"/>
                <w:color w:val="auto"/>
              </w:rPr>
            </w:pPr>
          </w:p>
        </w:tc>
      </w:tr>
      <w:tr>
        <w:trPr>
          <w:trHeight w:val="210"/>
        </w:trPr>
        <w:tc>
          <w:tcPr>
            <w:tcW w:w="4200" w:type="dxa"/>
            <w:vAlign w:val="bottom"/>
          </w:tcPr>
          <w:p>
            <w:pPr>
              <w:ind w:left="220"/>
              <w:spacing w:after="0"/>
              <w:rPr>
                <w:sz w:val="20"/>
                <w:szCs w:val="20"/>
                <w:color w:val="auto"/>
              </w:rPr>
            </w:pPr>
            <w:r>
              <w:rPr>
                <w:rFonts w:ascii="Arial" w:cs="Arial" w:eastAsia="Arial" w:hAnsi="Arial"/>
                <w:sz w:val="16"/>
                <w:szCs w:val="16"/>
                <w:color w:val="auto"/>
              </w:rPr>
              <w:t>Year Ended September 30, 2019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16: SUBSEQUENT EVENTS</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October 1, 2021, we purchased an additional 13 million shares of Cash Converters for $2.5 million. This purchase increased our total ownership in Cash Converters to 236,702,991 shares, representing a 37.72% ownership interest. Additionally, in October 2021, we received a cash dividend of $1.7 million from Cash Converters.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October 6, 2021, the Company invested $15.0 million in exchange for a non-redeemable voting participating preferred equity interest in Founders One, LLC (“Founders”), a newly-formed entity with one other member. Founders used that $15.0 million to acquire an equity interest in Simple Management Group, Inc. (“SMG”) which owns and operates more than 20 pawn stores principally in the Caribbean region, with plans to build and acquire more stores in that region. This investment in Founders is accounted for utilizing the measurement alternative within ASC 321, </w:t>
      </w:r>
      <w:r>
        <w:rPr>
          <w:rFonts w:ascii="Arial" w:cs="Arial" w:eastAsia="Arial" w:hAnsi="Arial"/>
          <w:sz w:val="18"/>
          <w:szCs w:val="18"/>
          <w:i w:val="1"/>
          <w:iCs w:val="1"/>
          <w:color w:val="auto"/>
        </w:rPr>
        <w:t>Investments — Equity Securities.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17: QUARTERLY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Second</w:t>
            </w: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11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w:t>
            </w:r>
          </w:p>
        </w:tc>
        <w:tc>
          <w:tcPr>
            <w:tcW w:w="12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35"/>
        </w:trPr>
        <w:tc>
          <w:tcPr>
            <w:tcW w:w="64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September 30, 2021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178,135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184,939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174,033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192,444</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119,326</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5,330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Second</w:t>
            </w: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11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w:t>
            </w:r>
          </w:p>
        </w:tc>
        <w:tc>
          <w:tcPr>
            <w:tcW w:w="12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35"/>
        </w:trPr>
        <w:tc>
          <w:tcPr>
            <w:tcW w:w="64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September 30, 2020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222,435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223,280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210,224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166,839</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89,596</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(40,874)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(23,340)</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spacing w:after="0" w:line="288" w:lineRule="auto"/>
        <w:rPr>
          <w:sz w:val="20"/>
          <w:szCs w:val="20"/>
          <w:color w:val="auto"/>
        </w:rPr>
      </w:pPr>
      <w:r>
        <w:rPr>
          <w:rFonts w:ascii="Arial" w:cs="Arial" w:eastAsia="Arial" w:hAnsi="Arial"/>
          <w:sz w:val="25"/>
          <w:szCs w:val="25"/>
          <w:b w:val="1"/>
          <w:bCs w:val="1"/>
          <w:color w:val="00497F"/>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9A.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8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2021. Based on that evaluation, our Chief Executive Officer and Chief Financial Officer concluded that our disclosure controls and procedures were effective as of September 30, 2021. We believe the consolidated financial statements included in this Annual Report on Form 10-K fairly present, in all material respects, our financial position, results of operations, stockholders’ equity and cash flows as of the dates, and for the periods, presented in conformity with GAAP.</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2021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that assessment, our Chief Executive Officer and Chief Financial Officer concluded that our internal control over financial reporting was effective as of September 30, 2021.</w:t>
      </w:r>
    </w:p>
    <w:p>
      <w:pPr>
        <w:spacing w:after="0" w:line="15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internal control over financial reporting as of September 30, 2021 has been audited by our independent registered public accounting firm, as stated in their report appearing below.</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EZCORP, Inc.’s (the “Company’s”) internal control over financial reporting as of September 30, 2021,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September 30, 2021, based on the COSO criteria.</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30, 2021 and 2020, the related consolidated statements of operations, comprehensive income (loss), stockholders’ equity, and cash flows for each of the three years in the period ended September 30, 2021, and the related notes, and our report dated November 17, 2021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8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For the year ended September 30, 2021,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Inherent Limitations on Internal Controls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50" w:lineRule="exact"/>
        <w:rPr>
          <w:sz w:val="20"/>
          <w:szCs w:val="20"/>
          <w:color w:val="auto"/>
        </w:rPr>
      </w:pPr>
    </w:p>
    <w:p>
      <w:pPr>
        <w:ind w:left="380" w:hanging="33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80" w:hanging="33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80" w:right="140" w:hanging="332"/>
        <w:spacing w:after="0" w:line="261" w:lineRule="auto"/>
        <w:tabs>
          <w:tab w:leader="none" w:pos="3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43" w:lineRule="exact"/>
        <w:rPr>
          <w:rFonts w:ascii="Arial" w:cs="Arial" w:eastAsia="Arial" w:hAnsi="Arial"/>
          <w:sz w:val="18"/>
          <w:szCs w:val="18"/>
          <w:color w:val="auto"/>
        </w:rPr>
      </w:pPr>
    </w:p>
    <w:p>
      <w:pPr>
        <w:ind w:left="380" w:right="700" w:hanging="332"/>
        <w:spacing w:after="0" w:line="261" w:lineRule="auto"/>
        <w:tabs>
          <w:tab w:leader="none" w:pos="3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43" w:lineRule="exact"/>
        <w:rPr>
          <w:rFonts w:ascii="Arial" w:cs="Arial" w:eastAsia="Arial" w:hAnsi="Arial"/>
          <w:sz w:val="18"/>
          <w:szCs w:val="18"/>
          <w:color w:val="auto"/>
        </w:rPr>
      </w:pPr>
    </w:p>
    <w:p>
      <w:pPr>
        <w:ind w:left="380" w:right="400" w:hanging="332"/>
        <w:spacing w:after="0" w:line="261" w:lineRule="auto"/>
        <w:tabs>
          <w:tab w:leader="none" w:pos="3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 of a control system must reflect the fact that resources are constrained, and the benefits of controls must be considered relative to their costs.</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9B.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ind w:right="1600"/>
        <w:spacing w:after="0" w:line="288" w:lineRule="auto"/>
        <w:rPr>
          <w:sz w:val="20"/>
          <w:szCs w:val="20"/>
          <w:color w:val="auto"/>
        </w:rPr>
      </w:pPr>
      <w:r>
        <w:rPr>
          <w:rFonts w:ascii="Arial" w:cs="Arial" w:eastAsia="Arial" w:hAnsi="Arial"/>
          <w:sz w:val="25"/>
          <w:szCs w:val="25"/>
          <w:b w:val="1"/>
          <w:bCs w:val="1"/>
          <w:color w:val="00497F"/>
        </w:rPr>
        <w:t>ITEM 9C. DISCLOSURE REGARDING FOREIGN JURISDICTIONS THAT PREVENT INSPECTIONS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00497F"/>
        </w:rPr>
        <w:t>PART III</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10. DIRECTORS, EXECUTIVE OFFICERS AND CORPORATE GOVERNANCE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Set forth below are the names of the persons who, as of November 1, 2021, constituted our Board of Directors and their ages and committee assignments as of that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Age</w:t>
            </w:r>
          </w:p>
        </w:tc>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Committees</w:t>
            </w:r>
          </w:p>
        </w:tc>
      </w:tr>
      <w:tr>
        <w:trPr>
          <w:trHeight w:val="37"/>
        </w:trPr>
        <w:tc>
          <w:tcPr>
            <w:tcW w:w="3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40" w:type="dxa"/>
            <w:vAlign w:val="bottom"/>
            <w:tcBorders>
              <w:top w:val="single" w:sz="8" w:color="auto"/>
            </w:tcBorders>
          </w:tcPr>
          <w:p>
            <w:pPr>
              <w:spacing w:after="0"/>
              <w:rPr>
                <w:sz w:val="3"/>
                <w:szCs w:val="3"/>
                <w:color w:val="auto"/>
              </w:rPr>
            </w:pPr>
          </w:p>
        </w:tc>
      </w:tr>
      <w:tr>
        <w:trPr>
          <w:trHeight w:val="229"/>
        </w:trPr>
        <w:tc>
          <w:tcPr>
            <w:tcW w:w="4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Matthew W. Appel</w:t>
            </w: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65</w:t>
            </w:r>
          </w:p>
        </w:tc>
        <w:tc>
          <w:tcPr>
            <w:tcW w:w="100" w:type="dxa"/>
            <w:vAlign w:val="bottom"/>
            <w:shd w:val="clear" w:color="auto" w:fill="BFE4FF"/>
          </w:tcPr>
          <w:p>
            <w:pPr>
              <w:spacing w:after="0"/>
              <w:rPr>
                <w:sz w:val="19"/>
                <w:szCs w:val="19"/>
                <w:color w:val="auto"/>
              </w:rPr>
            </w:pPr>
          </w:p>
        </w:tc>
        <w:tc>
          <w:tcPr>
            <w:tcW w:w="6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Audit, People and Compensation, Nominating (Chair), Lead Independent Director</w:t>
            </w: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Zena Srivatsa Arnold</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6"/>
                <w:szCs w:val="16"/>
                <w:color w:val="auto"/>
              </w:rPr>
              <w:t>Audit, People and Compensation, Nominating</w:t>
            </w:r>
          </w:p>
        </w:tc>
      </w:tr>
      <w:tr>
        <w:trPr>
          <w:trHeight w:val="230"/>
        </w:trPr>
        <w:tc>
          <w:tcPr>
            <w:tcW w:w="4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Phillip E. Cohen (Executive Chairman)</w:t>
            </w: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74</w:t>
            </w:r>
          </w:p>
        </w:tc>
        <w:tc>
          <w:tcPr>
            <w:tcW w:w="100" w:type="dxa"/>
            <w:vAlign w:val="bottom"/>
            <w:shd w:val="clear" w:color="auto" w:fill="BFE4FF"/>
          </w:tcPr>
          <w:p>
            <w:pPr>
              <w:spacing w:after="0"/>
              <w:rPr>
                <w:sz w:val="19"/>
                <w:szCs w:val="19"/>
                <w:color w:val="auto"/>
              </w:rPr>
            </w:pPr>
          </w:p>
        </w:tc>
        <w:tc>
          <w:tcPr>
            <w:tcW w:w="6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Jason A. Kulas</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29"/>
        </w:trPr>
        <w:tc>
          <w:tcPr>
            <w:tcW w:w="40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Pablo Lagos Espinosa</w:t>
            </w:r>
          </w:p>
        </w:tc>
        <w:tc>
          <w:tcPr>
            <w:tcW w:w="9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BFE4FF"/>
          </w:tcPr>
          <w:p>
            <w:pPr>
              <w:spacing w:after="0"/>
              <w:rPr>
                <w:sz w:val="19"/>
                <w:szCs w:val="19"/>
                <w:color w:val="auto"/>
              </w:rPr>
            </w:pPr>
          </w:p>
        </w:tc>
        <w:tc>
          <w:tcPr>
            <w:tcW w:w="6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Audit, People and Compensation (Chair), Nominating</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Gary L. Tillett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6"/>
                <w:szCs w:val="16"/>
                <w:color w:val="auto"/>
              </w:rPr>
              <w:t>Audit (Chair), People and Compensation, Nominating</w:t>
            </w:r>
          </w:p>
        </w:tc>
      </w:tr>
    </w:tbl>
    <w:p>
      <w:pPr>
        <w:spacing w:after="0" w:line="23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have demonstrated notable or significant achievements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29" w:lineRule="exact"/>
        <w:rPr>
          <w:sz w:val="20"/>
          <w:szCs w:val="20"/>
          <w:color w:val="auto"/>
        </w:rPr>
      </w:pPr>
    </w:p>
    <w:p>
      <w:pPr>
        <w:ind w:left="660" w:right="80" w:hanging="328"/>
        <w:spacing w:after="0" w:line="281" w:lineRule="auto"/>
        <w:tabs>
          <w:tab w:leader="none" w:pos="669"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Leadership Experience </w:t>
      </w:r>
      <w:r>
        <w:rPr>
          <w:rFonts w:ascii="Arial" w:cs="Arial" w:eastAsia="Arial" w:hAnsi="Arial"/>
          <w:sz w:val="17"/>
          <w:szCs w:val="17"/>
          <w:color w:val="auto"/>
        </w:rPr>
        <w:t>— Our directors should demonstrate extraordinary leadership qualities. Strong leaders bring vision,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10"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w:t>
      </w:r>
      <w:r>
        <w:rPr>
          <w:rFonts w:ascii="Arial" w:cs="Arial" w:eastAsia="Arial" w:hAnsi="Arial"/>
          <w:sz w:val="18"/>
          <w:szCs w:val="18"/>
          <w:color w:val="auto"/>
        </w:rPr>
        <w:t>— 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w:t>
      </w:r>
      <w:r>
        <w:rPr>
          <w:rFonts w:ascii="Arial" w:cs="Arial" w:eastAsia="Arial" w:hAnsi="Arial"/>
          <w:sz w:val="18"/>
          <w:szCs w:val="18"/>
          <w:color w:val="auto"/>
        </w:rPr>
        <w:t>— Our directors should have business experience that is relevant to our strategic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25" w:lineRule="exact"/>
        <w:rPr>
          <w:rFonts w:ascii="Arial" w:cs="Arial" w:eastAsia="Arial" w:hAnsi="Arial"/>
          <w:sz w:val="18"/>
          <w:szCs w:val="18"/>
          <w:color w:val="auto"/>
        </w:rPr>
      </w:pPr>
    </w:p>
    <w:p>
      <w:pPr>
        <w:ind w:left="660" w:right="140" w:hanging="328"/>
        <w:spacing w:after="0" w:line="282"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legislative, judicial or regulatory branches of government or government relations.</w:t>
      </w:r>
    </w:p>
    <w:p>
      <w:pPr>
        <w:spacing w:after="0" w:line="10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 xml:space="preserve">Biographical Information </w:t>
      </w:r>
      <w:r>
        <w:rPr>
          <w:rFonts w:ascii="Arial" w:cs="Arial" w:eastAsia="Arial" w:hAnsi="Arial"/>
          <w:sz w:val="18"/>
          <w:szCs w:val="18"/>
          <w:color w:val="auto"/>
        </w:rPr>
        <w:t>— Set forth below is current biographical information about our directors, including the qualifications,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skills that make them suitable for service as a director.</w:t>
      </w:r>
    </w:p>
    <w:p>
      <w:pPr>
        <w:spacing w:after="0" w:line="108" w:lineRule="exact"/>
        <w:rPr>
          <w:sz w:val="20"/>
          <w:szCs w:val="20"/>
          <w:color w:val="auto"/>
        </w:rPr>
      </w:pPr>
    </w:p>
    <w:p>
      <w:pPr>
        <w:ind w:left="660" w:right="60" w:hanging="328"/>
        <w:spacing w:after="0" w:line="253" w:lineRule="auto"/>
        <w:tabs>
          <w:tab w:leader="none" w:pos="669"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Matthew W. Appel </w:t>
      </w:r>
      <w:r>
        <w:rPr>
          <w:rFonts w:ascii="Arial" w:cs="Arial" w:eastAsia="Arial" w:hAnsi="Arial"/>
          <w:sz w:val="18"/>
          <w:szCs w:val="18"/>
          <w:color w:val="auto"/>
        </w:rPr>
        <w:t>— Mr. Appel joined EZCORP as a director in January 2015. He is the Lead Independent Director (and,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Chair of the Nominating Committee) and is a member of the Audit Committee and the People and Compensation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He received an MBA in Accounting from the Rutgers University Graduate School of Business in 1977 and a Business Administration degree from Rutgers College in 1976. Mr. Appel is a Certified Public Accountant and a Certified Management Accountant.</w:t>
      </w:r>
    </w:p>
    <w:p>
      <w:pPr>
        <w:spacing w:after="0" w:line="153" w:lineRule="exact"/>
        <w:rPr>
          <w:rFonts w:ascii="Arial" w:cs="Arial" w:eastAsia="Arial" w:hAnsi="Arial"/>
          <w:sz w:val="18"/>
          <w:szCs w:val="18"/>
          <w:color w:val="auto"/>
        </w:rPr>
      </w:pPr>
    </w:p>
    <w:p>
      <w:pPr>
        <w:ind w:left="660" w:right="340"/>
        <w:spacing w:after="0" w:line="256" w:lineRule="auto"/>
        <w:rPr>
          <w:rFonts w:ascii="Arial" w:cs="Arial" w:eastAsia="Arial" w:hAnsi="Arial"/>
          <w:sz w:val="18"/>
          <w:szCs w:val="18"/>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328"/>
        <w:spacing w:after="0" w:line="253" w:lineRule="auto"/>
        <w:tabs>
          <w:tab w:leader="none" w:pos="669"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Zena Srivatsa Arnold </w:t>
      </w:r>
      <w:r>
        <w:rPr>
          <w:rFonts w:ascii="Arial" w:cs="Arial" w:eastAsia="Arial" w:hAnsi="Arial"/>
          <w:sz w:val="18"/>
          <w:szCs w:val="18"/>
          <w:color w:val="auto"/>
        </w:rPr>
        <w:t>— Ms. Arnold has been a director since May 2019. She is a member of the Audit Committee, the People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the Nominating Committee. Ms. Arnold has over 15 years of experience in marketing, brand management, strategy development and business operations. She serves as the Chief Digital and Marketing Officer of Kimberly-Clark Corporation, a global personal care and consumer products company. Prior to joining Kimberly-Clark in April 2020, she spent almost six years with Google, serving as Global Head of Growth for Chromebook (May 2019 to March 2020);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Ms. Arnold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 Ms. Arnold received a Bachelor of Science degree in Computer Science, with a minor in Business Marketing, from The Ohio State University. She was recognized in 2014 as one of Brand Innovators “40 Under 40,” and has received numerous other professional awards and recognitions.</w:t>
      </w:r>
    </w:p>
    <w:p>
      <w:pPr>
        <w:spacing w:after="0" w:line="151" w:lineRule="exact"/>
        <w:rPr>
          <w:rFonts w:ascii="Arial" w:cs="Arial" w:eastAsia="Arial" w:hAnsi="Arial"/>
          <w:sz w:val="18"/>
          <w:szCs w:val="18"/>
          <w:i w:val="1"/>
          <w:iCs w:val="1"/>
          <w:color w:val="auto"/>
        </w:rPr>
      </w:pPr>
    </w:p>
    <w:p>
      <w:pPr>
        <w:ind w:left="660" w:right="700"/>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Director qualifications: leadership, executive management experience; broad business and strategically relevant experience; experience in developing growth strategies.</w:t>
      </w:r>
    </w:p>
    <w:p>
      <w:pPr>
        <w:spacing w:after="0" w:line="125" w:lineRule="exact"/>
        <w:rPr>
          <w:rFonts w:ascii="Arial" w:cs="Arial" w:eastAsia="Arial" w:hAnsi="Arial"/>
          <w:sz w:val="18"/>
          <w:szCs w:val="18"/>
          <w:i w:val="1"/>
          <w:iCs w:val="1"/>
          <w:color w:val="auto"/>
        </w:rPr>
      </w:pPr>
    </w:p>
    <w:p>
      <w:pPr>
        <w:ind w:left="660" w:hanging="328"/>
        <w:spacing w:after="0" w:line="254" w:lineRule="auto"/>
        <w:tabs>
          <w:tab w:leader="none" w:pos="669"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Phillip E. Cohen </w:t>
      </w:r>
      <w:r>
        <w:rPr>
          <w:rFonts w:ascii="Arial" w:cs="Arial" w:eastAsia="Arial" w:hAnsi="Arial"/>
          <w:sz w:val="18"/>
          <w:szCs w:val="18"/>
          <w:color w:val="auto"/>
        </w:rPr>
        <w:t>— Mr. Cohen has been a member of the Board of Directors and the Executive Chairman since September 2019. He</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an owner of, and advisor to, the Company for over 30 years. He acquired the Company in 1989 and took it public in 1991 with an initial public offering of Class A Non-Voting Common Stock. Mr. Cohen has over 40 years of investment banking and financial advisory experience with a variety of firms, including Kuhn Loeb &amp; Co. Incorporated (1973-1977), Lehman Brothers Kuhn Loeb Incorporated (1977-1979), The First Boston Corporation (1980), Oppenheimer &amp; Co, Inc. (1980-1984), Morgan Schiff &amp; Co., Inc. (1984-Present) and Madison Park LLC (2004 to Present). Mr. Cohen received a Bachelor of Commerce degree from the University of Melbourne and a Masters of Business Administration from Harvard University. Mr. Cohen is the sole stockholder of MS Pawn Corporation, which is the general partner of MS Pawn Limited Partnership, the owner of 100% of the outstanding shares of our Class B Voting Common Stock.</w:t>
      </w:r>
    </w:p>
    <w:p>
      <w:pPr>
        <w:spacing w:after="0" w:line="152" w:lineRule="exact"/>
        <w:rPr>
          <w:rFonts w:ascii="Arial" w:cs="Arial" w:eastAsia="Arial" w:hAnsi="Arial"/>
          <w:sz w:val="18"/>
          <w:szCs w:val="18"/>
          <w:color w:val="auto"/>
        </w:rPr>
      </w:pPr>
    </w:p>
    <w:p>
      <w:pPr>
        <w:ind w:left="660" w:right="280"/>
        <w:spacing w:after="0" w:line="278" w:lineRule="auto"/>
        <w:rPr>
          <w:rFonts w:ascii="Arial" w:cs="Arial" w:eastAsia="Arial" w:hAnsi="Arial"/>
          <w:sz w:val="18"/>
          <w:szCs w:val="18"/>
          <w:color w:val="auto"/>
        </w:rPr>
      </w:pPr>
      <w:r>
        <w:rPr>
          <w:rFonts w:ascii="Arial" w:cs="Arial" w:eastAsia="Arial" w:hAnsi="Arial"/>
          <w:sz w:val="17"/>
          <w:szCs w:val="17"/>
          <w:color w:val="auto"/>
        </w:rPr>
        <w:t>Director qualifications: leadership; broad business and strategically relevant experience; retail management experience; financial experience; international experience and global perspective; industry knowledge; experience in developing growth strategies. Further, Mr. Cohen has deep knowledge of the Company and its opportunities and challenges spanning multiple economic cycles.</w:t>
      </w:r>
    </w:p>
    <w:p>
      <w:pPr>
        <w:spacing w:after="0" w:line="112" w:lineRule="exact"/>
        <w:rPr>
          <w:rFonts w:ascii="Arial" w:cs="Arial" w:eastAsia="Arial" w:hAnsi="Arial"/>
          <w:sz w:val="18"/>
          <w:szCs w:val="18"/>
          <w:color w:val="auto"/>
        </w:rPr>
      </w:pPr>
    </w:p>
    <w:p>
      <w:pPr>
        <w:ind w:left="660" w:right="80" w:hanging="328"/>
        <w:spacing w:after="0" w:line="258" w:lineRule="auto"/>
        <w:tabs>
          <w:tab w:leader="none" w:pos="669"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Jason A. Kulas </w:t>
      </w:r>
      <w:r>
        <w:rPr>
          <w:rFonts w:ascii="Arial" w:cs="Arial" w:eastAsia="Arial" w:hAnsi="Arial"/>
          <w:sz w:val="18"/>
          <w:szCs w:val="18"/>
          <w:color w:val="auto"/>
        </w:rPr>
        <w:t>— Mr. Kulas is our Chief Executive Officer, having been promoted into that position in July 2020 after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February 2020 as President and Chief Financial Officer. He first became associated with the Company in April 2019 when he was appointed as an independent member of the Board of Directors. While an independent director, he served on the Audit Committee and the Nominating Committee. Mr. Kulas resigned from the Board of Directors when he joined the Company as an executive in February 2020, and was reappointed to the Board in connection with his appointment as Chief Executive Officer.</w:t>
      </w:r>
    </w:p>
    <w:p>
      <w:pPr>
        <w:spacing w:after="0" w:line="147" w:lineRule="exact"/>
        <w:rPr>
          <w:rFonts w:ascii="Arial" w:cs="Arial" w:eastAsia="Arial" w:hAnsi="Arial"/>
          <w:sz w:val="18"/>
          <w:szCs w:val="18"/>
          <w:i w:val="1"/>
          <w:iCs w:val="1"/>
          <w:color w:val="auto"/>
        </w:rPr>
      </w:pPr>
    </w:p>
    <w:p>
      <w:pPr>
        <w:ind w:left="660" w:right="6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Prior to joining the Company as an executive, Mr. Kulas spent over 25 years in financial analysis, investment banking and executive-level finance and operations roles with a variety of companies, most recently Santander Consumer USA Inc., a NYSE-listed auto finance company, where he served as Chief Executive Officer and a director from 2015 to 2017, President from 2013 to 2015, Chief Financial Officer from 2007 to 2015 and a director from 2007 to 2012. Prior to joining Santander Consumer USA, Mr. Kulas was a Managing Director in Investment Banking with J.P. Morgan Chase &amp; Co. (1995 to 2007), where he managed JPMorgan’s South Region investment banking office. He has also served as an Adjunct Professor of Marketing at Texas Christian University (1997 to 1999); Securities Analyst at William C. Connor Foundation – TCU Educational Investment Fund (1994 to 1995); and an intern and Financial Analyst at Dun &amp; Bradstreet (1993 to 1995). Mr. Kulas received an MBA with a concentration in Finance and Marketing from Texas Christian University in 1995 and a Bachelor of Arts degree from Southern Methodist University in 1993. He currently serves as Non-Executive Chairman of the Board of Cash Converters International Limited and as an advisor to Warburg Pincus International LLC. He has been involved in a variety of civic and philanthropic activities, including the Salesmanship Club of Dallas, Momentous Institute, Exchange Club of East Dallas, Dallas Citizens Council, Baylor Scott &amp; White Dallas Foundation and Art House Dallas.</w:t>
      </w:r>
    </w:p>
    <w:p>
      <w:pPr>
        <w:spacing w:after="0" w:line="155" w:lineRule="exact"/>
        <w:rPr>
          <w:rFonts w:ascii="Arial" w:cs="Arial" w:eastAsia="Arial" w:hAnsi="Arial"/>
          <w:sz w:val="18"/>
          <w:szCs w:val="18"/>
          <w:i w:val="1"/>
          <w:iCs w:val="1"/>
          <w:color w:val="auto"/>
        </w:rPr>
      </w:pPr>
    </w:p>
    <w:p>
      <w:pPr>
        <w:ind w:left="660" w:right="6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Director qualifications: leadership, chief executive officer, chief financial officer and executive management experience; broad business and strategically relevant experience; financial experience; experience in developing growth strategies; personnel development.</w:t>
      </w:r>
    </w:p>
    <w:p>
      <w:pPr>
        <w:spacing w:after="0" w:line="129" w:lineRule="exact"/>
        <w:rPr>
          <w:rFonts w:ascii="Arial" w:cs="Arial" w:eastAsia="Arial" w:hAnsi="Arial"/>
          <w:sz w:val="18"/>
          <w:szCs w:val="18"/>
          <w:i w:val="1"/>
          <w:iCs w:val="1"/>
          <w:color w:val="auto"/>
        </w:rPr>
      </w:pPr>
    </w:p>
    <w:p>
      <w:pPr>
        <w:ind w:left="660" w:right="60" w:hanging="328"/>
        <w:spacing w:after="0" w:line="258" w:lineRule="auto"/>
        <w:tabs>
          <w:tab w:leader="none" w:pos="669"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Pablo Lagos Espinosa </w:t>
      </w:r>
      <w:r>
        <w:rPr>
          <w:rFonts w:ascii="Arial" w:cs="Arial" w:eastAsia="Arial" w:hAnsi="Arial"/>
          <w:sz w:val="18"/>
          <w:szCs w:val="18"/>
          <w:color w:val="auto"/>
        </w:rPr>
        <w:t>— Mr. Lagos joined EZCORP as a director in October 2010. He is Chair of the People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a member of the Audit Committee and Nominating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consultant in various private business ventures and has served as a keynote speaker on organizational leadership and management. He currently serves as Chairman of the board of Casa del Parque, a privately held enterprise focused on developing senior living residences in Mexico. He is also a member of the Mexican Advisory Board for Niagara Waters, a leading manufacturer of bottled water in the U.S. and Mexico. He received a Bachelor of Science degree in Industrial &amp; Systems Engineering from Instituto Technológico de Monterrey, Master of Science degrees in Industrial Engineering and Operations Research and an MBA from Stanford University.</w:t>
      </w:r>
    </w:p>
    <w:p>
      <w:pPr>
        <w:spacing w:after="0" w:line="154" w:lineRule="exact"/>
        <w:rPr>
          <w:sz w:val="20"/>
          <w:szCs w:val="20"/>
          <w:color w:val="auto"/>
        </w:rPr>
      </w:pPr>
    </w:p>
    <w:p>
      <w:pPr>
        <w:ind w:left="660" w:right="240"/>
        <w:spacing w:after="0" w:line="254" w:lineRule="auto"/>
        <w:rPr>
          <w:sz w:val="20"/>
          <w:szCs w:val="20"/>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sz w:val="20"/>
          <w:szCs w:val="20"/>
          <w:color w:val="auto"/>
        </w:rPr>
      </w:pPr>
    </w:p>
    <w:p>
      <w:pPr>
        <w:ind w:left="660" w:hanging="328"/>
        <w:spacing w:after="0" w:line="252" w:lineRule="auto"/>
        <w:tabs>
          <w:tab w:leader="none" w:pos="669"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Gary L. Tillett </w:t>
      </w:r>
      <w:r>
        <w:rPr>
          <w:rFonts w:ascii="Arial" w:cs="Arial" w:eastAsia="Arial" w:hAnsi="Arial"/>
          <w:sz w:val="18"/>
          <w:szCs w:val="18"/>
          <w:color w:val="auto"/>
        </w:rPr>
        <w:t>— Mr. Tillett has been a director since April 2019 and serves as Chair of the Audit Committee and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People and Compensation Committee and the Nominating Committee. He has more than 38 years of experience in public accounting and business management. He spent 31 years at 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 Mr. Tillett left PwC in 2014 to take the role of Executive Vice President and Chief Financial Officer of Walter Investment Management Corp., then a publicly traded independent originator and servicer of residential mortgage loans. Walter Investment Management Corp. initiated Chapter 11 bankruptcy proceedings in November 2017 and successfully completed a financial restructuring plan in February 2018 and changed its name to Ditech Holding Corp.. Mr. Tillett retired from his position in February 2018 after assisting with the development and execution of the financial restructuring plan. During early 2020 and for a significant portion of 2021, Mr. Tillett assisted a private mortgage servicing company in a financial consulting role. Mr. Tillett received an MBA from the Manchester Business School at the University of Manchester and a Bachelor of Science degree with an emphasis in Accounting from the University of Texas at Dallas. He is a Certified Public Accountant.</w:t>
      </w:r>
    </w:p>
    <w:p>
      <w:pPr>
        <w:spacing w:after="0" w:line="158" w:lineRule="exact"/>
        <w:rPr>
          <w:rFonts w:ascii="Arial" w:cs="Arial" w:eastAsia="Arial" w:hAnsi="Arial"/>
          <w:sz w:val="18"/>
          <w:szCs w:val="18"/>
          <w:color w:val="auto"/>
        </w:rPr>
      </w:pPr>
    </w:p>
    <w:p>
      <w:pPr>
        <w:ind w:left="660" w:right="340"/>
        <w:spacing w:after="0" w:line="261" w:lineRule="auto"/>
        <w:rPr>
          <w:rFonts w:ascii="Arial" w:cs="Arial" w:eastAsia="Arial" w:hAnsi="Arial"/>
          <w:sz w:val="18"/>
          <w:szCs w:val="18"/>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financial experience, including accounting, tax and financial reporting; personnel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 age and position of each of the persons serving as our executive officers as of November 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Age</w:t>
            </w:r>
          </w:p>
        </w:tc>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Title</w:t>
            </w:r>
          </w:p>
        </w:tc>
      </w:tr>
      <w:tr>
        <w:trPr>
          <w:trHeight w:val="37"/>
        </w:trPr>
        <w:tc>
          <w:tcPr>
            <w:tcW w:w="3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0" w:type="dxa"/>
            <w:vAlign w:val="bottom"/>
            <w:tcBorders>
              <w:top w:val="single" w:sz="8" w:color="auto"/>
            </w:tcBorders>
          </w:tcPr>
          <w:p>
            <w:pPr>
              <w:spacing w:after="0"/>
              <w:rPr>
                <w:sz w:val="3"/>
                <w:szCs w:val="3"/>
                <w:color w:val="auto"/>
              </w:rPr>
            </w:pPr>
          </w:p>
        </w:tc>
      </w:tr>
      <w:tr>
        <w:trPr>
          <w:trHeight w:val="230"/>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Phillip E. Cohen</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74</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Executive Chairman</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Jason A. Kulas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Strategy, M&amp;A and Funding Officer</w:t>
            </w: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John Blair Powell, Jr.</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President, Global Pawn</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Keith Robertson</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Information Officer</w:t>
            </w:r>
          </w:p>
        </w:tc>
      </w:tr>
      <w:tr>
        <w:trPr>
          <w:trHeight w:val="230"/>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Sunil Sajnani</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Audit and Loss Prevention Executive</w:t>
            </w: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Nicole Swies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Revenue and Operations Officer</w:t>
            </w:r>
          </w:p>
        </w:tc>
      </w:tr>
      <w:tr>
        <w:trPr>
          <w:trHeight w:val="230"/>
        </w:trPr>
        <w:tc>
          <w:tcPr>
            <w:tcW w:w="36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Lisa VanRoekel</w:t>
            </w: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shd w:val="clear" w:color="auto" w:fill="BFE4FF"/>
          </w:tcPr>
          <w:p>
            <w:pPr>
              <w:spacing w:after="0"/>
              <w:rPr>
                <w:sz w:val="19"/>
                <w:szCs w:val="19"/>
                <w:color w:val="auto"/>
              </w:rPr>
            </w:pPr>
          </w:p>
        </w:tc>
        <w:tc>
          <w:tcPr>
            <w:tcW w:w="62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Thomas H. Welch, Jr.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24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Set forth below is current biographical information about our executive officers, except for Mr. Cohen and Mr. Kulas, whose biographical information is included under “Board of Directors” above.</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Lachlan P. Given </w:t>
      </w:r>
      <w:r>
        <w:rPr>
          <w:rFonts w:ascii="Arial" w:cs="Arial" w:eastAsia="Arial" w:hAnsi="Arial"/>
          <w:sz w:val="18"/>
          <w:szCs w:val="18"/>
          <w:color w:val="auto"/>
        </w:rPr>
        <w:t>— Mr. Given is the Chief Strategy, M&amp;A and Funding Officer, having been appointed to that role in September 2020. He has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for overseeing the Company’s strategic planning; mergers, acquisitions and strategic investments; and capital market and institutional funding activities. From September 2019 to September 2020, he was the Chief M&amp;A and Strategic Funding Officer. He also served as a member of the Board of Directors from July 2014 to September 2019, holding the position of Non-Executive Chairman (July 2014 to August 2014), Executive Vice Chairman (August 2014 to February 2015) and Executive Chairman (February 2015 to September 2019). He also served on the Compensation Committee from July 2014 to April 2019. Mr. Given is the sole beneficial owner of LPG Limited (HK), 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business and financial advisory firm, and prior to assuming the role of Executive Vice Chairman of EZCORP, provided international financial and advisory services to a number of companies, including EZCORP from October 2012 to June 2014. Mr. Given has also served as a consultant to Madison Park LLC, which has, in the past, provided certain advisory services to the Company under a series of advisory services agreements. Madison Park is wholly owned by Phillip E. Cohen, who is the beneficial owner of all of our Class B Voting Common Stock. Mr. Given is also a director of The Farm Journal Corporation, a 134-year old pre-eminent U.S. agricultural media company; Senetas Corporation Limited (ASX: SEN), a developer and manufacturer of certified, defense-grade encryption solutions; and CANSTAR Pty Ltd, an Australian financial services ratings and research firm.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on the board of directors of Cash Converters International Limited and Rich Data Corporation PLC.</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Timothy K. Jugmans </w:t>
      </w:r>
      <w:r>
        <w:rPr>
          <w:rFonts w:ascii="Arial" w:cs="Arial" w:eastAsia="Arial" w:hAnsi="Arial"/>
          <w:sz w:val="18"/>
          <w:szCs w:val="18"/>
          <w:color w:val="auto"/>
        </w:rPr>
        <w:t>— Mr. Jugmans serves as Chief Financial Officer, having been appointed to that role in May 2021. He served as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September 2020 to May 2021. Prior to that, he served as Vice President, Treasury and M&amp;A since December 2016 and as a consultant to EZCORP performing similar duties since March 2015. From January 2015 to December 2016, Mr. Jugmans was a principal of Selene Partners Inc., a financial consulting firm providing strategic advice and other business services to a variety of clients, including the Company and Morgan Schiff &amp; Co., Inc. He served as the Chief Financial Officer of Morgan Schiff from April 2013 to December 2014, and was Chief Financial Officer of ShippingEasy, Inc. from July 2011 to April 2013. From April 2005 to June 2012, Mr. Jugmans was a Corporate Advisor at Lexicon Partners Pty Limited, an independent corporate advisory and consulting firm based in Sydney, Australia. He served in various analyst and senior analyst positions at boutique investment banks for seven years prior to that. Mr. Jugmans received a Bachelor of Business degree with a major in Finance and a minor in Mathematics from the University of Technology in Sydney. From April 2015 to April 2021, he served as a non-executive board member of Ratecity Pty Ltd., which operates one of Australia’s leading financial comparison sites.</w:t>
      </w:r>
    </w:p>
    <w:p>
      <w:pPr>
        <w:spacing w:after="0" w:line="13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John Blair Powell, Jr. </w:t>
      </w:r>
      <w:r>
        <w:rPr>
          <w:rFonts w:ascii="Arial" w:cs="Arial" w:eastAsia="Arial" w:hAnsi="Arial"/>
          <w:sz w:val="18"/>
          <w:szCs w:val="18"/>
          <w:color w:val="auto"/>
        </w:rPr>
        <w:t>— Mr. Powell serves as President, Global Pawn. He joined EZCORP in 1989 as a pawnbroker in Houston, Texas,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his 30+-year tenure at EZCORP, has held all field level positions, from store level to multi-unit management positions, including Regional Director of Operations. He moved into Operations at the Corporate Support Center in 2000 and was our top Operations Administration executive for the 13 years, most recently serving as Chief Customer Service Officer for Global Pawn. Mr. Powell was named President, US Pawn in September 2020 and was promoted to President, Global Pawn in October 2021. In that role, he has responsibility for store-level operations for all of the Company’s locations worldwide. Mr. Powell attended Sam Houston State University.</w:t>
      </w:r>
    </w:p>
    <w:p>
      <w:pPr>
        <w:spacing w:after="0" w:line="13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Keith Robertson </w:t>
      </w:r>
      <w:r>
        <w:rPr>
          <w:rFonts w:ascii="Arial" w:cs="Arial" w:eastAsia="Arial" w:hAnsi="Arial"/>
          <w:sz w:val="18"/>
          <w:szCs w:val="18"/>
          <w:color w:val="auto"/>
        </w:rPr>
        <w:t>— Mr. Robertson is our Chief Information Officer. He joined the Company in October 2018 as Senior Vice President, Global</w:t>
      </w:r>
      <w:r>
        <w:rPr>
          <w:rFonts w:ascii="Arial" w:cs="Arial" w:eastAsia="Arial" w:hAnsi="Arial"/>
          <w:sz w:val="18"/>
          <w:szCs w:val="18"/>
          <w:i w:val="1"/>
          <w:iCs w:val="1"/>
          <w:color w:val="auto"/>
        </w:rPr>
        <w:t xml:space="preserve"> </w:t>
      </w:r>
      <w:r>
        <w:rPr>
          <w:rFonts w:ascii="Arial" w:cs="Arial" w:eastAsia="Arial" w:hAnsi="Arial"/>
          <w:sz w:val="18"/>
          <w:szCs w:val="18"/>
          <w:color w:val="auto"/>
        </w:rPr>
        <w:t>IT and New Ventures, and was promoted to his current position in November 2019. Prior to joining the Company, he spent seven years at AIG, working on a global transformation of the IT systems, facilities and workforce. From 1989 until 2011, Mr. Robertson worked at EDS/HP, last serving as the Chief Operating Officer for the Financial Services division, where he led IT programs supporting Bank of America, American Express, State Farm and others. Mr. Robertson grew up in Scotland and attended Heriot-Watt University in Edinburgh, where he graduated with an Honors degree in Electrical and Electronic Engineering.</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Sunil Sajnani </w:t>
      </w:r>
      <w:r>
        <w:rPr>
          <w:rFonts w:ascii="Arial" w:cs="Arial" w:eastAsia="Arial" w:hAnsi="Arial"/>
          <w:sz w:val="17"/>
          <w:szCs w:val="17"/>
          <w:color w:val="auto"/>
        </w:rPr>
        <w:t>— Mr. Sajnani joined the Company in April 2020 and serves as Chief Audit and Loss Prevention Executive. Prior to joining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he spent six years at Santander Consumer USA in multiple leadership roles, initially as Chief Audit Executive and most recently as Executive Vice President, Head of Digital and Service for Others. Prior to Santander Consumer, Mr. Sajnani held a variety of management positions at Conn’s, Inc., most recently serving as the Head of Internal Audit, Enterprise Risk Management and Regulatory Compliance. He began his career with PricewaterhouseCoopers in Transaction Advisory Services, mainly serving large banks and specialty finance institutions. Mr. Sajnani received a bachelor’s degree in Financial Economics from the University of Michigan at Ann Arbor and a master’s degree in accounting from Eastern Michigan University. He is a Certified Public Accountant and a Certified Regulatory Compliance Manager.</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Nicole Swies — </w:t>
      </w:r>
      <w:r>
        <w:rPr>
          <w:rFonts w:ascii="Arial" w:cs="Arial" w:eastAsia="Arial" w:hAnsi="Arial"/>
          <w:sz w:val="18"/>
          <w:szCs w:val="18"/>
          <w:color w:val="auto"/>
        </w:rPr>
        <w:t>Ms. Swies is our Chief Revenue and Operations Officer, having been appointed to that position in September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2021, she was given the additional responsibility for overseeing global operations administration, marketing and the earning assets teams. Ms. Swies joined EZCORP in November 2002 as a Financial Analyst and has worked in various finance and analytics positions primarily supporting operations in the U.S. and Latin America pawn segments and the legacy Financial Services businesses. Ms. Swies is a member of the Community Advisory Council for the Ronald McDonald House Charities of Central Texas and serves on the finance committee of ConnectHer, a global non-profit organization dedicated to improving the lives of women and girls through projects, stories and film. She earned her Bachelor of Business Administration in finance from the University of Texas at Austin.</w:t>
      </w:r>
    </w:p>
    <w:p>
      <w:pPr>
        <w:spacing w:after="0" w:line="13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i w:val="1"/>
          <w:iCs w:val="1"/>
          <w:color w:val="auto"/>
        </w:rPr>
        <w:t xml:space="preserve">Lisa VanRoekel </w:t>
      </w:r>
      <w:r>
        <w:rPr>
          <w:rFonts w:ascii="Arial" w:cs="Arial" w:eastAsia="Arial" w:hAnsi="Arial"/>
          <w:sz w:val="17"/>
          <w:szCs w:val="17"/>
          <w:color w:val="auto"/>
        </w:rPr>
        <w:t>— Ms. VanRoekel is the Chief Human Resources Officer, having joined the Company in January 2021. Prior to joining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Ms. VanRoekel spent 19 years in expanding roles with Grupo Santander, one of the world’s largest international banks serving over 100 million customers with 187,000 employees. As an expert leading cultural change and innovative large-scale organizational transformation, Ms. VanRoekel led the Human Resources functions at Santander Digital (USA, Spain and UK), Santander Consumer USA and Santander Bank, N.A. Her most recent role with Grupo Santander was Group Vice President: Human Resources at Santander Digital, where she was responsible for successfully building digital and innovation talent across the U.S., Europe and Latin America. Prior to joining</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Grupo Santander, she was Director of Human Resources at Allied Riser Communications. Ms. VanRoekel holds B.S. and M.S. degrees in Journalism from Texas A &amp; M Commerce (formerly East Texas State University).</w:t>
      </w:r>
    </w:p>
    <w:p>
      <w:pPr>
        <w:spacing w:after="0" w:line="1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Thomas H. Welch, Jr. </w:t>
      </w:r>
      <w:r>
        <w:rPr>
          <w:rFonts w:ascii="Arial" w:cs="Arial" w:eastAsia="Arial" w:hAnsi="Arial"/>
          <w:sz w:val="17"/>
          <w:szCs w:val="17"/>
          <w:color w:val="auto"/>
        </w:rPr>
        <w:t>— Mr. Welch joined EZCORP in April 2009 as Senior Vice President, General Counsel and Secretary, with his title</w:t>
      </w:r>
      <w:r>
        <w:rPr>
          <w:rFonts w:ascii="Arial" w:cs="Arial" w:eastAsia="Arial" w:hAnsi="Arial"/>
          <w:sz w:val="17"/>
          <w:szCs w:val="17"/>
          <w:i w:val="1"/>
          <w:iCs w:val="1"/>
          <w:color w:val="auto"/>
        </w:rPr>
        <w:t xml:space="preserve"> </w:t>
      </w:r>
      <w:r>
        <w:rPr>
          <w:rFonts w:ascii="Arial" w:cs="Arial" w:eastAsia="Arial" w:hAnsi="Arial"/>
          <w:sz w:val="17"/>
          <w:szCs w:val="17"/>
          <w:color w:val="auto"/>
        </w:rPr>
        <w:t>changing to Chief Legal Officer and Secretary in May 2017.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w:t>
      </w:r>
    </w:p>
    <w:p>
      <w:pPr>
        <w:spacing w:after="0" w:line="3" w:lineRule="exact"/>
        <w:rPr>
          <w:sz w:val="20"/>
          <w:szCs w:val="20"/>
          <w:color w:val="auto"/>
        </w:rPr>
      </w:pPr>
    </w:p>
    <w:p>
      <w:pPr>
        <w:ind w:right="40" w:firstLine="8"/>
        <w:spacing w:after="0" w:line="256" w:lineRule="auto"/>
        <w:tabs>
          <w:tab w:leader="none" w:pos="1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Parsley Petroleum Company (predecessor to Pioneer Natural Resources Company), and previously was a shareholder with the law firm of Johnson &amp; Gibbs, P.C., Dallas, Texas. Mr. Welch received a Bachelor of Science degree in Management from Purdue University and a J.D. degree from the University of Texas at Austin.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84"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color w:val="auto"/>
        </w:rPr>
        <w:t>Based on written representations and a review of the relevant Forms 3, 4 and 5, during fiscal 2021 all persons subject to Section 16 of the Securities Exchange Act of 1934 with respect to EZCORP timely filed all reports required by Section 16(a) of the Securities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66"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 xml:space="preserve">Controlled Company Exemptions </w:t>
      </w:r>
      <w:r>
        <w:rPr>
          <w:rFonts w:ascii="Arial" w:cs="Arial" w:eastAsia="Arial" w:hAnsi="Arial"/>
          <w:sz w:val="18"/>
          <w:szCs w:val="18"/>
          <w:color w:val="auto"/>
        </w:rPr>
        <w:t>— The Nasdaq Listing Rules contain several corporate governance requirements for Nasdaq-listed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These requirements generally relate to the composition of the board and its committees. For example, the rules require the following:</w:t>
      </w:r>
    </w:p>
    <w:p>
      <w:pPr>
        <w:spacing w:after="0" w:line="14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hanging="328"/>
        <w:spacing w:after="0" w:line="291" w:lineRule="auto"/>
        <w:tabs>
          <w:tab w:leader="none" w:pos="669"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119" w:lineRule="exact"/>
        <w:rPr>
          <w:rFonts w:ascii="Arial" w:cs="Arial" w:eastAsia="Arial" w:hAnsi="Arial"/>
          <w:sz w:val="17"/>
          <w:szCs w:val="17"/>
          <w:color w:val="auto"/>
        </w:rPr>
      </w:pPr>
    </w:p>
    <w:p>
      <w:pPr>
        <w:ind w:left="660" w:right="640" w:hanging="328"/>
        <w:spacing w:after="0" w:line="261" w:lineRule="auto"/>
        <w:tabs>
          <w:tab w:leader="none" w:pos="6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w:t>
      </w:r>
    </w:p>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relied on the Controlled Company exemptions in the past, but is not currently relying on such exemptions. The controlling shareholder or the Board may implement changes in the future that would again require the Company to rely on the Controlled Company exemptions under the Nasdaq Listing Rules.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Committees of the Board of Directors — </w:t>
      </w:r>
      <w:r>
        <w:rPr>
          <w:rFonts w:ascii="Arial" w:cs="Arial" w:eastAsia="Arial" w:hAnsi="Arial"/>
          <w:sz w:val="17"/>
          <w:szCs w:val="17"/>
          <w:color w:val="auto"/>
        </w:rPr>
        <w:t>The Board of Directors maintains the following committees to assist it in its oversight responsibilities.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membership of each committee is indicated in the list of directors set forth under “Board of Directors” above.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100" w:hanging="328"/>
        <w:spacing w:after="0" w:line="256" w:lineRule="auto"/>
        <w:tabs>
          <w:tab w:leader="none" w:pos="669" w:val="left"/>
        </w:tabs>
        <w:numPr>
          <w:ilvl w:val="0"/>
          <w:numId w:val="4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 assists the Board in fulfilling its responsibility to provide oversight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reports and other disclosures provided to stockholders, the system of internal controls, the audit process and legal and ethical compliance. Its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and appraising our financial reporting activities and the accounting standards and principles followed. The Audit Committee also selects, engages, compensates and oversees our independent auditor and pre-approves all services to be performed by the independent auditing firm.</w:t>
      </w:r>
    </w:p>
    <w:p>
      <w:pPr>
        <w:spacing w:after="0" w:line="150" w:lineRule="exact"/>
        <w:rPr>
          <w:rFonts w:ascii="Arial" w:cs="Arial" w:eastAsia="Arial" w:hAnsi="Arial"/>
          <w:sz w:val="18"/>
          <w:szCs w:val="18"/>
          <w:b w:val="1"/>
          <w:bCs w:val="1"/>
          <w:color w:val="auto"/>
        </w:rPr>
      </w:pPr>
    </w:p>
    <w:p>
      <w:pPr>
        <w:ind w:left="660" w:right="2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Audit Committee has further responsibility for overseeing our risk management and compliance processes. In carrying out that responsibility, the Audit Committee ensures that adequate policies and procedures have been designed and implemented to (a) manage and monitor significant risks the Company faces, including financial, operational, security, IT and cybersecurity, legal, compliance and regulatory risks; and (b) assure compliance with all applicable laws and regulations, including data privacy requirements.</w:t>
      </w:r>
    </w:p>
    <w:p>
      <w:pPr>
        <w:spacing w:after="0" w:line="15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Audit Committee is comprised entirely of directors who satisfy the standards of independence described under “Part III, Item 13</w:t>
      </w:r>
    </w:p>
    <w:p>
      <w:pPr>
        <w:spacing w:after="0" w:line="9" w:lineRule="exact"/>
        <w:rPr>
          <w:rFonts w:ascii="Arial" w:cs="Arial" w:eastAsia="Arial" w:hAnsi="Arial"/>
          <w:sz w:val="18"/>
          <w:szCs w:val="18"/>
          <w:b w:val="1"/>
          <w:bCs w:val="1"/>
          <w:color w:val="auto"/>
        </w:rPr>
      </w:pPr>
    </w:p>
    <w:p>
      <w:pPr>
        <w:ind w:left="66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Tillett, Chair of the committee, and Mr. Appel are “financial experts” within the meaning of the current rules of the SEC.</w:t>
      </w:r>
    </w:p>
    <w:p>
      <w:pPr>
        <w:spacing w:after="0" w:line="131" w:lineRule="exact"/>
        <w:rPr>
          <w:rFonts w:ascii="Arial" w:cs="Arial" w:eastAsia="Arial" w:hAnsi="Arial"/>
          <w:sz w:val="18"/>
          <w:szCs w:val="18"/>
          <w:b w:val="1"/>
          <w:bCs w:val="1"/>
          <w:color w:val="auto"/>
        </w:rPr>
      </w:pPr>
    </w:p>
    <w:p>
      <w:pPr>
        <w:ind w:left="660" w:right="60" w:hanging="328"/>
        <w:spacing w:after="0" w:line="253" w:lineRule="auto"/>
        <w:tabs>
          <w:tab w:leader="none" w:pos="669"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People and Compensation Committee — </w:t>
      </w:r>
      <w:r>
        <w:rPr>
          <w:rFonts w:ascii="Arial" w:cs="Arial" w:eastAsia="Arial" w:hAnsi="Arial"/>
          <w:sz w:val="18"/>
          <w:szCs w:val="18"/>
          <w:color w:val="auto"/>
        </w:rPr>
        <w:t>The People and Compensation Committee has the primary responsibility of reviewing,</w:t>
      </w:r>
      <w:r>
        <w:rPr>
          <w:rFonts w:ascii="Arial" w:cs="Arial" w:eastAsia="Arial" w:hAnsi="Arial"/>
          <w:sz w:val="18"/>
          <w:szCs w:val="18"/>
          <w:i w:val="1"/>
          <w:iCs w:val="1"/>
          <w:color w:val="auto"/>
        </w:rPr>
        <w:t xml:space="preserve"> </w:t>
      </w:r>
      <w:r>
        <w:rPr>
          <w:rFonts w:ascii="Arial" w:cs="Arial" w:eastAsia="Arial" w:hAnsi="Arial"/>
          <w:sz w:val="18"/>
          <w:szCs w:val="18"/>
          <w:color w:val="auto"/>
        </w:rPr>
        <w:t>analyzing and (as appropriate) approving, on behalf of the Board, executive compensation and organizational development matters, and otherwise assisting the Board in its overall responsibility to enable the Company to attract, retain, develop and motivate qualified executives and employees who will contribute to our long-term success. Specific responsibilities and duties include assisting management and the Board in identifying, developing and evaluating potential candidates for senior executive positions; overseeing the development of succession plans for senior executive positions; reviewing and approving the amounts and types of compensation to be paid to our executive officers; reviewing and recommending to the full Board the amount and type of compensation to be paid to our non-employee directors; reviewing and approving, on behalf of the Board, all bonus and equity compensation to be paid to our other Team Members; and advising management with respect to the quality of the workforce to carry out our strategic goals. The People and Compensation Committee is comprised entirely of directors who satisfy the standards of independence described under “Part III, Item 13 — Certain Relationships and Related Transactions, and Director Independence — Director Independence.”</w:t>
      </w:r>
    </w:p>
    <w:p>
      <w:pPr>
        <w:spacing w:after="0" w:line="135" w:lineRule="exact"/>
        <w:rPr>
          <w:rFonts w:ascii="Arial" w:cs="Arial" w:eastAsia="Arial" w:hAnsi="Arial"/>
          <w:sz w:val="18"/>
          <w:szCs w:val="18"/>
          <w:color w:val="auto"/>
        </w:rPr>
      </w:pPr>
    </w:p>
    <w:p>
      <w:pPr>
        <w:ind w:left="660" w:right="120" w:hanging="328"/>
        <w:spacing w:after="0" w:line="255" w:lineRule="auto"/>
        <w:tabs>
          <w:tab w:leader="none" w:pos="669"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Nominating Committee — </w:t>
      </w:r>
      <w:r>
        <w:rPr>
          <w:rFonts w:ascii="Arial" w:cs="Arial" w:eastAsia="Arial" w:hAnsi="Arial"/>
          <w:sz w:val="18"/>
          <w:szCs w:val="18"/>
          <w:color w:val="auto"/>
        </w:rPr>
        <w:t>The Nominating Committee assists the Board with respect to the selection and nomination of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election or appointment to the Board, including making recommendations to the Board regarding the size and composition of the 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comprised entirely of directors who satisfy the standards of independence described under “Part III, Item 13 — Certain Relationships and Related Transactions, and Director Independence — Director Independence.”</w:t>
      </w:r>
    </w:p>
    <w:p>
      <w:pPr>
        <w:spacing w:after="0" w:line="14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Each of three standing committees is governed by a written charter, a copy of which can be found in the Investor Relations section of our website at www.ezcorp.com.</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Meetings and Attendance </w:t>
      </w:r>
      <w:r>
        <w:rPr>
          <w:rFonts w:ascii="Arial" w:cs="Arial" w:eastAsia="Arial" w:hAnsi="Arial"/>
          <w:sz w:val="18"/>
          <w:szCs w:val="18"/>
          <w:color w:val="auto"/>
        </w:rPr>
        <w:t>— The following table sets forth the number of meetings held during fiscal 2021 by the Board of Directors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thereof, as well as the number of times during the year that action was taken by unanimous written consent. Our bylaws currently require the unanimous attendance of all directors in order for a quorum to be present at a meeting of the Board of Directors. In addition to the number of official Board meetings noted below, the independent directors held two other meetings that were not considered official meetings of the Board due to the absence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attended at least 75% of the meetings of the Board and of the committees on which they served.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2021</w:t>
            </w: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12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Meetings Held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Action by Unanimous</w:t>
            </w:r>
          </w:p>
        </w:tc>
        <w:tc>
          <w:tcPr>
            <w:tcW w:w="0" w:type="dxa"/>
            <w:vAlign w:val="bottom"/>
          </w:tcPr>
          <w:p>
            <w:pPr>
              <w:spacing w:after="0"/>
              <w:rPr>
                <w:sz w:val="1"/>
                <w:szCs w:val="1"/>
                <w:color w:val="auto"/>
              </w:rPr>
            </w:pPr>
          </w:p>
        </w:tc>
      </w:tr>
      <w:tr>
        <w:trPr>
          <w:trHeight w:val="175"/>
        </w:trPr>
        <w:tc>
          <w:tcPr>
            <w:tcW w:w="78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Written Consent</w:t>
            </w:r>
          </w:p>
        </w:tc>
        <w:tc>
          <w:tcPr>
            <w:tcW w:w="0" w:type="dxa"/>
            <w:vAlign w:val="bottom"/>
          </w:tcPr>
          <w:p>
            <w:pPr>
              <w:spacing w:after="0"/>
              <w:rPr>
                <w:sz w:val="1"/>
                <w:szCs w:val="1"/>
                <w:color w:val="auto"/>
              </w:rPr>
            </w:pPr>
          </w:p>
        </w:tc>
      </w:tr>
      <w:tr>
        <w:trPr>
          <w:trHeight w:val="34"/>
        </w:trPr>
        <w:tc>
          <w:tcPr>
            <w:tcW w:w="7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shd w:val="clear" w:color="auto" w:fill="BFE4FF"/>
          </w:tcPr>
          <w:p>
            <w:pPr>
              <w:ind w:left="20"/>
              <w:spacing w:after="0"/>
              <w:rPr>
                <w:sz w:val="20"/>
                <w:szCs w:val="20"/>
                <w:color w:val="auto"/>
              </w:rPr>
            </w:pPr>
            <w:r>
              <w:rPr>
                <w:rFonts w:ascii="Arial" w:cs="Arial" w:eastAsia="Arial" w:hAnsi="Arial"/>
                <w:sz w:val="18"/>
                <w:szCs w:val="18"/>
                <w:color w:val="auto"/>
              </w:rPr>
              <w:t>Board of Directors</w:t>
            </w:r>
          </w:p>
        </w:tc>
        <w:tc>
          <w:tcPr>
            <w:tcW w:w="1260" w:type="dxa"/>
            <w:vAlign w:val="bottom"/>
            <w:shd w:val="clear" w:color="auto" w:fill="BFE4FF"/>
          </w:tcPr>
          <w:p>
            <w:pPr>
              <w:jc w:val="center"/>
              <w:ind w:left="135"/>
              <w:spacing w:after="0"/>
              <w:rPr>
                <w:sz w:val="20"/>
                <w:szCs w:val="20"/>
                <w:color w:val="auto"/>
              </w:rPr>
            </w:pPr>
            <w:r>
              <w:rPr>
                <w:rFonts w:ascii="Arial" w:cs="Arial" w:eastAsia="Arial" w:hAnsi="Arial"/>
                <w:sz w:val="18"/>
                <w:szCs w:val="18"/>
                <w:color w:val="auto"/>
                <w:w w:val="99"/>
              </w:rPr>
              <w:t>11</w:t>
            </w:r>
          </w:p>
        </w:tc>
        <w:tc>
          <w:tcPr>
            <w:tcW w:w="2100" w:type="dxa"/>
            <w:vAlign w:val="bottom"/>
            <w:gridSpan w:val="3"/>
            <w:shd w:val="clear" w:color="auto" w:fill="BFE4FF"/>
          </w:tcPr>
          <w:p>
            <w:pPr>
              <w:jc w:val="center"/>
              <w:ind w:left="236"/>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1260" w:type="dxa"/>
            <w:vAlign w:val="bottom"/>
          </w:tcPr>
          <w:p>
            <w:pPr>
              <w:jc w:val="center"/>
              <w:ind w:left="155"/>
              <w:spacing w:after="0"/>
              <w:rPr>
                <w:sz w:val="20"/>
                <w:szCs w:val="20"/>
                <w:color w:val="auto"/>
              </w:rPr>
            </w:pPr>
            <w:r>
              <w:rPr>
                <w:rFonts w:ascii="Arial" w:cs="Arial" w:eastAsia="Arial" w:hAnsi="Arial"/>
                <w:sz w:val="18"/>
                <w:szCs w:val="18"/>
                <w:color w:val="auto"/>
                <w:w w:val="99"/>
              </w:rPr>
              <w:t>8</w:t>
            </w:r>
          </w:p>
        </w:tc>
        <w:tc>
          <w:tcPr>
            <w:tcW w:w="2100" w:type="dxa"/>
            <w:vAlign w:val="bottom"/>
            <w:gridSpan w:val="3"/>
          </w:tcPr>
          <w:p>
            <w:pPr>
              <w:jc w:val="center"/>
              <w:ind w:left="236"/>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7880" w:type="dxa"/>
            <w:vAlign w:val="bottom"/>
            <w:shd w:val="clear" w:color="auto" w:fill="BFE4FF"/>
          </w:tcPr>
          <w:p>
            <w:pPr>
              <w:ind w:left="20"/>
              <w:spacing w:after="0"/>
              <w:rPr>
                <w:sz w:val="20"/>
                <w:szCs w:val="20"/>
                <w:color w:val="auto"/>
              </w:rPr>
            </w:pPr>
            <w:r>
              <w:rPr>
                <w:rFonts w:ascii="Arial" w:cs="Arial" w:eastAsia="Arial" w:hAnsi="Arial"/>
                <w:sz w:val="18"/>
                <w:szCs w:val="18"/>
                <w:color w:val="auto"/>
              </w:rPr>
              <w:t>People and Compensation Committee</w:t>
            </w:r>
          </w:p>
        </w:tc>
        <w:tc>
          <w:tcPr>
            <w:tcW w:w="1260" w:type="dxa"/>
            <w:vAlign w:val="bottom"/>
            <w:shd w:val="clear" w:color="auto" w:fill="BFE4FF"/>
          </w:tcPr>
          <w:p>
            <w:pPr>
              <w:jc w:val="center"/>
              <w:ind w:left="135"/>
              <w:spacing w:after="0"/>
              <w:rPr>
                <w:sz w:val="20"/>
                <w:szCs w:val="20"/>
                <w:color w:val="auto"/>
              </w:rPr>
            </w:pPr>
            <w:r>
              <w:rPr>
                <w:rFonts w:ascii="Arial" w:cs="Arial" w:eastAsia="Arial" w:hAnsi="Arial"/>
                <w:sz w:val="18"/>
                <w:szCs w:val="18"/>
                <w:color w:val="auto"/>
                <w:w w:val="99"/>
              </w:rPr>
              <w:t>10</w:t>
            </w:r>
          </w:p>
        </w:tc>
        <w:tc>
          <w:tcPr>
            <w:tcW w:w="2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7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11. 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8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Compensation Discussion and Analysis describes our compensation practices and the executive compensation policies, decisions and actions of the People and Compensation Committee of our Board of Directors (the “Committee”). It focuses specifically on compensation earned during fiscal 2021 by the following individuals, referred to as our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37"/>
        </w:trPr>
        <w:tc>
          <w:tcPr>
            <w:tcW w:w="54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80" w:type="dxa"/>
            <w:vAlign w:val="bottom"/>
            <w:tcBorders>
              <w:top w:val="single" w:sz="8" w:color="auto"/>
            </w:tcBorders>
          </w:tcPr>
          <w:p>
            <w:pPr>
              <w:spacing w:after="0"/>
              <w:rPr>
                <w:sz w:val="3"/>
                <w:szCs w:val="3"/>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A. Kulas</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Philip E. Cohen</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Lachlan P. Given</w:t>
            </w:r>
          </w:p>
        </w:tc>
        <w:tc>
          <w:tcPr>
            <w:tcW w:w="5680" w:type="dxa"/>
            <w:vAlign w:val="bottom"/>
          </w:tcPr>
          <w:p>
            <w:pPr>
              <w:ind w:left="20"/>
              <w:spacing w:after="0"/>
              <w:rPr>
                <w:sz w:val="20"/>
                <w:szCs w:val="20"/>
                <w:color w:val="auto"/>
              </w:rPr>
            </w:pPr>
            <w:r>
              <w:rPr>
                <w:rFonts w:ascii="Arial" w:cs="Arial" w:eastAsia="Arial" w:hAnsi="Arial"/>
                <w:sz w:val="18"/>
                <w:szCs w:val="18"/>
                <w:color w:val="auto"/>
              </w:rPr>
              <w:t>Chief Strategy, M&amp;A and Funding Officer</w:t>
            </w: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Francisco J. Kuthy Saenger (1)</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Latin America Pawn</w:t>
            </w:r>
          </w:p>
        </w:tc>
      </w:tr>
    </w:tbl>
    <w:p>
      <w:pPr>
        <w:spacing w:after="0" w:line="153" w:lineRule="exact"/>
        <w:rPr>
          <w:sz w:val="20"/>
          <w:szCs w:val="20"/>
          <w:color w:val="auto"/>
        </w:rPr>
      </w:pPr>
    </w:p>
    <w:p>
      <w:pPr>
        <w:jc w:val="both"/>
        <w:ind w:left="340" w:right="200" w:hanging="332"/>
        <w:spacing w:after="0" w:line="249" w:lineRule="auto"/>
        <w:tabs>
          <w:tab w:leader="none" w:pos="352"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Kuthy served as an executive officer in the position indicated during all of fiscal 2021. Effective October 12, 2021, we realigned our executive management team and store operations into a Global Pawn organization, reporting to the President, Global Pawn. In connection with that realignment, Mr. Kuthy assumed the role of President, Mexico Pawn and is no longer an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Program Design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Philosophy and Goals </w:t>
      </w:r>
      <w:r>
        <w:rPr>
          <w:rFonts w:ascii="Arial" w:cs="Arial" w:eastAsia="Arial" w:hAnsi="Arial"/>
          <w:sz w:val="18"/>
          <w:szCs w:val="18"/>
          <w:color w:val="auto"/>
        </w:rPr>
        <w:t>— We have designed our executive compensation program to accomplish the following primary goals: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37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Attract and retain high performers</w:t>
            </w:r>
          </w:p>
        </w:tc>
        <w:tc>
          <w:tcPr>
            <w:tcW w:w="4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Compensation is competitive to attract and retain high performers</w:t>
            </w:r>
          </w:p>
        </w:tc>
        <w:tc>
          <w:tcPr>
            <w:tcW w:w="0" w:type="dxa"/>
            <w:vAlign w:val="bottom"/>
          </w:tcPr>
          <w:p>
            <w:pPr>
              <w:spacing w:after="0"/>
              <w:rPr>
                <w:sz w:val="1"/>
                <w:szCs w:val="1"/>
                <w:color w:val="auto"/>
              </w:rPr>
            </w:pPr>
          </w:p>
        </w:tc>
      </w:tr>
      <w:tr>
        <w:trPr>
          <w:trHeight w:val="338"/>
        </w:trPr>
        <w:tc>
          <w:tcPr>
            <w:tcW w:w="3760" w:type="dxa"/>
            <w:vAlign w:val="bottom"/>
            <w:shd w:val="clear" w:color="auto" w:fill="CCEEFF"/>
          </w:tcPr>
          <w:p>
            <w:pPr>
              <w:spacing w:after="0"/>
              <w:rPr>
                <w:sz w:val="24"/>
                <w:szCs w:val="24"/>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When performance objectives are achieved, resulting pay is competitive with market</w:t>
            </w:r>
          </w:p>
        </w:tc>
        <w:tc>
          <w:tcPr>
            <w:tcW w:w="0" w:type="dxa"/>
            <w:vAlign w:val="bottom"/>
          </w:tcPr>
          <w:p>
            <w:pPr>
              <w:spacing w:after="0"/>
              <w:rPr>
                <w:sz w:val="1"/>
                <w:szCs w:val="1"/>
                <w:color w:val="auto"/>
              </w:rPr>
            </w:pPr>
          </w:p>
        </w:tc>
      </w:tr>
      <w:tr>
        <w:trPr>
          <w:trHeight w:val="296"/>
        </w:trPr>
        <w:tc>
          <w:tcPr>
            <w:tcW w:w="3760" w:type="dxa"/>
            <w:vAlign w:val="bottom"/>
            <w:shd w:val="clear" w:color="auto" w:fill="CCEEFF"/>
          </w:tcPr>
          <w:p>
            <w:pPr>
              <w:spacing w:after="0"/>
              <w:rPr>
                <w:sz w:val="24"/>
                <w:szCs w:val="24"/>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When performance is outstanding and exceeds performance objectives, resulting pay is</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positioned above, and potentially near the top of, the market</w:t>
            </w:r>
          </w:p>
        </w:tc>
        <w:tc>
          <w:tcPr>
            <w:tcW w:w="0" w:type="dxa"/>
            <w:vAlign w:val="bottom"/>
          </w:tcPr>
          <w:p>
            <w:pPr>
              <w:spacing w:after="0"/>
              <w:rPr>
                <w:sz w:val="1"/>
                <w:szCs w:val="1"/>
                <w:color w:val="auto"/>
              </w:rPr>
            </w:pPr>
          </w:p>
        </w:tc>
      </w:tr>
      <w:tr>
        <w:trPr>
          <w:trHeight w:val="232"/>
        </w:trPr>
        <w:tc>
          <w:tcPr>
            <w:tcW w:w="3760" w:type="dxa"/>
            <w:vAlign w:val="bottom"/>
          </w:tcPr>
          <w:p>
            <w:pPr>
              <w:ind w:left="540"/>
              <w:spacing w:after="0"/>
              <w:rPr>
                <w:sz w:val="20"/>
                <w:szCs w:val="20"/>
                <w:color w:val="auto"/>
              </w:rPr>
            </w:pPr>
            <w:r>
              <w:rPr>
                <w:rFonts w:ascii="Arial" w:cs="Arial" w:eastAsia="Arial" w:hAnsi="Arial"/>
                <w:sz w:val="18"/>
                <w:szCs w:val="18"/>
                <w:b w:val="1"/>
                <w:bCs w:val="1"/>
                <w:color w:val="auto"/>
              </w:rPr>
              <w:t>Pay for performance</w:t>
            </w: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7060" w:type="dxa"/>
            <w:vAlign w:val="bottom"/>
            <w:vMerge w:val="restart"/>
          </w:tcPr>
          <w:p>
            <w:pPr>
              <w:ind w:left="60"/>
              <w:spacing w:after="0"/>
              <w:rPr>
                <w:sz w:val="20"/>
                <w:szCs w:val="20"/>
                <w:color w:val="auto"/>
              </w:rPr>
            </w:pPr>
            <w:r>
              <w:rPr>
                <w:rFonts w:ascii="Arial" w:cs="Arial" w:eastAsia="Arial" w:hAnsi="Arial"/>
                <w:sz w:val="18"/>
                <w:szCs w:val="18"/>
                <w:color w:val="auto"/>
              </w:rPr>
              <w:t>The majority of compensation is performance-based (short-and long-term)</w:t>
            </w:r>
          </w:p>
        </w:tc>
        <w:tc>
          <w:tcPr>
            <w:tcW w:w="0" w:type="dxa"/>
            <w:vAlign w:val="bottom"/>
          </w:tcPr>
          <w:p>
            <w:pPr>
              <w:spacing w:after="0"/>
              <w:rPr>
                <w:sz w:val="1"/>
                <w:szCs w:val="1"/>
                <w:color w:val="auto"/>
              </w:rPr>
            </w:pPr>
          </w:p>
        </w:tc>
      </w:tr>
      <w:tr>
        <w:trPr>
          <w:trHeight w:val="153"/>
        </w:trPr>
        <w:tc>
          <w:tcPr>
            <w:tcW w:w="37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3760" w:type="dxa"/>
            <w:vAlign w:val="bottom"/>
          </w:tcPr>
          <w:p>
            <w:pPr>
              <w:spacing w:after="0"/>
              <w:rPr>
                <w:sz w:val="24"/>
                <w:szCs w:val="24"/>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7060" w:type="dxa"/>
            <w:vAlign w:val="bottom"/>
          </w:tcPr>
          <w:p>
            <w:pPr>
              <w:ind w:left="60"/>
              <w:spacing w:after="0"/>
              <w:rPr>
                <w:sz w:val="20"/>
                <w:szCs w:val="20"/>
                <w:color w:val="auto"/>
              </w:rPr>
            </w:pPr>
            <w:r>
              <w:rPr>
                <w:rFonts w:ascii="Arial" w:cs="Arial" w:eastAsia="Arial" w:hAnsi="Arial"/>
                <w:sz w:val="18"/>
                <w:szCs w:val="18"/>
                <w:color w:val="auto"/>
              </w:rPr>
              <w:t>These performance-based incentives are tied to the achievement of financial and</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strategic objectives, recognizing company-wide and individual performance</w:t>
            </w:r>
          </w:p>
        </w:tc>
        <w:tc>
          <w:tcPr>
            <w:tcW w:w="0" w:type="dxa"/>
            <w:vAlign w:val="bottom"/>
          </w:tcPr>
          <w:p>
            <w:pPr>
              <w:spacing w:after="0"/>
              <w:rPr>
                <w:sz w:val="1"/>
                <w:szCs w:val="1"/>
                <w:color w:val="auto"/>
              </w:rPr>
            </w:pPr>
          </w:p>
        </w:tc>
      </w:tr>
      <w:tr>
        <w:trPr>
          <w:trHeight w:val="232"/>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Shareholder alignment</w:t>
            </w:r>
          </w:p>
        </w:tc>
        <w:tc>
          <w:tcPr>
            <w:tcW w:w="420" w:type="dxa"/>
            <w:vAlign w:val="bottom"/>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0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The value of equity awards is dependent on our stock performance and the</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7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achievement of objective financial goals</w:t>
            </w:r>
          </w:p>
        </w:tc>
        <w:tc>
          <w:tcPr>
            <w:tcW w:w="0" w:type="dxa"/>
            <w:vAlign w:val="bottom"/>
          </w:tcPr>
          <w:p>
            <w:pPr>
              <w:spacing w:after="0"/>
              <w:rPr>
                <w:sz w:val="1"/>
                <w:szCs w:val="1"/>
                <w:color w:val="auto"/>
              </w:rPr>
            </w:pPr>
          </w:p>
        </w:tc>
      </w:tr>
      <w:tr>
        <w:trPr>
          <w:trHeight w:val="296"/>
        </w:trPr>
        <w:tc>
          <w:tcPr>
            <w:tcW w:w="3760" w:type="dxa"/>
            <w:vAlign w:val="bottom"/>
            <w:shd w:val="clear" w:color="auto" w:fill="CCEEFF"/>
          </w:tcPr>
          <w:p>
            <w:pPr>
              <w:spacing w:after="0"/>
              <w:rPr>
                <w:sz w:val="24"/>
                <w:szCs w:val="24"/>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Equity incentives will have the greatest weight in the mix of variable compensation for</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executives</w:t>
            </w:r>
          </w:p>
        </w:tc>
        <w:tc>
          <w:tcPr>
            <w:tcW w:w="0" w:type="dxa"/>
            <w:vAlign w:val="bottom"/>
          </w:tcPr>
          <w:p>
            <w:pPr>
              <w:spacing w:after="0"/>
              <w:rPr>
                <w:sz w:val="1"/>
                <w:szCs w:val="1"/>
                <w:color w:val="auto"/>
              </w:rPr>
            </w:pPr>
          </w:p>
        </w:tc>
      </w:tr>
      <w:tr>
        <w:trPr>
          <w:trHeight w:val="232"/>
        </w:trPr>
        <w:tc>
          <w:tcPr>
            <w:tcW w:w="3760" w:type="dxa"/>
            <w:vAlign w:val="bottom"/>
          </w:tcPr>
          <w:p>
            <w:pPr>
              <w:ind w:left="540"/>
              <w:spacing w:after="0"/>
              <w:rPr>
                <w:sz w:val="20"/>
                <w:szCs w:val="20"/>
                <w:color w:val="auto"/>
              </w:rPr>
            </w:pPr>
            <w:r>
              <w:rPr>
                <w:rFonts w:ascii="Arial" w:cs="Arial" w:eastAsia="Arial" w:hAnsi="Arial"/>
                <w:sz w:val="18"/>
                <w:szCs w:val="18"/>
                <w:b w:val="1"/>
                <w:bCs w:val="1"/>
                <w:color w:val="auto"/>
              </w:rPr>
              <w:t>Long-term commitment</w:t>
            </w: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7060" w:type="dxa"/>
            <w:vAlign w:val="bottom"/>
            <w:vMerge w:val="restart"/>
          </w:tcPr>
          <w:p>
            <w:pPr>
              <w:ind w:left="60"/>
              <w:spacing w:after="0"/>
              <w:rPr>
                <w:sz w:val="20"/>
                <w:szCs w:val="20"/>
                <w:color w:val="auto"/>
              </w:rPr>
            </w:pPr>
            <w:r>
              <w:rPr>
                <w:rFonts w:ascii="Arial" w:cs="Arial" w:eastAsia="Arial" w:hAnsi="Arial"/>
                <w:sz w:val="18"/>
                <w:szCs w:val="18"/>
                <w:color w:val="auto"/>
              </w:rPr>
              <w:t>Equity incentive awards vest over multiple years to align executives with the investment</w:t>
            </w:r>
          </w:p>
        </w:tc>
        <w:tc>
          <w:tcPr>
            <w:tcW w:w="0" w:type="dxa"/>
            <w:vAlign w:val="bottom"/>
          </w:tcPr>
          <w:p>
            <w:pPr>
              <w:spacing w:after="0"/>
              <w:rPr>
                <w:sz w:val="1"/>
                <w:szCs w:val="1"/>
                <w:color w:val="auto"/>
              </w:rPr>
            </w:pPr>
          </w:p>
        </w:tc>
      </w:tr>
      <w:tr>
        <w:trPr>
          <w:trHeight w:val="111"/>
        </w:trPr>
        <w:tc>
          <w:tcPr>
            <w:tcW w:w="37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horizon of long-term shareholders</w:t>
            </w:r>
          </w:p>
        </w:tc>
        <w:tc>
          <w:tcPr>
            <w:tcW w:w="0" w:type="dxa"/>
            <w:vAlign w:val="bottom"/>
          </w:tcPr>
          <w:p>
            <w:pPr>
              <w:spacing w:after="0"/>
              <w:rPr>
                <w:sz w:val="1"/>
                <w:szCs w:val="1"/>
                <w:color w:val="auto"/>
              </w:rPr>
            </w:pPr>
          </w:p>
        </w:tc>
      </w:tr>
      <w:tr>
        <w:trPr>
          <w:trHeight w:val="338"/>
        </w:trPr>
        <w:tc>
          <w:tcPr>
            <w:tcW w:w="3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After vesting, executives are subject to stock ownership requirements</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These principles are reflected in the following best-practice features of our executive compensation program: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gridSpan w:val="2"/>
          </w:tcPr>
          <w:p>
            <w:pPr>
              <w:ind w:left="2300"/>
              <w:spacing w:after="0"/>
              <w:rPr>
                <w:sz w:val="20"/>
                <w:szCs w:val="20"/>
                <w:color w:val="auto"/>
              </w:rPr>
            </w:pPr>
            <w:r>
              <w:rPr>
                <w:rFonts w:ascii="Arial" w:cs="Arial" w:eastAsia="Arial" w:hAnsi="Arial"/>
                <w:sz w:val="16"/>
                <w:szCs w:val="16"/>
                <w:b w:val="1"/>
                <w:bCs w:val="1"/>
                <w:color w:val="auto"/>
              </w:rPr>
              <w:t>What We Do</w:t>
            </w:r>
          </w:p>
        </w:tc>
        <w:tc>
          <w:tcPr>
            <w:tcW w:w="5620" w:type="dxa"/>
            <w:vAlign w:val="bottom"/>
          </w:tcPr>
          <w:p>
            <w:pPr>
              <w:ind w:left="2120"/>
              <w:spacing w:after="0"/>
              <w:rPr>
                <w:sz w:val="20"/>
                <w:szCs w:val="20"/>
                <w:color w:val="auto"/>
              </w:rPr>
            </w:pPr>
            <w:r>
              <w:rPr>
                <w:rFonts w:ascii="Arial" w:cs="Arial" w:eastAsia="Arial" w:hAnsi="Arial"/>
                <w:sz w:val="16"/>
                <w:szCs w:val="16"/>
                <w:b w:val="1"/>
                <w:bCs w:val="1"/>
                <w:color w:val="auto"/>
              </w:rPr>
              <w:t>What We Don’t Do</w:t>
            </w:r>
          </w:p>
        </w:tc>
      </w:tr>
      <w:tr>
        <w:trPr>
          <w:trHeight w:val="37"/>
        </w:trPr>
        <w:tc>
          <w:tcPr>
            <w:tcW w:w="55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20" w:type="dxa"/>
            <w:vAlign w:val="bottom"/>
            <w:tcBorders>
              <w:top w:val="single" w:sz="8" w:color="auto"/>
            </w:tcBorders>
          </w:tcPr>
          <w:p>
            <w:pPr>
              <w:spacing w:after="0"/>
              <w:rPr>
                <w:sz w:val="3"/>
                <w:szCs w:val="3"/>
                <w:color w:val="auto"/>
              </w:rPr>
            </w:pPr>
          </w:p>
        </w:tc>
      </w:tr>
      <w:tr>
        <w:trPr>
          <w:trHeight w:val="230"/>
        </w:trPr>
        <w:tc>
          <w:tcPr>
            <w:tcW w:w="5620" w:type="dxa"/>
            <w:vAlign w:val="bottom"/>
            <w:gridSpan w:val="2"/>
            <w:shd w:val="clear" w:color="auto" w:fill="CCEEFF"/>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Emphasize performance-based variable pay</w:t>
            </w:r>
          </w:p>
        </w:tc>
        <w:tc>
          <w:tcPr>
            <w:tcW w:w="5620" w:type="dxa"/>
            <w:vAlign w:val="bottom"/>
            <w:shd w:val="clear" w:color="auto" w:fill="CCEEFF"/>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Generally no single trigger change-in-control payments</w:t>
            </w:r>
          </w:p>
        </w:tc>
      </w:tr>
      <w:tr>
        <w:trPr>
          <w:trHeight w:val="229"/>
        </w:trPr>
        <w:tc>
          <w:tcPr>
            <w:tcW w:w="562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Link 100% of equity incentive grants to performance goals</w:t>
            </w:r>
          </w:p>
        </w:tc>
        <w:tc>
          <w:tcPr>
            <w:tcW w:w="562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significant perquisites</w:t>
            </w:r>
          </w:p>
        </w:tc>
      </w:tr>
      <w:tr>
        <w:trPr>
          <w:trHeight w:val="230"/>
        </w:trPr>
        <w:tc>
          <w:tcPr>
            <w:tcW w:w="5620" w:type="dxa"/>
            <w:vAlign w:val="bottom"/>
            <w:gridSpan w:val="2"/>
            <w:shd w:val="clear" w:color="auto" w:fill="CCEEFF"/>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Require stock retention by executives and directors</w:t>
            </w:r>
          </w:p>
        </w:tc>
        <w:tc>
          <w:tcPr>
            <w:tcW w:w="5620" w:type="dxa"/>
            <w:vAlign w:val="bottom"/>
            <w:shd w:val="clear" w:color="auto" w:fill="CCEEFF"/>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 of Company stock</w:t>
            </w:r>
          </w:p>
        </w:tc>
      </w:tr>
      <w:tr>
        <w:trPr>
          <w:trHeight w:val="230"/>
        </w:trPr>
        <w:tc>
          <w:tcPr>
            <w:tcW w:w="562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 annual risk assessments</w:t>
            </w:r>
          </w:p>
        </w:tc>
        <w:tc>
          <w:tcPr>
            <w:tcW w:w="5620" w:type="dxa"/>
            <w:vAlign w:val="bottom"/>
          </w:tcPr>
          <w:p>
            <w:pPr>
              <w:spacing w:after="0"/>
              <w:rPr>
                <w:sz w:val="19"/>
                <w:szCs w:val="19"/>
                <w:color w:val="auto"/>
              </w:rPr>
            </w:pPr>
          </w:p>
        </w:tc>
      </w:tr>
      <w:tr>
        <w:trPr>
          <w:trHeight w:val="229"/>
        </w:trPr>
        <w:tc>
          <w:tcPr>
            <w:tcW w:w="5620" w:type="dxa"/>
            <w:vAlign w:val="bottom"/>
            <w:gridSpan w:val="2"/>
            <w:shd w:val="clear" w:color="auto" w:fill="CCEEFF"/>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Retain an independent compensation consultant</w:t>
            </w:r>
          </w:p>
        </w:tc>
        <w:tc>
          <w:tcPr>
            <w:tcW w:w="5620" w:type="dxa"/>
            <w:vAlign w:val="bottom"/>
            <w:shd w:val="clear" w:color="auto" w:fill="CCEEFF"/>
          </w:tcPr>
          <w:p>
            <w:pPr>
              <w:spacing w:after="0"/>
              <w:rPr>
                <w:sz w:val="19"/>
                <w:szCs w:val="19"/>
                <w:color w:val="auto"/>
              </w:rPr>
            </w:pPr>
          </w:p>
        </w:tc>
      </w:tr>
      <w:tr>
        <w:trPr>
          <w:trHeight w:val="283"/>
        </w:trPr>
        <w:tc>
          <w:tcPr>
            <w:tcW w:w="562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Maintain an incentive clawback policy</w:t>
            </w:r>
          </w:p>
        </w:tc>
        <w:tc>
          <w:tcPr>
            <w:tcW w:w="5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80"/>
        <w:spacing w:after="0" w:line="279" w:lineRule="auto"/>
        <w:rPr>
          <w:sz w:val="20"/>
          <w:szCs w:val="20"/>
          <w:color w:val="auto"/>
        </w:rPr>
      </w:pPr>
      <w:r>
        <w:rPr>
          <w:rFonts w:ascii="Arial" w:cs="Arial" w:eastAsia="Arial" w:hAnsi="Arial"/>
          <w:sz w:val="18"/>
          <w:szCs w:val="18"/>
          <w:i w:val="1"/>
          <w:iCs w:val="1"/>
          <w:color w:val="auto"/>
        </w:rPr>
        <w:t xml:space="preserve">Compensation 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direct” compensation is composed of four principal components, each one contributing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accomplishment of our compensation program goals:</w:t>
      </w:r>
    </w:p>
    <w:tbl>
      <w:tblPr>
        <w:tblLayout w:type="fixed"/>
        <w:tblInd w:w="0" w:type="dxa"/>
        <w:tblCellMar>
          <w:top w:w="0" w:type="dxa"/>
          <w:left w:w="0" w:type="dxa"/>
          <w:bottom w:w="0" w:type="dxa"/>
          <w:right w:w="0" w:type="dxa"/>
        </w:tblCellMar>
      </w:tblPr>
      <w:tr>
        <w:trPr>
          <w:trHeight w:val="149"/>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Compensation Component</w:t>
            </w:r>
          </w:p>
        </w:tc>
        <w:tc>
          <w:tcPr>
            <w:tcW w:w="28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194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rPr>
              <w:t>Attract and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Pay for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Shareholder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6"/>
        </w:trPr>
        <w:tc>
          <w:tcPr>
            <w:tcW w:w="2900" w:type="dxa"/>
            <w:vAlign w:val="bottom"/>
            <w:tcBorders>
              <w:bottom w:val="single" w:sz="8" w:color="auto"/>
            </w:tcBorders>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b w:val="1"/>
                <w:bCs w:val="1"/>
                <w:color w:val="auto"/>
              </w:rPr>
              <w:t>Retain</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Performance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Alignment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98030" cy="394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39433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Base salary</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Short-term incentives</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incentives</w:t>
      </w:r>
    </w:p>
    <w:p>
      <w:pPr>
        <w:spacing w:after="0" w:line="302" w:lineRule="exact"/>
        <w:rPr>
          <w:sz w:val="20"/>
          <w:szCs w:val="20"/>
          <w:color w:val="auto"/>
        </w:rPr>
      </w:pPr>
    </w:p>
    <w:p>
      <w:pPr>
        <w:ind w:left="20" w:right="80"/>
        <w:spacing w:after="0" w:line="268" w:lineRule="auto"/>
        <w:rPr>
          <w:sz w:val="20"/>
          <w:szCs w:val="20"/>
          <w:color w:val="auto"/>
        </w:rPr>
      </w:pPr>
      <w:r>
        <w:rPr>
          <w:rFonts w:ascii="Arial" w:cs="Arial" w:eastAsia="Arial" w:hAnsi="Arial"/>
          <w:sz w:val="16"/>
          <w:szCs w:val="16"/>
          <w:b w:val="1"/>
          <w:bCs w:val="1"/>
          <w:color w:val="auto"/>
        </w:rPr>
        <w:t>Executive retirement (US only)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A market-competitive salary to provide a fixed annual cash income</w:t>
      </w:r>
    </w:p>
    <w:p>
      <w:pPr>
        <w:spacing w:after="0" w:line="25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Annual cash incentive opportunity tied to an assessment of annual corporate and business unit financial performance, as well as individual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81280</wp:posOffset>
            </wp:positionV>
            <wp:extent cx="7098030" cy="394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394335"/>
                    </a:xfrm>
                    <a:prstGeom prst="rect">
                      <a:avLst/>
                    </a:prstGeom>
                    <a:noFill/>
                  </pic:spPr>
                </pic:pic>
              </a:graphicData>
            </a:graphic>
          </wp:anchor>
        </w:drawing>
      </w:r>
    </w:p>
    <w:p>
      <w:pPr>
        <w:spacing w:after="0" w:line="231" w:lineRule="exact"/>
        <w:rPr>
          <w:sz w:val="20"/>
          <w:szCs w:val="20"/>
          <w:color w:val="auto"/>
        </w:rPr>
      </w:pPr>
    </w:p>
    <w:p>
      <w:pPr>
        <w:ind w:right="380"/>
        <w:spacing w:after="0" w:line="242" w:lineRule="auto"/>
        <w:rPr>
          <w:sz w:val="20"/>
          <w:szCs w:val="20"/>
          <w:color w:val="auto"/>
        </w:rPr>
      </w:pPr>
      <w:r>
        <w:rPr>
          <w:rFonts w:ascii="Arial" w:cs="Arial" w:eastAsia="Arial" w:hAnsi="Arial"/>
          <w:sz w:val="16"/>
          <w:szCs w:val="16"/>
          <w:color w:val="auto"/>
        </w:rPr>
        <w:t>Equity incentive grants of performance-vested restricted stock units tied to achievement of earnings-based goals</w:t>
      </w:r>
    </w:p>
    <w:p>
      <w:pPr>
        <w:spacing w:after="0" w:line="250" w:lineRule="exact"/>
        <w:rPr>
          <w:sz w:val="20"/>
          <w:szCs w:val="20"/>
          <w:color w:val="auto"/>
        </w:rPr>
      </w:pPr>
    </w:p>
    <w:p>
      <w:pPr>
        <w:ind w:right="360"/>
        <w:spacing w:after="0" w:line="242" w:lineRule="auto"/>
        <w:rPr>
          <w:sz w:val="20"/>
          <w:szCs w:val="20"/>
          <w:color w:val="auto"/>
        </w:rPr>
      </w:pPr>
      <w:r>
        <w:rPr>
          <w:rFonts w:ascii="Arial" w:cs="Arial" w:eastAsia="Arial" w:hAnsi="Arial"/>
          <w:sz w:val="16"/>
          <w:szCs w:val="16"/>
          <w:color w:val="auto"/>
        </w:rPr>
        <w:t>Annual retirement plan contributions that vest over three years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200" w:lineRule="exact"/>
        <w:rPr>
          <w:sz w:val="20"/>
          <w:szCs w:val="20"/>
          <w:color w:val="auto"/>
        </w:rPr>
      </w:pPr>
    </w:p>
    <w:p>
      <w:pPr>
        <w:spacing w:after="0" w:line="332" w:lineRule="exact"/>
        <w:rPr>
          <w:sz w:val="20"/>
          <w:szCs w:val="20"/>
          <w:color w:val="auto"/>
        </w:rPr>
      </w:pPr>
    </w:p>
    <w:p>
      <w:pPr>
        <w:spacing w:after="0"/>
        <w:tabs>
          <w:tab w:leader="none" w:pos="1120" w:val="left"/>
          <w:tab w:leader="none" w:pos="2280" w:val="left"/>
        </w:tabs>
        <w:rPr>
          <w:sz w:val="20"/>
          <w:szCs w:val="20"/>
          <w:color w:val="auto"/>
        </w:rPr>
      </w:pPr>
      <w:r>
        <w:rPr>
          <w:rFonts w:ascii="Arial" w:cs="Arial" w:eastAsia="Arial" w:hAnsi="Arial"/>
          <w:sz w:val="16"/>
          <w:szCs w:val="16"/>
          <w:color w:val="auto"/>
        </w:rPr>
        <w:t>ü</w:t>
      </w:r>
      <w:r>
        <w:rPr>
          <w:sz w:val="20"/>
          <w:szCs w:val="20"/>
          <w:color w:val="auto"/>
        </w:rPr>
        <w:tab/>
      </w:r>
      <w:r>
        <w:rPr>
          <w:rFonts w:ascii="Arial" w:cs="Arial" w:eastAsia="Arial" w:hAnsi="Arial"/>
          <w:sz w:val="16"/>
          <w:szCs w:val="16"/>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318" w:lineRule="exact"/>
        <w:rPr>
          <w:sz w:val="20"/>
          <w:szCs w:val="20"/>
          <w:color w:val="auto"/>
        </w:rPr>
      </w:pPr>
    </w:p>
    <w:p>
      <w:pPr>
        <w:spacing w:after="0"/>
        <w:tabs>
          <w:tab w:leader="none" w:pos="1120" w:val="left"/>
          <w:tab w:leader="none" w:pos="2280" w:val="left"/>
          <w:tab w:leader="none" w:pos="3460" w:val="left"/>
        </w:tabs>
        <w:rPr>
          <w:sz w:val="20"/>
          <w:szCs w:val="20"/>
          <w:color w:val="auto"/>
        </w:rPr>
      </w:pPr>
      <w:r>
        <w:rPr>
          <w:rFonts w:ascii="Arial" w:cs="Arial" w:eastAsia="Arial" w:hAnsi="Arial"/>
          <w:sz w:val="16"/>
          <w:szCs w:val="16"/>
          <w:color w:val="auto"/>
        </w:rPr>
        <w:t>ü</w:t>
      </w:r>
      <w:r>
        <w:rPr>
          <w:sz w:val="20"/>
          <w:szCs w:val="20"/>
          <w:color w:val="auto"/>
        </w:rPr>
        <w:tab/>
      </w:r>
      <w:r>
        <w:rPr>
          <w:rFonts w:ascii="Arial" w:cs="Arial" w:eastAsia="Arial" w:hAnsi="Arial"/>
          <w:sz w:val="16"/>
          <w:szCs w:val="16"/>
          <w:color w:val="auto"/>
        </w:rPr>
        <w:t>ü</w:t>
      </w:r>
      <w:r>
        <w:rPr>
          <w:sz w:val="20"/>
          <w:szCs w:val="20"/>
          <w:color w:val="auto"/>
        </w:rPr>
        <w:tab/>
      </w:r>
      <w:r>
        <w:rPr>
          <w:rFonts w:ascii="Arial" w:cs="Arial" w:eastAsia="Arial" w:hAnsi="Arial"/>
          <w:sz w:val="16"/>
          <w:szCs w:val="16"/>
          <w:color w:val="auto"/>
        </w:rPr>
        <w:t>ü</w:t>
      </w:r>
      <w:r>
        <w:rPr>
          <w:sz w:val="20"/>
          <w:szCs w:val="20"/>
          <w:color w:val="auto"/>
        </w:rPr>
        <w:tab/>
      </w:r>
      <w:r>
        <w:rPr>
          <w:rFonts w:ascii="Arial" w:cs="Arial" w:eastAsia="Arial" w:hAnsi="Arial"/>
          <w:sz w:val="14"/>
          <w:szCs w:val="14"/>
          <w:color w:val="auto"/>
        </w:rPr>
        <w:t>ü</w:t>
      </w:r>
    </w:p>
    <w:p>
      <w:pPr>
        <w:spacing w:after="0" w:line="200" w:lineRule="exact"/>
        <w:rPr>
          <w:sz w:val="20"/>
          <w:szCs w:val="20"/>
          <w:color w:val="auto"/>
        </w:rPr>
      </w:pPr>
    </w:p>
    <w:p>
      <w:pPr>
        <w:spacing w:after="0" w:line="237" w:lineRule="exact"/>
        <w:rPr>
          <w:sz w:val="20"/>
          <w:szCs w:val="20"/>
          <w:color w:val="auto"/>
        </w:rPr>
      </w:pPr>
    </w:p>
    <w:p>
      <w:pPr>
        <w:spacing w:after="0"/>
        <w:tabs>
          <w:tab w:leader="none" w:pos="3460" w:val="left"/>
        </w:tabs>
        <w:rPr>
          <w:sz w:val="20"/>
          <w:szCs w:val="20"/>
          <w:color w:val="auto"/>
        </w:rPr>
      </w:pPr>
      <w:r>
        <w:rPr>
          <w:rFonts w:ascii="Arial" w:cs="Arial" w:eastAsia="Arial" w:hAnsi="Arial"/>
          <w:sz w:val="14"/>
          <w:szCs w:val="14"/>
          <w:color w:val="auto"/>
        </w:rPr>
        <w:t>ü</w:t>
      </w:r>
      <w:r>
        <w:rPr>
          <w:sz w:val="20"/>
          <w:szCs w:val="20"/>
          <w:color w:val="auto"/>
        </w:rPr>
        <w:tab/>
      </w:r>
      <w:r>
        <w:rPr>
          <w:rFonts w:ascii="Arial" w:cs="Arial" w:eastAsia="Arial" w:hAnsi="Arial"/>
          <w:sz w:val="14"/>
          <w:szCs w:val="14"/>
          <w:color w:val="auto"/>
        </w:rPr>
        <w:t>ü</w:t>
      </w:r>
    </w:p>
    <w:p>
      <w:pPr>
        <w:spacing w:after="0" w:line="329" w:lineRule="exact"/>
        <w:rPr>
          <w:sz w:val="20"/>
          <w:szCs w:val="20"/>
          <w:color w:val="auto"/>
        </w:rPr>
      </w:pPr>
    </w:p>
    <w:p>
      <w:pPr>
        <w:sectPr>
          <w:pgSz w:w="11900" w:h="16838" w:orient="portrait"/>
          <w:cols w:equalWidth="0" w:num="3">
            <w:col w:w="1700" w:space="420"/>
            <w:col w:w="4380" w:space="580"/>
            <w:col w:w="4160"/>
          </w:cols>
          <w:pgMar w:left="320" w:top="140" w:right="339" w:bottom="1440" w:gutter="0" w:footer="0" w:header="0"/>
          <w:type w:val="continuous"/>
        </w:sectPr>
      </w:pPr>
    </w:p>
    <w:p>
      <w:pPr>
        <w:spacing w:after="0" w:line="18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Committee reviews the executive pay mix on an annual basis. The Committee does not target a fixed percentage allocation among the compensation components, but rather aims to provide the majority of executive officer compensation opportunities in the form of at-risk incentive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 and Peer Group Data</w:t>
      </w:r>
    </w:p>
    <w:p>
      <w:pPr>
        <w:spacing w:after="0" w:line="193"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To attract and retain the best executives for key management positions, we provide compensation opportunities that are competitive based on peer group and survey data. We do not target any specific pay percentile for our executive officers. It is important to note, however, that the majority of pay opportunities for our top executives are incentive-based and that actual realizable compensation is heavily dependent upon actual business results. See “Executive Compensation Philosophy and Program Design” above. Failure to achieve targeted results could result in realized compensation being below the competitive benchmarks. Conversely, our incentive compensation programs provide opportunities for compensation to exceed the competitive benchmarks if specified objectives are achieved at targeted levels or higher. The Committee believes that actual realizable compensation for our top executives is well aligned with our performance.</w:t>
      </w:r>
    </w:p>
    <w:p>
      <w:pPr>
        <w:spacing w:after="0" w:line="1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Committee asks its independent compensation consultant to conduct an annual competitive compensation review to benchmark compensation for executive officers. Mercer (US) Inc. (“Mercer”), the Committee’s independent compensation consultant, delivered its Fiscal 2021 Executive Compensation Competitive Market Assessment (the “FY21 Mercer Executive Compensation Report”) to the Committee in August 2020 in connection with the Committee’s review and evaluation of the executive compensation program and pay levels for fiscal 2021. For that report, Mercer collected competitive pay data for a peer group of 12 publicly traded companies reviewed and approved by the Committee in July 2020.</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There is only one publicly traded company in the marketplace with which we directly compete, FirstCash, Inc. As a result, the Committee uses a set of similarly-sized companies from relevant industries that serve similar customer bases, operate in the retail or consumer finance industries and typically have similar operating dynamics as the Company. The Committee believes this approach appropriately reflects the diverse labor market for executive talent in which we compete and presents a reasonable reference for evaluating the competitiveness of our executive compensation levels and practices.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fiscal 2021 peer group consisted of the following companies.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Peer Company</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 Symbol</w:t>
            </w:r>
          </w:p>
        </w:tc>
        <w:tc>
          <w:tcPr>
            <w:tcW w:w="100" w:type="dxa"/>
            <w:vAlign w:val="bottom"/>
            <w:tcBorders>
              <w:bottom w:val="single" w:sz="8" w:color="CCEEFF"/>
            </w:tcBorders>
          </w:tcPr>
          <w:p>
            <w:pPr>
              <w:spacing w:after="0"/>
              <w:rPr>
                <w:sz w:val="16"/>
                <w:szCs w:val="16"/>
                <w:color w:val="auto"/>
              </w:rPr>
            </w:pP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Primary Business</w:t>
            </w:r>
          </w:p>
        </w:tc>
      </w:tr>
      <w:tr>
        <w:trPr>
          <w:trHeight w:val="210"/>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Cardtronics Inc.</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CATM</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 Processing and Outsourced Services — Fintech</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Conn’s,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CONN</w:t>
            </w:r>
          </w:p>
        </w:tc>
        <w:tc>
          <w:tcPr>
            <w:tcW w:w="5460" w:type="dxa"/>
            <w:vAlign w:val="bottom"/>
          </w:tcPr>
          <w:p>
            <w:pPr>
              <w:ind w:left="20"/>
              <w:spacing w:after="0"/>
              <w:rPr>
                <w:sz w:val="20"/>
                <w:szCs w:val="20"/>
                <w:color w:val="auto"/>
              </w:rPr>
            </w:pPr>
            <w:r>
              <w:rPr>
                <w:rFonts w:ascii="Arial" w:cs="Arial" w:eastAsia="Arial" w:hAnsi="Arial"/>
                <w:sz w:val="16"/>
                <w:szCs w:val="16"/>
                <w:color w:val="auto"/>
              </w:rPr>
              <w:t>Computer and Electronics Retail</w:t>
            </w:r>
          </w:p>
        </w:tc>
      </w:tr>
      <w:tr>
        <w:trPr>
          <w:trHeight w:val="21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CURO Group Holdings Corp.</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CURO</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Finance</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Enova International,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ENVA</w:t>
            </w:r>
          </w:p>
        </w:tc>
        <w:tc>
          <w:tcPr>
            <w:tcW w:w="5460" w:type="dxa"/>
            <w:vAlign w:val="bottom"/>
          </w:tcPr>
          <w:p>
            <w:pPr>
              <w:ind w:left="20"/>
              <w:spacing w:after="0"/>
              <w:rPr>
                <w:sz w:val="20"/>
                <w:szCs w:val="20"/>
                <w:color w:val="auto"/>
              </w:rPr>
            </w:pPr>
            <w:r>
              <w:rPr>
                <w:rFonts w:ascii="Arial" w:cs="Arial" w:eastAsia="Arial" w:hAnsi="Arial"/>
                <w:sz w:val="16"/>
                <w:szCs w:val="16"/>
                <w:color w:val="auto"/>
              </w:rPr>
              <w:t>Consumer Finance</w:t>
            </w:r>
          </w:p>
        </w:tc>
      </w:tr>
      <w:tr>
        <w:trPr>
          <w:trHeight w:val="21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Cash, Inc.</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FCFS</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Finance — Pawn Operator</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GreenSky,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GSKY</w:t>
            </w:r>
          </w:p>
        </w:tc>
        <w:tc>
          <w:tcPr>
            <w:tcW w:w="5460" w:type="dxa"/>
            <w:vAlign w:val="bottom"/>
          </w:tcPr>
          <w:p>
            <w:pPr>
              <w:ind w:left="20"/>
              <w:spacing w:after="0"/>
              <w:rPr>
                <w:sz w:val="20"/>
                <w:szCs w:val="20"/>
                <w:color w:val="auto"/>
              </w:rPr>
            </w:pPr>
            <w:r>
              <w:rPr>
                <w:rFonts w:ascii="Arial" w:cs="Arial" w:eastAsia="Arial" w:hAnsi="Arial"/>
                <w:sz w:val="16"/>
                <w:szCs w:val="16"/>
                <w:color w:val="auto"/>
              </w:rPr>
              <w:t>Data Processing and Outsourced Services</w:t>
            </w:r>
          </w:p>
        </w:tc>
      </w:tr>
      <w:tr>
        <w:trPr>
          <w:trHeight w:val="21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LendingClub Corporation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LC</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Finance</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MoneyGram International, Inc.</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MGI</w:t>
            </w:r>
          </w:p>
        </w:tc>
        <w:tc>
          <w:tcPr>
            <w:tcW w:w="5460" w:type="dxa"/>
            <w:vAlign w:val="bottom"/>
          </w:tcPr>
          <w:p>
            <w:pPr>
              <w:ind w:left="20"/>
              <w:spacing w:after="0"/>
              <w:rPr>
                <w:sz w:val="20"/>
                <w:szCs w:val="20"/>
                <w:color w:val="auto"/>
              </w:rPr>
            </w:pPr>
            <w:r>
              <w:rPr>
                <w:rFonts w:ascii="Arial" w:cs="Arial" w:eastAsia="Arial" w:hAnsi="Arial"/>
                <w:sz w:val="16"/>
                <w:szCs w:val="16"/>
                <w:color w:val="auto"/>
              </w:rPr>
              <w:t>Data Processing and Outsourced Services — Fintech</w:t>
            </w:r>
          </w:p>
        </w:tc>
      </w:tr>
      <w:tr>
        <w:trPr>
          <w:trHeight w:val="21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Oportun Financial Corporation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OPRT</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Finance</w:t>
            </w:r>
          </w:p>
        </w:tc>
      </w:tr>
      <w:tr>
        <w:trPr>
          <w:trHeight w:val="213"/>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Regional Management Corp.</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RM</w:t>
            </w:r>
          </w:p>
        </w:tc>
        <w:tc>
          <w:tcPr>
            <w:tcW w:w="5460" w:type="dxa"/>
            <w:vAlign w:val="bottom"/>
          </w:tcPr>
          <w:p>
            <w:pPr>
              <w:ind w:left="20"/>
              <w:spacing w:after="0"/>
              <w:rPr>
                <w:sz w:val="20"/>
                <w:szCs w:val="20"/>
                <w:color w:val="auto"/>
              </w:rPr>
            </w:pPr>
            <w:r>
              <w:rPr>
                <w:rFonts w:ascii="Arial" w:cs="Arial" w:eastAsia="Arial" w:hAnsi="Arial"/>
                <w:sz w:val="16"/>
                <w:szCs w:val="16"/>
                <w:color w:val="auto"/>
              </w:rPr>
              <w:t>Consumer Finance</w:t>
            </w:r>
          </w:p>
        </w:tc>
      </w:tr>
      <w:tr>
        <w:trPr>
          <w:trHeight w:val="21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Rent-A-Center, Inc.</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RCII</w:t>
            </w:r>
          </w:p>
        </w:tc>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and Electronics Retail</w:t>
            </w: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World Acceptance Corporation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WRLD</w:t>
            </w:r>
          </w:p>
        </w:tc>
        <w:tc>
          <w:tcPr>
            <w:tcW w:w="5460" w:type="dxa"/>
            <w:vAlign w:val="bottom"/>
          </w:tcPr>
          <w:p>
            <w:pPr>
              <w:ind w:left="20"/>
              <w:spacing w:after="0"/>
              <w:rPr>
                <w:sz w:val="20"/>
                <w:szCs w:val="20"/>
                <w:color w:val="auto"/>
              </w:rPr>
            </w:pPr>
            <w:r>
              <w:rPr>
                <w:rFonts w:ascii="Arial" w:cs="Arial" w:eastAsia="Arial" w:hAnsi="Arial"/>
                <w:sz w:val="16"/>
                <w:szCs w:val="16"/>
                <w:color w:val="auto"/>
              </w:rPr>
              <w:t>Consumer Finance</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When the peer group was approved by the Committee, the Company was within an appropriate range across the primary scoping metrics used to evaluate the peer group, as follows:</w:t>
      </w:r>
    </w:p>
    <w:p>
      <w:pPr>
        <w:spacing w:after="0" w:line="21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Scoping Metric</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Peer Group Range ($</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Company Positioning</w:t>
            </w:r>
          </w:p>
        </w:tc>
        <w:tc>
          <w:tcPr>
            <w:tcW w:w="0" w:type="dxa"/>
            <w:vAlign w:val="bottom"/>
          </w:tcPr>
          <w:p>
            <w:pPr>
              <w:spacing w:after="0"/>
              <w:rPr>
                <w:sz w:val="1"/>
                <w:szCs w:val="1"/>
                <w:color w:val="auto"/>
              </w:rPr>
            </w:pPr>
          </w:p>
        </w:tc>
      </w:tr>
      <w:tr>
        <w:trPr>
          <w:trHeight w:val="175"/>
        </w:trPr>
        <w:tc>
          <w:tcPr>
            <w:tcW w:w="2740" w:type="dxa"/>
            <w:vAlign w:val="bottom"/>
            <w:gridSpan w:val="2"/>
            <w:vMerge w:val="continue"/>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(percentile)</w:t>
            </w:r>
          </w:p>
        </w:tc>
        <w:tc>
          <w:tcPr>
            <w:tcW w:w="0" w:type="dxa"/>
            <w:vAlign w:val="bottom"/>
          </w:tcPr>
          <w:p>
            <w:pPr>
              <w:spacing w:after="0"/>
              <w:rPr>
                <w:sz w:val="1"/>
                <w:szCs w:val="1"/>
                <w:color w:val="auto"/>
              </w:rPr>
            </w:pPr>
          </w:p>
        </w:tc>
      </w:tr>
      <w:tr>
        <w:trPr>
          <w:trHeight w:val="34"/>
        </w:trPr>
        <w:tc>
          <w:tcPr>
            <w:tcW w:w="2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 (TTM)</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$361 to $2,675</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2740" w:type="dxa"/>
            <w:vAlign w:val="bottom"/>
            <w:gridSpan w:val="2"/>
          </w:tcPr>
          <w:p>
            <w:pPr>
              <w:spacing w:after="0"/>
              <w:rPr>
                <w:sz w:val="20"/>
                <w:szCs w:val="20"/>
                <w:color w:val="auto"/>
              </w:rPr>
            </w:pPr>
            <w:r>
              <w:rPr>
                <w:rFonts w:ascii="Arial" w:cs="Arial" w:eastAsia="Arial" w:hAnsi="Arial"/>
                <w:sz w:val="16"/>
                <w:szCs w:val="16"/>
                <w:color w:val="auto"/>
              </w:rPr>
              <w:t>1-Year Revenue Growth</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(9)% to 26%</w:t>
            </w:r>
          </w:p>
        </w:tc>
        <w:tc>
          <w:tcPr>
            <w:tcW w:w="1820" w:type="dxa"/>
            <w:vAlign w:val="bottom"/>
          </w:tcPr>
          <w:p>
            <w:pPr>
              <w:jc w:val="center"/>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3-Year Annual Revenue Growth</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(11)% to 25%</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2740" w:type="dxa"/>
            <w:vAlign w:val="bottom"/>
            <w:gridSpan w:val="2"/>
          </w:tcPr>
          <w:p>
            <w:pPr>
              <w:spacing w:after="0"/>
              <w:rPr>
                <w:sz w:val="20"/>
                <w:szCs w:val="20"/>
                <w:color w:val="auto"/>
              </w:rPr>
            </w:pPr>
            <w:r>
              <w:rPr>
                <w:rFonts w:ascii="Arial" w:cs="Arial" w:eastAsia="Arial" w:hAnsi="Arial"/>
                <w:sz w:val="16"/>
                <w:szCs w:val="16"/>
                <w:color w:val="auto"/>
              </w:rPr>
              <w:t>Market Capitalization</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$177 to $2,891</w:t>
            </w:r>
          </w:p>
        </w:tc>
        <w:tc>
          <w:tcPr>
            <w:tcW w:w="1820" w:type="dxa"/>
            <w:vAlign w:val="bottom"/>
          </w:tcPr>
          <w:p>
            <w:pPr>
              <w:jc w:val="center"/>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Mercer used peer group data from the most recently available proxy filings to benchmark the CEO position and CFO position (which was open at the time), and used data from its 2019 Executive Remuneration Survey to benchmark the other executive officer positions. Additional data from other published surveys was used as secondary reference points. The data was aged, scoped and adjusted appropriately to provide meaningful comparisons for our U.S. and Latin American executive officers. (Note — The FY21 Mercer Executive Compensation Report did not include any benchmarking information for the Executive Chairman position, as our Executive Chairman, Mr. Cohen, is subject to a special multi-year compensation arrangement that was approved by the full Board in September 2019. See “Compensation Discussion and Analysis — Summary of Fiscal 2019 Compensation Actions — Executive Chairman” in our Annual Report on Form 10-K for the year ended September 30, 2019.)</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FY21 Mercer Executive Compensation Report was prepared and delivered prior to the implementation of strategic initiatives in the fourth quarter of fiscal 2020 to refocus on our core pawn business and optimize our cost structure. Those strategic initiatives included significant realignment of our executive officers, including departures, new appointments and consolidation of responsibilities. Consequently, much of the detailed benchmarking information included in the FY21 Mercer Executive Compensation Report is not relevant to an analysis of actual executive compensation for fiscal 2021, but the report does contain the following general observations, which the Committee took into consideration in evaluating and approving fiscal 2021 executive compensation in November 2020:</w:t>
      </w:r>
    </w:p>
    <w:p>
      <w:pPr>
        <w:spacing w:after="0" w:line="154" w:lineRule="exact"/>
        <w:rPr>
          <w:sz w:val="20"/>
          <w:szCs w:val="20"/>
          <w:color w:val="auto"/>
        </w:rPr>
      </w:pPr>
    </w:p>
    <w:p>
      <w:pPr>
        <w:ind w:left="660" w:right="320" w:hanging="328"/>
        <w:spacing w:after="0" w:line="261" w:lineRule="auto"/>
        <w:tabs>
          <w:tab w:leader="none" w:pos="6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executive compensation program tends to overweight cash compensation and underweight long-term incentives relative to the market, particularly for the CEO.</w:t>
      </w:r>
    </w:p>
    <w:p>
      <w:pPr>
        <w:spacing w:after="0" w:line="143" w:lineRule="exact"/>
        <w:rPr>
          <w:rFonts w:ascii="Arial" w:cs="Arial" w:eastAsia="Arial" w:hAnsi="Arial"/>
          <w:sz w:val="18"/>
          <w:szCs w:val="18"/>
          <w:color w:val="auto"/>
        </w:rPr>
      </w:pPr>
    </w:p>
    <w:p>
      <w:pPr>
        <w:ind w:left="660" w:right="180" w:hanging="328"/>
        <w:spacing w:after="0" w:line="261" w:lineRule="auto"/>
        <w:tabs>
          <w:tab w:leader="none" w:pos="6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direct compensation (cash compensation plus long-term incentive) is below the 25th percentile for the CEO, reflecting below-market long-term incentives.</w:t>
      </w:r>
    </w:p>
    <w:p>
      <w:pPr>
        <w:spacing w:after="0" w:line="143" w:lineRule="exact"/>
        <w:rPr>
          <w:rFonts w:ascii="Arial" w:cs="Arial" w:eastAsia="Arial" w:hAnsi="Arial"/>
          <w:sz w:val="18"/>
          <w:szCs w:val="18"/>
          <w:color w:val="auto"/>
        </w:rPr>
      </w:pPr>
    </w:p>
    <w:p>
      <w:pPr>
        <w:ind w:left="660" w:right="500" w:hanging="328"/>
        <w:spacing w:after="0" w:line="261" w:lineRule="auto"/>
        <w:tabs>
          <w:tab w:leader="none" w:pos="6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long-term incentives are 100% performance-based, resulting in greater performance orientation than peers, but with lower upside and an earnings-only focus.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 and Fiscal 2021 Executive Compensation Actions</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executive compensation program consists of four main elements: base salaries, short-term cash incentive opportunities, long-term incentive opportunities (generally paid in the form of equity awards) and other benefits, including healthcare and retirement. Each of these components is discussed in more detail below, along with the compensation actions that were taken during fiscal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8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primary objective with respect to base salary levels is to provide sufficient fixed cash income to attract and retain experienced leaders in a competitive market. The base salaries of our executive officers are reviewed and adjusted (if appropriate) annually to reflect, among other things, individual performance, review of market data, experience in role, macro-economic conditions and internal equity.</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November 2020, the Committee determined that the base salaries for each of the Named Executive Officers would be held flat for fiscal 2021, noting that both Mr. Kulas and Mr. Jugmans had received base salary increases during the fourth quarter of fiscal 2020 in connection with their promotions to Chief Executive Officer and Interim Chief Financial Officer, respectively. The Committee also believed that the base salaries for the other three Named Executive Officers, when considered in the context of their total direct compensation, continued to reflect the appropriate positioning versus the competitive market data. The following table shows, for each Named Executive Officer, the base salaries that were in effect for fiscal 2021 and 2020:</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2021 Base</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2020 Base</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5"/>
        </w:trPr>
        <w:tc>
          <w:tcPr>
            <w:tcW w:w="67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Salary</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Salary</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6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 (1)</w:t>
            </w: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shd w:val="clear" w:color="auto" w:fill="BFE4FF"/>
          </w:tcPr>
          <w:p>
            <w:pPr>
              <w:spacing w:after="0"/>
              <w:rPr>
                <w:sz w:val="19"/>
                <w:szCs w:val="19"/>
                <w:color w:val="auto"/>
              </w:rPr>
            </w:pPr>
          </w:p>
        </w:tc>
        <w:tc>
          <w:tcPr>
            <w:tcW w:w="14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Timothy K. Jugmans (2)</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370,000</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370,000</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Philip E. Cohen</w:t>
            </w: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shd w:val="clear" w:color="auto" w:fill="BFE4FF"/>
          </w:tcPr>
          <w:p>
            <w:pPr>
              <w:spacing w:after="0"/>
              <w:rPr>
                <w:sz w:val="19"/>
                <w:szCs w:val="19"/>
                <w:color w:val="auto"/>
              </w:rPr>
            </w:pPr>
          </w:p>
        </w:tc>
        <w:tc>
          <w:tcPr>
            <w:tcW w:w="14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Lachlan P. Given (3)</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Francisco J. Kuthy Saenger (4)</w:t>
            </w: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BFE4FF"/>
          </w:tcPr>
          <w:p>
            <w:pPr>
              <w:spacing w:after="0"/>
              <w:rPr>
                <w:sz w:val="19"/>
                <w:szCs w:val="19"/>
                <w:color w:val="auto"/>
              </w:rPr>
            </w:pPr>
          </w:p>
        </w:tc>
        <w:tc>
          <w:tcPr>
            <w:tcW w:w="14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60" w:hanging="332"/>
        <w:spacing w:after="0" w:line="258" w:lineRule="auto"/>
        <w:tabs>
          <w:tab w:leader="none" w:pos="392"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Kulas joined the Company as President and Chief Financial Officer in February 2020 and was promoted to Chief Executive Officer in July 2020. The Fiscal 2020 Base Salary shown is the annualized salary he had while serving as Chief Executive Officer.</w:t>
      </w:r>
    </w:p>
    <w:p>
      <w:pPr>
        <w:spacing w:after="0" w:line="31" w:lineRule="exact"/>
        <w:rPr>
          <w:rFonts w:ascii="Arial" w:cs="Arial" w:eastAsia="Arial" w:hAnsi="Arial"/>
          <w:sz w:val="14"/>
          <w:szCs w:val="14"/>
          <w:color w:val="auto"/>
        </w:rPr>
      </w:pPr>
    </w:p>
    <w:p>
      <w:pPr>
        <w:ind w:left="340" w:right="60" w:hanging="332"/>
        <w:spacing w:after="0" w:line="253" w:lineRule="auto"/>
        <w:tabs>
          <w:tab w:leader="none" w:pos="392"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Jugmans was appointed Interim Chief Financial Officer in September 2020. Prior to this appointment, he served as Vice President, Treasury and M&amp;A. The Fiscal 2020 Base Salary shown is the annualized salary that he had while serving as Interim Chief Financial Officer. Mr. Jugmans was promoted to Chief Financial Officer in May 2021.</w:t>
      </w:r>
    </w:p>
    <w:p>
      <w:pPr>
        <w:spacing w:after="0" w:line="200" w:lineRule="exact"/>
        <w:rPr>
          <w:rFonts w:ascii="Arial" w:cs="Arial" w:eastAsia="Arial" w:hAnsi="Arial"/>
          <w:sz w:val="14"/>
          <w:szCs w:val="14"/>
          <w:color w:val="auto"/>
        </w:rPr>
      </w:pPr>
    </w:p>
    <w:p>
      <w:pPr>
        <w:ind w:left="340" w:right="760" w:hanging="332"/>
        <w:spacing w:after="0" w:line="258" w:lineRule="auto"/>
        <w:tabs>
          <w:tab w:leader="none" w:pos="352"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Given held the position of Chief M&amp;A and Funding Officer until September 2020, when he was given additional responsibility for oversight of the design and implementation of the Company’s strategic plan and initiatives and promoted to Chief Strategy, M&amp;A and Funding Officer.</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Kuthy is paid in Mexican Pesos, and the amounts shown represent the annualized USD equivalents.</w:t>
      </w:r>
    </w:p>
    <w:p>
      <w:pPr>
        <w:spacing w:after="0" w:line="15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October 2021, the Committee determined that the base salaries for the Named Executive Officers, other than Mr. Jugmans, would be held flat for fiscal 2022. Mr. Jugmans’ fiscal 2022 base salary will be increased to $420,000 to reflect his promotion to Chief Financial Officer and better align to market competitiveness.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Short-Term Incentive</w:t>
      </w:r>
    </w:p>
    <w:p>
      <w:pPr>
        <w:spacing w:after="0" w:line="189"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Our executive officers, as well as other key Team Members, are eligible to participate in our annual short-term incentive (“STI”) plan. The plan is designed to provide financial reward contingent on achievement of annual corporate and business unit financial results, as well as personal objectives tied to our strategic goals.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discussed in our Annual Report on Form 10-K for the year ended September 30, 2020 (the “2020 Annual Report”), the COVID-19 pandemic significantly affected our business during the second half of fiscal 2020 and continued into fiscal 2021. That effect manifested itself principally in the form of a drop in our pawn loan balances across all geographies. We entered fiscal 2021 expecting to post operating losses for the year as we focused on recovery and rebuilding the pawn loan portfolio. Our key strategic initiatives for the year centered on cost reduction and simplification, strengthening our core pawn business through optimization and modernization, and innovation to broaden our customer engagement. It was in this context that the Committee considered the STI plan for fiscal 2021.</w:t>
      </w:r>
    </w:p>
    <w:p>
      <w:pPr>
        <w:spacing w:after="0" w:line="15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is a summary of the terms of the fiscal 2021 STI plan, which the Committee approved in February 2021 after significant deliberations regarding the appropriate performance measures:</w:t>
      </w:r>
    </w:p>
    <w:p>
      <w:pPr>
        <w:spacing w:after="0" w:line="157" w:lineRule="exact"/>
        <w:rPr>
          <w:sz w:val="20"/>
          <w:szCs w:val="20"/>
          <w:color w:val="auto"/>
        </w:rPr>
      </w:pPr>
    </w:p>
    <w:p>
      <w:pPr>
        <w:ind w:left="660" w:hanging="328"/>
        <w:spacing w:after="0" w:line="245" w:lineRule="auto"/>
        <w:tabs>
          <w:tab w:leader="none" w:pos="662" w:val="left"/>
        </w:tabs>
        <w:numPr>
          <w:ilvl w:val="0"/>
          <w:numId w:val="53"/>
        </w:numPr>
        <w:rPr>
          <w:rFonts w:ascii="Arial" w:cs="Arial" w:eastAsia="Arial" w:hAnsi="Arial"/>
          <w:sz w:val="20"/>
          <w:szCs w:val="20"/>
          <w:color w:val="auto"/>
        </w:rPr>
      </w:pPr>
      <w:r>
        <w:rPr>
          <w:rFonts w:ascii="Arial" w:cs="Arial" w:eastAsia="Arial" w:hAnsi="Arial"/>
          <w:sz w:val="18"/>
          <w:szCs w:val="18"/>
          <w:color w:val="auto"/>
        </w:rPr>
        <w:t>The fiscal 2021 STI plan provides cash bonus opportunities based on achievement of specified performance goals. The bonus opportunity for each participant was a function of a designated target amount (stated as a percentage of base salary) and a business performance modifier based on the achievement of specified EBITDA-based performance goals for the Company as a whole (consolidated) and each business unit.</w:t>
      </w:r>
    </w:p>
    <w:p>
      <w:pPr>
        <w:spacing w:after="0" w:line="170" w:lineRule="exact"/>
        <w:rPr>
          <w:rFonts w:ascii="Arial" w:cs="Arial" w:eastAsia="Arial" w:hAnsi="Arial"/>
          <w:sz w:val="20"/>
          <w:szCs w:val="20"/>
          <w:color w:val="auto"/>
        </w:rPr>
      </w:pPr>
    </w:p>
    <w:p>
      <w:pPr>
        <w:ind w:left="660" w:right="120" w:hanging="328"/>
        <w:spacing w:after="0" w:line="237" w:lineRule="auto"/>
        <w:tabs>
          <w:tab w:leader="none" w:pos="648" w:val="left"/>
        </w:tabs>
        <w:numPr>
          <w:ilvl w:val="0"/>
          <w:numId w:val="53"/>
        </w:numPr>
        <w:rPr>
          <w:rFonts w:ascii="Arial" w:cs="Arial" w:eastAsia="Arial" w:hAnsi="Arial"/>
          <w:sz w:val="20"/>
          <w:szCs w:val="20"/>
          <w:color w:val="auto"/>
        </w:rPr>
      </w:pPr>
      <w:r>
        <w:rPr>
          <w:rFonts w:ascii="Arial" w:cs="Arial" w:eastAsia="Arial" w:hAnsi="Arial"/>
          <w:sz w:val="18"/>
          <w:szCs w:val="18"/>
          <w:color w:val="auto"/>
        </w:rPr>
        <w:t>The plan was subject to a “Company Performance Gate,” such that no participant would have received a payout if the Company did not achieve the minimum level of Adjusted EBITDA required for a corporate-level payout.</w:t>
      </w:r>
    </w:p>
    <w:p>
      <w:pPr>
        <w:spacing w:after="0" w:line="175" w:lineRule="exact"/>
        <w:rPr>
          <w:rFonts w:ascii="Arial" w:cs="Arial" w:eastAsia="Arial" w:hAnsi="Arial"/>
          <w:sz w:val="20"/>
          <w:szCs w:val="20"/>
          <w:color w:val="auto"/>
        </w:rPr>
      </w:pPr>
    </w:p>
    <w:p>
      <w:pPr>
        <w:ind w:left="660" w:hanging="328"/>
        <w:spacing w:after="0" w:line="245" w:lineRule="auto"/>
        <w:tabs>
          <w:tab w:leader="none" w:pos="648" w:val="left"/>
        </w:tabs>
        <w:numPr>
          <w:ilvl w:val="0"/>
          <w:numId w:val="53"/>
        </w:numPr>
        <w:rPr>
          <w:rFonts w:ascii="Arial" w:cs="Arial" w:eastAsia="Arial" w:hAnsi="Arial"/>
          <w:sz w:val="20"/>
          <w:szCs w:val="20"/>
          <w:color w:val="auto"/>
        </w:rPr>
      </w:pPr>
      <w:r>
        <w:rPr>
          <w:rFonts w:ascii="Arial" w:cs="Arial" w:eastAsia="Arial" w:hAnsi="Arial"/>
          <w:sz w:val="18"/>
          <w:szCs w:val="18"/>
          <w:color w:val="auto"/>
        </w:rPr>
        <w:t>If the Company Performance Gate was achieved, participants would have the opportunity to earn an incentive bonus equal to 50% of their target amount. Performance at target levels would yield a bonus opportunity equal to 100% of the target amount. Any payout in excess of 100% of target amounts was at the discretion of the Committee. The final payout amount for each participant was subject to an evaluation of the participant’s individual performance.</w:t>
      </w:r>
    </w:p>
    <w:p>
      <w:pPr>
        <w:spacing w:after="0" w:line="170" w:lineRule="exact"/>
        <w:rPr>
          <w:rFonts w:ascii="Arial" w:cs="Arial" w:eastAsia="Arial" w:hAnsi="Arial"/>
          <w:sz w:val="20"/>
          <w:szCs w:val="20"/>
          <w:color w:val="auto"/>
        </w:rPr>
      </w:pPr>
    </w:p>
    <w:p>
      <w:pPr>
        <w:ind w:left="660" w:right="140" w:hanging="328"/>
        <w:spacing w:after="0" w:line="242" w:lineRule="auto"/>
        <w:tabs>
          <w:tab w:leader="none" w:pos="648" w:val="left"/>
        </w:tabs>
        <w:numPr>
          <w:ilvl w:val="0"/>
          <w:numId w:val="53"/>
        </w:numPr>
        <w:rPr>
          <w:rFonts w:ascii="Arial" w:cs="Arial" w:eastAsia="Arial" w:hAnsi="Arial"/>
          <w:sz w:val="20"/>
          <w:szCs w:val="20"/>
          <w:color w:val="auto"/>
        </w:rPr>
      </w:pPr>
      <w:r>
        <w:rPr>
          <w:rFonts w:ascii="Arial" w:cs="Arial" w:eastAsia="Arial" w:hAnsi="Arial"/>
          <w:sz w:val="18"/>
          <w:szCs w:val="18"/>
          <w:color w:val="auto"/>
        </w:rPr>
        <w:t>The Committee retained discretionary authority to make adjustments to the reported EBITDA as it, in its sole discretion, determined to be necessary, appropriate or desirable to take into consideration special events or other circumstances reasonably beyond management’s control (referred to as “Adjusted EBITDA”).</w:t>
      </w:r>
    </w:p>
    <w:p>
      <w:pPr>
        <w:spacing w:after="0" w:line="160" w:lineRule="exact"/>
        <w:rPr>
          <w:rFonts w:ascii="Arial" w:cs="Arial" w:eastAsia="Arial" w:hAnsi="Arial"/>
          <w:sz w:val="20"/>
          <w:szCs w:val="20"/>
          <w:color w:val="auto"/>
        </w:rPr>
      </w:pPr>
    </w:p>
    <w:p>
      <w:pPr>
        <w:ind w:left="660" w:hanging="328"/>
        <w:spacing w:after="0" w:line="254" w:lineRule="auto"/>
        <w:tabs>
          <w:tab w:leader="none" w:pos="6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performance goals at target levels were equal to 100% of the EBITDA shown in the Board-approved budget for fiscal 2021 (excluding any impact of our investment in Cash Converters), as follows: Consolidated, $1.8 million; US Pawn, $42.6 million; and Latin America Pawn, $18.2 million. The threshold levels (i.e, the performance needed to achieve 50% payout) were set at 75% of the target levels, and the Company Performance Gate was set at 75% of the consolidated target level.</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table sets forth the fiscal 2021 STI target (stated as a percentage of base salary) for each of the Named Executive Officers. For Mr. Kulas, Mr. Jugmans and Mr. Given, the target bonus was heavily-weighted towards the corporate-level performance goal (80% for Mr. Kulas and 70% for Mr. Jugmans and Mr. Given), with the remainder being weighted toward individual performance. Mr. Kuthy’s target bonus was weighted 50% toward the Latin America Pawn business unit performance goal, 20% toward the corporate-level performance goal and 30% toward individual performance.</w:t>
      </w:r>
    </w:p>
    <w:p>
      <w:pPr>
        <w:spacing w:after="0" w:line="103" w:lineRule="exact"/>
        <w:rPr>
          <w:sz w:val="20"/>
          <w:szCs w:val="20"/>
          <w:color w:val="auto"/>
        </w:rPr>
      </w:pPr>
    </w:p>
    <w:tbl>
      <w:tblPr>
        <w:tblLayout w:type="fixed"/>
        <w:tblInd w:w="250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Fiscal 2021 Target</w:t>
            </w:r>
          </w:p>
        </w:tc>
        <w:tc>
          <w:tcPr>
            <w:tcW w:w="0" w:type="dxa"/>
            <w:vAlign w:val="bottom"/>
          </w:tcPr>
          <w:p>
            <w:pPr>
              <w:spacing w:after="0"/>
              <w:rPr>
                <w:sz w:val="1"/>
                <w:szCs w:val="1"/>
                <w:color w:val="auto"/>
              </w:rPr>
            </w:pPr>
          </w:p>
        </w:tc>
      </w:tr>
      <w:tr>
        <w:trPr>
          <w:trHeight w:val="162"/>
        </w:trPr>
        <w:tc>
          <w:tcPr>
            <w:tcW w:w="44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 (1)</w:t>
            </w: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Amount (as a % of</w:t>
            </w:r>
          </w:p>
        </w:tc>
        <w:tc>
          <w:tcPr>
            <w:tcW w:w="0" w:type="dxa"/>
            <w:vAlign w:val="bottom"/>
          </w:tcPr>
          <w:p>
            <w:pPr>
              <w:spacing w:after="0"/>
              <w:rPr>
                <w:sz w:val="1"/>
                <w:szCs w:val="1"/>
                <w:color w:val="auto"/>
              </w:rPr>
            </w:pPr>
          </w:p>
        </w:tc>
      </w:tr>
      <w:tr>
        <w:trPr>
          <w:trHeight w:val="215"/>
        </w:trPr>
        <w:tc>
          <w:tcPr>
            <w:tcW w:w="4480" w:type="dxa"/>
            <w:vAlign w:val="bottom"/>
            <w:gridSpan w:val="2"/>
            <w:vMerge w:val="continue"/>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base salary)</w:t>
            </w:r>
          </w:p>
        </w:tc>
        <w:tc>
          <w:tcPr>
            <w:tcW w:w="0" w:type="dxa"/>
            <w:vAlign w:val="bottom"/>
          </w:tcPr>
          <w:p>
            <w:pPr>
              <w:spacing w:after="0"/>
              <w:rPr>
                <w:sz w:val="1"/>
                <w:szCs w:val="1"/>
                <w:color w:val="auto"/>
              </w:rPr>
            </w:pPr>
          </w:p>
        </w:tc>
      </w:tr>
      <w:tr>
        <w:trPr>
          <w:trHeight w:val="75"/>
        </w:trPr>
        <w:tc>
          <w:tcPr>
            <w:tcW w:w="43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7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17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w:t>
            </w:r>
          </w:p>
        </w:tc>
        <w:tc>
          <w:tcPr>
            <w:tcW w:w="17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Francisco J. Kuthy Saenger</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360" w:hanging="332"/>
        <w:spacing w:after="0" w:line="249" w:lineRule="auto"/>
        <w:tabs>
          <w:tab w:leader="none" w:pos="352"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Cohen, in his role as Executive Chairman, is not a participant in the STI plan, but is subject to a separate incentive opportunity specified in the terms of his employment. Pursuant to those terms, he had the opportunity to earn an incentive award of up to 100% of his base salary. See “Executive Chairman Incentive Award” below.</w:t>
      </w:r>
    </w:p>
    <w:p>
      <w:pPr>
        <w:spacing w:after="0" w:line="14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amount of each Named Executive Officer’s STI bonus opportunity at the Threshold and Target levels is set forth in the “Grants of Plan-Based Awards” table under “Incentive Plan Based Awards” below.</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fiscal 2021, the Company’s Adjusted EBITDA performance ($67.6 million) significantly exceeded the specified Company Performance Gate, as well as the consolidated target established for 100% STI payout. In addition, the Adjusted EBITDA performance of the US Pawn business unit ($ 96.2 million) was 226% of the specified business unit target, while the Adjusted EBITDA performance of the Latin America Pawn business unit ($22.8 million) was 125% of the specified business unit target. The Committee noted that some of this over-performance was attributable to factors outside of management’s control (e.g., the timing of COVID-related economic stimulus payments in the U.S.), as well as the relative difficulty in accurately forecasting business performance at the time the budgeted targets were set and approved. The Committee also recognized, however, that much of the over-performance was attributable to specific management actions and initiatives implemented and completed over the course of the year, including the following:</w:t>
      </w:r>
    </w:p>
    <w:p>
      <w:pPr>
        <w:spacing w:after="0" w:line="9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Business model transformation — Focusing on loan yields and effective inventory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Business simplification — Focusing on customer engagement and business fundamentals.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Cultural transformation — Increasing Team Member satisfaction, tenure and performance at all levels.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Growth — Increasing store count through acquisition and de novo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Efficiency — Continued focus on cost savings and efficiencies.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Innovation — Implementing marketing, customer engagement and retention strategies.</w:t>
      </w:r>
    </w:p>
    <w:p>
      <w:pPr>
        <w:spacing w:after="0" w:line="17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Adjusted EBITDA numbers used for purposes of measuring performance for STI purposes contained adjustments only for constant currency for Latin America Pawn and were substantially similar to the corresponding actual numbers based on GAAP results.</w:t>
      </w:r>
    </w:p>
    <w:p>
      <w:pPr>
        <w:spacing w:after="0" w:line="14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Following a consideration of all of these factors, along with the consolidated and business unit EBITDA performance for the year, the Committee approved performance modifiers of 125% for consolidated, 140% for US Pawn and 100% for Latin America Pawn. Payouts for individual participants were subject to adjustments, up or down, for individual performance. Taking into account the individual performance modifiers, the Committee approved the payouts for the Named Executive Officers as indicated in the “Non-Equity Incentive Plan Compensation” column in the Summary Compensation Table below. Those amounts were calculated as follows:</w:t>
      </w:r>
    </w:p>
    <w:p>
      <w:pPr>
        <w:spacing w:after="0" w:line="265"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 (1)</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FY21 Base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Target</w:t>
            </w:r>
          </w:p>
        </w:tc>
        <w:tc>
          <w:tcPr>
            <w:tcW w:w="120" w:type="dxa"/>
            <w:vAlign w:val="bottom"/>
          </w:tcPr>
          <w:p>
            <w:pPr>
              <w:spacing w:after="0"/>
              <w:rPr>
                <w:sz w:val="16"/>
                <w:szCs w:val="16"/>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Target Payout</w:t>
            </w:r>
          </w:p>
        </w:tc>
        <w:tc>
          <w:tcPr>
            <w:tcW w:w="20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STI Payout</w:t>
            </w: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FY21 Percent of</w:t>
            </w:r>
          </w:p>
        </w:tc>
        <w:tc>
          <w:tcPr>
            <w:tcW w:w="0" w:type="dxa"/>
            <w:vAlign w:val="bottom"/>
          </w:tcPr>
          <w:p>
            <w:pPr>
              <w:spacing w:after="0"/>
              <w:rPr>
                <w:sz w:val="1"/>
                <w:szCs w:val="1"/>
                <w:color w:val="auto"/>
              </w:rPr>
            </w:pPr>
          </w:p>
        </w:tc>
      </w:tr>
      <w:tr>
        <w:trPr>
          <w:trHeight w:val="215"/>
        </w:trPr>
        <w:tc>
          <w:tcPr>
            <w:tcW w:w="3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Salary</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Percentage</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Target Awarded</w:t>
            </w:r>
          </w:p>
        </w:tc>
        <w:tc>
          <w:tcPr>
            <w:tcW w:w="0" w:type="dxa"/>
            <w:vAlign w:val="bottom"/>
          </w:tcPr>
          <w:p>
            <w:pPr>
              <w:spacing w:after="0"/>
              <w:rPr>
                <w:sz w:val="1"/>
                <w:szCs w:val="1"/>
                <w:color w:val="auto"/>
              </w:rPr>
            </w:pPr>
          </w:p>
        </w:tc>
      </w:tr>
      <w:tr>
        <w:trPr>
          <w:trHeight w:val="75"/>
        </w:trPr>
        <w:tc>
          <w:tcPr>
            <w:tcW w:w="31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150%</w:t>
            </w:r>
          </w:p>
        </w:tc>
        <w:tc>
          <w:tcPr>
            <w:tcW w:w="14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1,275,000</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1,593,750</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370,000</w:t>
            </w:r>
          </w:p>
        </w:tc>
        <w:tc>
          <w:tcPr>
            <w:tcW w:w="1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222,000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302,500</w:t>
            </w:r>
          </w:p>
        </w:tc>
        <w:tc>
          <w:tcPr>
            <w:tcW w:w="1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770,000</w:t>
            </w:r>
          </w:p>
        </w:tc>
        <w:tc>
          <w:tcPr>
            <w:tcW w:w="140" w:type="dxa"/>
            <w:vAlign w:val="bottom"/>
            <w:shd w:val="clear" w:color="auto" w:fill="BFE4FF"/>
          </w:tcPr>
          <w:p>
            <w:pPr>
              <w:spacing w:after="0"/>
              <w:rPr>
                <w:sz w:val="19"/>
                <w:szCs w:val="19"/>
                <w:color w:val="auto"/>
              </w:rPr>
            </w:pPr>
          </w:p>
        </w:tc>
        <w:tc>
          <w:tcPr>
            <w:tcW w:w="13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Francisco J. Kuthy Saenger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364,286</w:t>
            </w:r>
          </w:p>
        </w:tc>
        <w:tc>
          <w:tcPr>
            <w:tcW w:w="1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91%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20" w:hanging="326"/>
        <w:spacing w:after="0"/>
        <w:tabs>
          <w:tab w:leader="none" w:pos="8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Cohen’s bonus payout was calculated as described below under “Executive Chairman Incentive Award.”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October 2021, the Committee approved the STI plan for fiscal 2022. The fiscal 2022 STI plan contains the same basic design elements as the fiscal 2021 plan, except that consolidated and business unit EBITDA performance will determine overall plan funding (ranging from 0% to 150% of target), with individual payouts based on individual performance. For fiscal 2022, the Target Amount percentages for each of the continuing Named Executive Officers will be as follows: Mr. Kulas, 150%; Mr. Jugmans, 80%; and Mr. Given, 100%.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 Long-term incentive (“LTI”) compensation, in the form of performance-based equity awards, is a key component in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helping to encourage long-term commitment, shareholder alignment and long-term performance orientation. The value of equity awards over time bears a direct relationship to the price of our shares and gain or loss experienced by our stockholders.</w:t>
      </w:r>
    </w:p>
    <w:p>
      <w:pPr>
        <w:spacing w:after="0" w:line="12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All of our executive officers are eligible to receive LTI awards. We structure our LTI compensation program to place greater emphasis on long-term performance that enhances stockholder value. Unlike many of our peers that have a significant time-based vesting component to their long-term awards, 100% of our LTI awards are subject to performance-based vesting. To further emphasize the long-term nature of these awards, 100% of the LTI awards vest at the end of a three-year performance period, rather than a prorated vesting each year during the performance period. The Committee believes this structure incentivizes and rewards longer-term vision and strategies, and provides a balance to our short-term programs, which are focused on annual performance.</w:t>
      </w:r>
    </w:p>
    <w:p>
      <w:pPr>
        <w:spacing w:after="0" w:line="13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color w:val="auto"/>
        </w:rPr>
        <w:t>— The Committee considers new LTI grants for all executive officers annually. LTI awards may be made at any time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Committee, and the grant price for accounting purposes is generally the closing trading price on the date the award is approved and communicated. The annual LTI awards, however, are intended to incentivize performance over the full designated performance period. Therefore, the Committee considers it appropriate to use the stock price at the beginning of the performance period in determining the number of shares or units to be granted, even though the awards may be approved by the Committee and communicated at a later date. In the Committee’s view, this methodology, consistently applied, neutralizes the stock price as a factor impacting the timing of awards.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2021 Actions </w:t>
      </w:r>
      <w:r>
        <w:rPr>
          <w:rFonts w:ascii="Arial" w:cs="Arial" w:eastAsia="Arial" w:hAnsi="Arial"/>
          <w:sz w:val="18"/>
          <w:szCs w:val="18"/>
          <w:color w:val="auto"/>
        </w:rPr>
        <w:t>— During and after fiscal 2021, the Committee took the following actions regarding LTI awards:</w:t>
      </w:r>
    </w:p>
    <w:p>
      <w:pPr>
        <w:spacing w:after="0" w:line="171" w:lineRule="exact"/>
        <w:rPr>
          <w:sz w:val="20"/>
          <w:szCs w:val="20"/>
          <w:color w:val="auto"/>
        </w:rPr>
      </w:pPr>
    </w:p>
    <w:p>
      <w:pPr>
        <w:ind w:left="660" w:right="20" w:hanging="328"/>
        <w:spacing w:after="0" w:line="266" w:lineRule="auto"/>
        <w:tabs>
          <w:tab w:leader="none" w:pos="655"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Fiscal 2021 LTI awards </w:t>
      </w:r>
      <w:r>
        <w:rPr>
          <w:rFonts w:ascii="Arial" w:cs="Arial" w:eastAsia="Arial" w:hAnsi="Arial"/>
          <w:sz w:val="18"/>
          <w:szCs w:val="18"/>
          <w:color w:val="auto"/>
        </w:rPr>
        <w:t>— In February 2021, the Committee approved the design and structure of the fiscal 2021 LTI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the issuance of awards to our executive officers and other key employees. The following is a summary of the terms of the approved fiscal 2021 LTI plan:</w:t>
      </w:r>
    </w:p>
    <w:p>
      <w:pPr>
        <w:spacing w:after="0" w:line="140" w:lineRule="exact"/>
        <w:rPr>
          <w:sz w:val="20"/>
          <w:szCs w:val="20"/>
          <w:color w:val="auto"/>
        </w:rPr>
      </w:pPr>
    </w:p>
    <w:p>
      <w:pPr>
        <w:ind w:left="1300" w:right="60" w:hanging="320"/>
        <w:spacing w:after="0" w:line="265" w:lineRule="auto"/>
        <w:tabs>
          <w:tab w:leader="none" w:pos="12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number of units awarded to each participant was determined by dividing the participant’s LTI target amount (based on a percentage of base salary) by $5.03, the closing trading price of our Class A Non-Voting Common Stock on September 30,</w:t>
      </w:r>
    </w:p>
    <w:p>
      <w:pPr>
        <w:ind w:left="1300"/>
        <w:spacing w:after="0"/>
        <w:rPr>
          <w:rFonts w:ascii="Arial" w:cs="Arial" w:eastAsia="Arial" w:hAnsi="Arial"/>
          <w:sz w:val="17"/>
          <w:szCs w:val="17"/>
          <w:color w:val="auto"/>
        </w:rPr>
      </w:pPr>
      <w:r>
        <w:rPr>
          <w:rFonts w:ascii="Arial" w:cs="Arial" w:eastAsia="Arial" w:hAnsi="Arial"/>
          <w:sz w:val="18"/>
          <w:szCs w:val="18"/>
          <w:color w:val="auto"/>
        </w:rPr>
        <w:t>2020. The following table sets forth, for each Named Executive Officer, the LTI target and the number of units awarded:</w:t>
      </w:r>
    </w:p>
    <w:p>
      <w:pPr>
        <w:spacing w:after="0" w:line="69" w:lineRule="exact"/>
        <w:rPr>
          <w:sz w:val="20"/>
          <w:szCs w:val="20"/>
          <w:color w:val="auto"/>
        </w:rPr>
      </w:pPr>
    </w:p>
    <w:tbl>
      <w:tblPr>
        <w:tblLayout w:type="fixed"/>
        <w:tblInd w:w="1900" w:type="dxa"/>
        <w:tblCellMar>
          <w:top w:w="0" w:type="dxa"/>
          <w:left w:w="0" w:type="dxa"/>
          <w:bottom w:w="0" w:type="dxa"/>
          <w:right w:w="0" w:type="dxa"/>
        </w:tblCellMar>
      </w:tblPr>
      <w:tr>
        <w:trPr>
          <w:trHeight w:val="184"/>
        </w:trPr>
        <w:tc>
          <w:tcPr>
            <w:tcW w:w="3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 (1)</w:t>
            </w: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Percentage of</w:t>
            </w:r>
          </w:p>
        </w:tc>
        <w:tc>
          <w:tcPr>
            <w:tcW w:w="2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LTI Target</w:t>
            </w: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Units</w:t>
            </w:r>
          </w:p>
        </w:tc>
        <w:tc>
          <w:tcPr>
            <w:tcW w:w="0" w:type="dxa"/>
            <w:vAlign w:val="bottom"/>
          </w:tcPr>
          <w:p>
            <w:pPr>
              <w:spacing w:after="0"/>
              <w:rPr>
                <w:sz w:val="1"/>
                <w:szCs w:val="1"/>
                <w:color w:val="auto"/>
              </w:rPr>
            </w:pPr>
          </w:p>
        </w:tc>
      </w:tr>
      <w:tr>
        <w:trPr>
          <w:trHeight w:val="215"/>
        </w:trPr>
        <w:tc>
          <w:tcPr>
            <w:tcW w:w="3040" w:type="dxa"/>
            <w:vAlign w:val="bottom"/>
            <w:gridSpan w:val="2"/>
            <w:vMerge w:val="continue"/>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Base Salary</w:t>
            </w: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9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13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150%</w:t>
            </w:r>
          </w:p>
        </w:tc>
        <w:tc>
          <w:tcPr>
            <w:tcW w:w="14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1,275,000</w:t>
            </w:r>
          </w:p>
        </w:tc>
        <w:tc>
          <w:tcPr>
            <w:tcW w:w="140" w:type="dxa"/>
            <w:vAlign w:val="bottom"/>
            <w:shd w:val="clear" w:color="auto" w:fill="BFE4FF"/>
          </w:tcPr>
          <w:p>
            <w:pPr>
              <w:spacing w:after="0"/>
              <w:rPr>
                <w:sz w:val="19"/>
                <w:szCs w:val="19"/>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253,479</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296,000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58,847</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w:t>
            </w:r>
          </w:p>
        </w:tc>
        <w:tc>
          <w:tcPr>
            <w:tcW w:w="13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BFE4FF"/>
          </w:tcPr>
          <w:p>
            <w:pPr>
              <w:spacing w:after="0"/>
              <w:rPr>
                <w:sz w:val="19"/>
                <w:szCs w:val="19"/>
                <w:color w:val="auto"/>
              </w:rPr>
            </w:pP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119,294</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Francisco J. Kuthy Saenger</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65,209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320" w:hanging="340"/>
        <w:spacing w:after="0"/>
        <w:tabs>
          <w:tab w:leader="none" w:pos="1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Cohen is subject to a separate incentive program and is not eligible for LTI awards. See “Executive Chairman Incentive Award” below.</w:t>
      </w:r>
    </w:p>
    <w:p>
      <w:pPr>
        <w:spacing w:after="0" w:line="157" w:lineRule="exact"/>
        <w:rPr>
          <w:sz w:val="20"/>
          <w:szCs w:val="20"/>
          <w:color w:val="auto"/>
        </w:rPr>
      </w:pPr>
    </w:p>
    <w:p>
      <w:pPr>
        <w:ind w:left="1300" w:right="100" w:hanging="320"/>
        <w:spacing w:after="0" w:line="252"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Vesting is subject to performance measured against specified net income targets. The Committee continues to consider net income to be the long-term shareholder value metric against which management should be measured, as it reflects the scaling of profitability in a fiscally robust way. Net income takes into account the full bottom-line performance and growth of the Company, including a prudent capital structure; it is the metric that primarily drives out stock price, closely aligning management’s interests with those of our shareholders; it is one of the three primary financial goals in the Company’s “Strategic Goals and Measures” framework; and it is less susceptible to manipulation, as EPS often is with debt-financed share buybacks that potentially put financial position at risk.</w:t>
      </w:r>
    </w:p>
    <w:p>
      <w:pPr>
        <w:spacing w:after="0" w:line="152"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will be measured over a three-year performance period (fiscal 2021, fiscal 2022 and fiscal 2023).</w:t>
      </w:r>
    </w:p>
    <w:p>
      <w:pPr>
        <w:spacing w:after="0" w:line="171" w:lineRule="exact"/>
        <w:rPr>
          <w:rFonts w:ascii="Arial" w:cs="Arial" w:eastAsia="Arial" w:hAnsi="Arial"/>
          <w:sz w:val="18"/>
          <w:szCs w:val="18"/>
          <w:color w:val="auto"/>
        </w:rPr>
      </w:pPr>
    </w:p>
    <w:p>
      <w:pPr>
        <w:ind w:left="1300" w:right="80" w:hanging="320"/>
        <w:spacing w:after="0" w:line="254"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units awarded are allocated equally among the three years, with each year measured separately. The number of units that will be available for vesting each year will be between 50% (assuming minimum threshold performance is achieved) and 150%, depending on the level of performance target achievement. If the minimum threshold performance for any year is not achieved, no units allocated to that year will be available to vest at the end of</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300" w:right="20"/>
        <w:spacing w:after="0" w:line="261" w:lineRule="auto"/>
        <w:rPr>
          <w:sz w:val="20"/>
          <w:szCs w:val="20"/>
          <w:color w:val="auto"/>
        </w:rPr>
      </w:pPr>
      <w:r>
        <w:rPr>
          <w:rFonts w:ascii="Arial" w:cs="Arial" w:eastAsia="Arial" w:hAnsi="Arial"/>
          <w:sz w:val="18"/>
          <w:szCs w:val="18"/>
          <w:color w:val="auto"/>
        </w:rPr>
        <w:t>the performance period. Each year will stand on its own, and any units allocated to a year that are not available to vest at the end of the performance period will be forfeited.</w:t>
      </w:r>
    </w:p>
    <w:p>
      <w:pPr>
        <w:spacing w:after="0" w:line="144" w:lineRule="exact"/>
        <w:rPr>
          <w:sz w:val="20"/>
          <w:szCs w:val="20"/>
          <w:color w:val="auto"/>
        </w:rPr>
      </w:pPr>
    </w:p>
    <w:p>
      <w:pPr>
        <w:ind w:left="1300" w:right="100" w:hanging="320"/>
        <w:spacing w:after="0" w:line="252" w:lineRule="auto"/>
        <w:tabs>
          <w:tab w:leader="none" w:pos="12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the end of the performance period (i.e., the end of fiscal 2023), the aggregate number of units that are available to vest from each of the three years will vest for those participants who remain in continuous, active employment with the Company through the performance period. The Committee believes that this structure — combining the single-year focus of the performance targets with the deferral of vesting until the end of the three-year performance period — strikes the proper balance between ensuring that management is incentivized to maximize performance each year and rewarding consistent long-term performance.</w:t>
      </w:r>
    </w:p>
    <w:p>
      <w:pPr>
        <w:spacing w:after="0" w:line="154" w:lineRule="exact"/>
        <w:rPr>
          <w:rFonts w:ascii="Arial" w:cs="Arial" w:eastAsia="Arial" w:hAnsi="Arial"/>
          <w:sz w:val="18"/>
          <w:szCs w:val="18"/>
          <w:color w:val="auto"/>
        </w:rPr>
      </w:pPr>
    </w:p>
    <w:p>
      <w:pPr>
        <w:ind w:left="1300" w:right="780" w:hanging="320"/>
        <w:spacing w:after="0" w:line="256" w:lineRule="auto"/>
        <w:tabs>
          <w:tab w:leader="none" w:pos="12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Committee retains discretionary authority to make such adjustments to the reported net income as it, in its sole discretion, determines to be necessary, appropriate or desirable to take into consideration special events or other circumstances reasonably beyond management’s control (referred to as “Adjusted Net Income”).</w:t>
      </w:r>
    </w:p>
    <w:p>
      <w:pPr>
        <w:spacing w:after="0" w:line="147" w:lineRule="exact"/>
        <w:rPr>
          <w:rFonts w:ascii="Arial" w:cs="Arial" w:eastAsia="Arial" w:hAnsi="Arial"/>
          <w:sz w:val="18"/>
          <w:szCs w:val="18"/>
          <w:color w:val="auto"/>
        </w:rPr>
      </w:pPr>
    </w:p>
    <w:p>
      <w:pPr>
        <w:ind w:left="1300" w:right="120" w:hanging="320"/>
        <w:spacing w:after="0" w:line="256" w:lineRule="auto"/>
        <w:tabs>
          <w:tab w:leader="none" w:pos="13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fiscal 2021, the performance goat at target level was equal to 100% of the Net Income shown in the Board-approved budget for fiscal 2021 (i.e., a loss of $33.1 million). The threshold level was set at 80% of the target level, and the maximum level was set at 120% of the target level.</w:t>
      </w:r>
    </w:p>
    <w:p>
      <w:pPr>
        <w:spacing w:after="0" w:line="148" w:lineRule="exact"/>
        <w:rPr>
          <w:sz w:val="20"/>
          <w:szCs w:val="20"/>
          <w:color w:val="auto"/>
        </w:rPr>
      </w:pPr>
    </w:p>
    <w:p>
      <w:pPr>
        <w:ind w:left="660" w:right="80"/>
        <w:spacing w:after="0" w:line="253" w:lineRule="auto"/>
        <w:rPr>
          <w:sz w:val="20"/>
          <w:szCs w:val="20"/>
          <w:color w:val="auto"/>
        </w:rPr>
      </w:pPr>
      <w:r>
        <w:rPr>
          <w:rFonts w:ascii="Arial" w:cs="Arial" w:eastAsia="Arial" w:hAnsi="Arial"/>
          <w:sz w:val="18"/>
          <w:szCs w:val="18"/>
          <w:color w:val="auto"/>
        </w:rPr>
        <w:t>During fiscal 2021, the Company’s Adjusted Net Income performance ($20.1 million) significantly exceeded the specified performance goal at the maximum level, and in November 2021, the Committee determined that 150% of the units allocated to fiscal 2021 are now available for vesting for those participants whose employment continues through the end of fiscal 2023. For the Named Executive Officers, this includes 126,740 units for Mr. Kulas, 29,424 units for Mr. Jugmans, 59,643 units for Mr. Given and 39,762 units for Mr. Kuthy.</w:t>
      </w:r>
    </w:p>
    <w:p>
      <w:pPr>
        <w:spacing w:after="0" w:line="133" w:lineRule="exact"/>
        <w:rPr>
          <w:sz w:val="20"/>
          <w:szCs w:val="20"/>
          <w:color w:val="auto"/>
        </w:rPr>
      </w:pPr>
    </w:p>
    <w:p>
      <w:pPr>
        <w:ind w:left="660" w:right="20" w:hanging="328"/>
        <w:spacing w:after="0" w:line="254" w:lineRule="auto"/>
        <w:tabs>
          <w:tab w:leader="none" w:pos="65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Vesting of fiscal 2019 awards — </w:t>
      </w:r>
      <w:r>
        <w:rPr>
          <w:rFonts w:ascii="Arial" w:cs="Arial" w:eastAsia="Arial" w:hAnsi="Arial"/>
          <w:sz w:val="18"/>
          <w:szCs w:val="18"/>
          <w:color w:val="auto"/>
        </w:rPr>
        <w:t>As described in our 2020 Annual Report, the outstanding fiscal 2019 LTI awards were modified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2020 in several respects. First, the number of units available for vesting was reduced to take into account the COVID-19 impact on performance during the second half of fiscal 2020, and then the remaining units were subject to vesting based on fiscal 2021 net income performance, with 60% of the units vesting upon achievement of the base net income target and the remaining 40% vesting upon achievement of a more challenging “stretch” target. The base net income target was equal to 100% of the net income shown in the Board-approved budget for fiscal 2021 (i.e., a loss of $33.1 million), and the stretch target would be achieved if the actual net income was a loss of $32 million or less. As noted above, the Company’s Adjusted Net Income performance for fiscal 2021 significantly exceeded the stretch performance target, and in November 2021, the Committee approved the vesting of the outstanding fiscal 2019 LTI awards at the 100% level, including the following units for the Named Executive Officers: Mr. Jugmans, 10,690; Mr. Given, 70,093; and Mr. Kuthy, 24,978.</w:t>
      </w:r>
    </w:p>
    <w:p>
      <w:pPr>
        <w:spacing w:after="0" w:line="131" w:lineRule="exact"/>
        <w:rPr>
          <w:rFonts w:ascii="Arial" w:cs="Arial" w:eastAsia="Arial" w:hAnsi="Arial"/>
          <w:sz w:val="18"/>
          <w:szCs w:val="18"/>
          <w:i w:val="1"/>
          <w:iCs w:val="1"/>
          <w:color w:val="auto"/>
        </w:rPr>
      </w:pPr>
    </w:p>
    <w:p>
      <w:pPr>
        <w:ind w:left="660" w:right="40" w:hanging="328"/>
        <w:spacing w:after="0" w:line="255"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First-year performance of fiscal 2020 awards — </w:t>
      </w:r>
      <w:r>
        <w:rPr>
          <w:rFonts w:ascii="Arial" w:cs="Arial" w:eastAsia="Arial" w:hAnsi="Arial"/>
          <w:sz w:val="18"/>
          <w:szCs w:val="18"/>
          <w:color w:val="auto"/>
        </w:rPr>
        <w:t>As described in our 2020 Annual Report, the fiscal 2020 LTI awards were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in November 2020. The basic design of the FY20 LTI awards is substantially similar to the FY21 awards, except that (1) performance is measured over a two-year period (fiscal 2021 and fiscal 2022), with 50% of the units awarded being allocated to each year and (2) no more than 100% of the units allocated to a year may become available for vesting. As noted above, the Company’s Adjusted Net Income performance for fiscal 2021 significantly exceeded the specified performance goal at the target level, and in November 2021, the Committee determined that 100% of the units allocated to fiscal 2021 are now available for vesting for those participants whose employment continues through the end of fiscal 2022. For the Named Executive Officers, this includes 64,759 units for Mr. Kulas, 8,853 units for Mr. Jugmans, 37,152 units for Mr. Given and 30,960 units for Mr. Kuthy.</w:t>
      </w:r>
    </w:p>
    <w:p>
      <w:pPr>
        <w:spacing w:after="0" w:line="130" w:lineRule="exact"/>
        <w:rPr>
          <w:rFonts w:ascii="Arial" w:cs="Arial" w:eastAsia="Arial" w:hAnsi="Arial"/>
          <w:sz w:val="18"/>
          <w:szCs w:val="18"/>
          <w:color w:val="auto"/>
        </w:rPr>
      </w:pPr>
    </w:p>
    <w:p>
      <w:pPr>
        <w:ind w:left="660" w:right="180" w:hanging="328"/>
        <w:spacing w:after="0" w:line="258" w:lineRule="auto"/>
        <w:tabs>
          <w:tab w:leader="none" w:pos="65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Fiscal 2022 Awards — </w:t>
      </w:r>
      <w:r>
        <w:rPr>
          <w:rFonts w:ascii="Arial" w:cs="Arial" w:eastAsia="Arial" w:hAnsi="Arial"/>
          <w:sz w:val="18"/>
          <w:szCs w:val="18"/>
          <w:color w:val="auto"/>
        </w:rPr>
        <w:t>In October 2021, the Committee approved fiscal 2022 LTI awards that are substantially similar in design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2021 awards. The number of units awarded to each participant was determined by dividing the participant’s LTI target amount (based on a percentage of base salary) by $7.57, the closing trading price of our Class A Non-Voting Common Stock on September 30, 2021. The following table shows the fiscal 2022 LTI awards for the continuing Named Executive Officers (other than Mr. Cohen, who is subject to a separate incentive program and is not eligible for LTI awards):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Percent of Base</w:t>
            </w:r>
          </w:p>
        </w:tc>
        <w:tc>
          <w:tcPr>
            <w:tcW w:w="2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LTI Target</w:t>
            </w:r>
          </w:p>
        </w:tc>
        <w:tc>
          <w:tcPr>
            <w:tcW w:w="25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Number of Units</w:t>
            </w: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Salary</w:t>
            </w:r>
          </w:p>
        </w:tc>
        <w:tc>
          <w:tcPr>
            <w:tcW w:w="2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312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3120" w:type="dxa"/>
            <w:vAlign w:val="bottom"/>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2660" w:type="dxa"/>
            <w:vAlign w:val="bottom"/>
            <w:gridSpan w:val="3"/>
            <w:shd w:val="clear" w:color="auto" w:fill="BFE4FF"/>
          </w:tcPr>
          <w:p>
            <w:pPr>
              <w:jc w:val="center"/>
              <w:ind w:left="1270"/>
              <w:spacing w:after="0"/>
              <w:rPr>
                <w:sz w:val="20"/>
                <w:szCs w:val="20"/>
                <w:color w:val="auto"/>
              </w:rPr>
            </w:pPr>
            <w:r>
              <w:rPr>
                <w:rFonts w:ascii="Arial" w:cs="Arial" w:eastAsia="Arial" w:hAnsi="Arial"/>
                <w:sz w:val="18"/>
                <w:szCs w:val="18"/>
                <w:color w:val="auto"/>
                <w:w w:val="99"/>
              </w:rPr>
              <w:t>250%</w:t>
            </w:r>
          </w:p>
        </w:tc>
        <w:tc>
          <w:tcPr>
            <w:tcW w:w="160" w:type="dxa"/>
            <w:vAlign w:val="bottom"/>
            <w:shd w:val="clear" w:color="auto" w:fill="BFE4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2,125,000</w:t>
            </w:r>
          </w:p>
        </w:tc>
        <w:tc>
          <w:tcPr>
            <w:tcW w:w="140" w:type="dxa"/>
            <w:vAlign w:val="bottom"/>
            <w:shd w:val="clear" w:color="auto" w:fill="BFE4FF"/>
          </w:tcPr>
          <w:p>
            <w:pPr>
              <w:spacing w:after="0"/>
              <w:rPr>
                <w:sz w:val="19"/>
                <w:szCs w:val="19"/>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280,713</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Timothy K. Jugmans</w:t>
            </w:r>
          </w:p>
        </w:tc>
        <w:tc>
          <w:tcPr>
            <w:tcW w:w="2660" w:type="dxa"/>
            <w:vAlign w:val="bottom"/>
            <w:gridSpan w:val="3"/>
          </w:tcPr>
          <w:p>
            <w:pPr>
              <w:jc w:val="center"/>
              <w:ind w:left="1270"/>
              <w:spacing w:after="0"/>
              <w:rPr>
                <w:sz w:val="20"/>
                <w:szCs w:val="20"/>
                <w:color w:val="auto"/>
              </w:rPr>
            </w:pPr>
            <w:r>
              <w:rPr>
                <w:rFonts w:ascii="Arial" w:cs="Arial" w:eastAsia="Arial" w:hAnsi="Arial"/>
                <w:sz w:val="18"/>
                <w:szCs w:val="18"/>
                <w:color w:val="auto"/>
                <w:w w:val="99"/>
              </w:rPr>
              <w:t>100%</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420,000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55,482</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3120" w:type="dxa"/>
            <w:vAlign w:val="bottom"/>
            <w:shd w:val="clear" w:color="auto" w:fill="BFE4FF"/>
          </w:tcPr>
          <w:p>
            <w:pPr>
              <w:ind w:left="20"/>
              <w:spacing w:after="0"/>
              <w:rPr>
                <w:sz w:val="20"/>
                <w:szCs w:val="20"/>
                <w:color w:val="auto"/>
              </w:rPr>
            </w:pPr>
            <w:r>
              <w:rPr>
                <w:rFonts w:ascii="Arial" w:cs="Arial" w:eastAsia="Arial" w:hAnsi="Arial"/>
                <w:sz w:val="18"/>
                <w:szCs w:val="18"/>
                <w:color w:val="auto"/>
              </w:rPr>
              <w:t>Lachlan P. Given</w:t>
            </w:r>
          </w:p>
        </w:tc>
        <w:tc>
          <w:tcPr>
            <w:tcW w:w="2660" w:type="dxa"/>
            <w:vAlign w:val="bottom"/>
            <w:gridSpan w:val="3"/>
            <w:shd w:val="clear" w:color="auto" w:fill="BFE4FF"/>
          </w:tcPr>
          <w:p>
            <w:pPr>
              <w:jc w:val="center"/>
              <w:ind w:left="1270"/>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BFE4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BFE4FF"/>
          </w:tcPr>
          <w:p>
            <w:pPr>
              <w:spacing w:after="0"/>
              <w:rPr>
                <w:sz w:val="19"/>
                <w:szCs w:val="19"/>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79,260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60" w:type="dxa"/>
            <w:vAlign w:val="bottom"/>
            <w:gridSpan w:val="3"/>
          </w:tcPr>
          <w:p>
            <w:pPr>
              <w:jc w:val="right"/>
              <w:ind w:right="1219"/>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Incentive Award</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Executive Chairman, Mr. Cohen has an incentive compensation opportunity of $1,500,000 per year (100% of base salary), awarded in the form of cash-settled phantom stock units (“Units”) tied to the trading price of the Company’s Class A Common Stock, as follows:</w:t>
      </w:r>
    </w:p>
    <w:p>
      <w:pPr>
        <w:spacing w:after="0" w:line="126" w:lineRule="exact"/>
        <w:rPr>
          <w:sz w:val="20"/>
          <w:szCs w:val="20"/>
          <w:color w:val="auto"/>
        </w:rPr>
      </w:pPr>
    </w:p>
    <w:p>
      <w:pPr>
        <w:ind w:left="660" w:right="820" w:hanging="328"/>
        <w:spacing w:after="0" w:line="282"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 At the beginning of a fiscal year (the “Performance Year”), the number of Units awarded is determined by dividing</w:t>
      </w:r>
      <w:r>
        <w:rPr>
          <w:rFonts w:ascii="Arial" w:cs="Arial" w:eastAsia="Arial" w:hAnsi="Arial"/>
          <w:sz w:val="18"/>
          <w:szCs w:val="18"/>
          <w:i w:val="1"/>
          <w:iCs w:val="1"/>
          <w:color w:val="auto"/>
        </w:rPr>
        <w:t xml:space="preserve"> </w:t>
      </w:r>
      <w:r>
        <w:rPr>
          <w:rFonts w:ascii="Arial" w:cs="Arial" w:eastAsia="Arial" w:hAnsi="Arial"/>
          <w:sz w:val="18"/>
          <w:szCs w:val="18"/>
          <w:color w:val="auto"/>
        </w:rPr>
        <w:t>$1,500,000 by the stock price at the close of the immediately preceding fiscal year.</w:t>
      </w:r>
    </w:p>
    <w:p>
      <w:pPr>
        <w:spacing w:after="0" w:line="107" w:lineRule="exact"/>
        <w:rPr>
          <w:rFonts w:ascii="Arial" w:cs="Arial" w:eastAsia="Arial" w:hAnsi="Arial"/>
          <w:sz w:val="18"/>
          <w:szCs w:val="18"/>
          <w:color w:val="auto"/>
        </w:rPr>
      </w:pPr>
    </w:p>
    <w:p>
      <w:pPr>
        <w:ind w:left="660" w:right="80" w:hanging="328"/>
        <w:spacing w:after="0" w:line="255" w:lineRule="auto"/>
        <w:tabs>
          <w:tab w:leader="none" w:pos="66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 The awarded Units vest at the end of the Performance Year so long as the “Company Performance Gate”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STI plan for the Performance Year has been achieved. The Company Performance Gate is the level of performance (generally measured in terms of Adjusted EBITDA) needed to achieve any payout under the STI plan. Even if the Company Performance Gate is achieved, the Committee in its discretion may reduce the number of Units that vest based upon the Committee’s evaluation of Mr. Cohen’s achievement of individual performance objectives. Conversely, if the Company Performance Gate is not achieved, the Committee in its discretion may choose to vest some or all of the Units based an evaluation of Mr. Cohen’s achievement of individual performance objectives.</w:t>
      </w:r>
    </w:p>
    <w:p>
      <w:pPr>
        <w:spacing w:after="0" w:line="134" w:lineRule="exact"/>
        <w:rPr>
          <w:rFonts w:ascii="Arial" w:cs="Arial" w:eastAsia="Arial" w:hAnsi="Arial"/>
          <w:sz w:val="18"/>
          <w:szCs w:val="18"/>
          <w:color w:val="auto"/>
        </w:rPr>
      </w:pPr>
    </w:p>
    <w:p>
      <w:pPr>
        <w:ind w:left="660" w:right="120" w:hanging="328"/>
        <w:spacing w:after="0" w:line="261" w:lineRule="auto"/>
        <w:tabs>
          <w:tab w:leader="none" w:pos="66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Payout </w:t>
      </w:r>
      <w:r>
        <w:rPr>
          <w:rFonts w:ascii="Arial" w:cs="Arial" w:eastAsia="Arial" w:hAnsi="Arial"/>
          <w:sz w:val="18"/>
          <w:szCs w:val="18"/>
          <w:color w:val="auto"/>
        </w:rPr>
        <w:t>— The vested Units will be paid out in two installments. The first installment will be paid as soon as practicable after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the beginning of fiscal 2021, Mr. Cohen received 298,210 Units (the “FY21 Units”), which was calculated by dividing the bonus opportunity ($1,500,000) by $5.03, the closing trading price of our Class A Non-Voting Common Stock on September 30, 2020. In September 2021, the Committee reviewed and evaluated Mr. Cohen’s individual performance during fiscal 2021, noting Mr. Cohen’s valuable contributions in key strategic areas, including the following:</w:t>
      </w:r>
    </w:p>
    <w:p>
      <w:pPr>
        <w:spacing w:after="0" w:line="15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Leading the Board as Executive Chairman and providing leadership and mentorship to key senior executives, including the CEO;</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Providing counsel and advice on key growth initiatives, including acquisitions and strategic investments and leading the process to assess opportunities in key markets and geographies;</w:t>
      </w:r>
    </w:p>
    <w:p>
      <w:pPr>
        <w:spacing w:after="0" w:line="143"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Providing counsel and advice on initiatives to improve store-level performance, including optimized lending practices, improved inventory management and enhanced Team Member engagement;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Providing advice on appropriate and fiscally responsible funding and capital allocation decisions.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noted above, the Committee has determined that the Company Performance Gate under the fiscal 2021 STI plan has been achieved. See “Annual Short-Term Incentive” above. Consequently, and taking into consideration the Committee’s previous evaluation of Mr. Cohen’s individual performance, the Committee approved the vesting of 100% of the FY21 Units. Under the terms of Mr. Cohen’s incentive opportunity, 50% of those Units (or 149,105 Units) will be paid out on a per-Unit value of $7.57 (the closing trading price of our Class A Common Stock on September 30, 2021), translating to a cash payout of $1,128,725. The remaining 50% of the FY21 Units (149,105 Units) will be paid at the end of fiscal 2022 based on the closing trading price of our Class A Non-Voting Common Stock on September 30, 2022.</w:t>
      </w:r>
    </w:p>
    <w:p>
      <w:pPr>
        <w:spacing w:after="0" w:line="1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the beginning of fiscal 2022, Mr. Cohen received 198,150 Units (the “FY22 Units), which was calculated by dividing the bonus opportunity ($1,500,000) by $7.57, the closing trading price of our Class A Non-Voting Common Stock on September 30, 2021. The FY22 Units will be subject to the vesting and payout terms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provide selected executives with a non-qualified Supplemental Executive Retirement Plan (“SERP”) to offer a competitive benefit and to assist in offsetting potential impacts of contribution limitations applicable to our 401(k) retirement savings plan. For fiscal 2021, the Committee approved SERP contributions for each of the executive officers equal to 10% of base salary. This resulted in the following SERP contributions for each of the Named Executive Officers (other than Mr. Cohen and Mr. Kuthy, who are not eligible for SERP contributions):</w:t>
      </w:r>
    </w:p>
    <w:p>
      <w:pPr>
        <w:spacing w:after="0" w:line="142" w:lineRule="exact"/>
        <w:rPr>
          <w:sz w:val="20"/>
          <w:szCs w:val="20"/>
          <w:color w:val="auto"/>
        </w:rPr>
      </w:pPr>
    </w:p>
    <w:tbl>
      <w:tblPr>
        <w:tblLayout w:type="fixed"/>
        <w:tblInd w:w="2660" w:type="dxa"/>
        <w:tblCellMar>
          <w:top w:w="0" w:type="dxa"/>
          <w:left w:w="0" w:type="dxa"/>
          <w:bottom w:w="0" w:type="dxa"/>
          <w:right w:w="0" w:type="dxa"/>
        </w:tblCellMar>
      </w:tblPr>
      <w:tr>
        <w:trPr>
          <w:trHeight w:val="184"/>
        </w:trPr>
        <w:tc>
          <w:tcPr>
            <w:tcW w:w="4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Fiscal 2021 SERP</w:t>
            </w:r>
          </w:p>
        </w:tc>
        <w:tc>
          <w:tcPr>
            <w:tcW w:w="0" w:type="dxa"/>
            <w:vAlign w:val="bottom"/>
          </w:tcPr>
          <w:p>
            <w:pPr>
              <w:spacing w:after="0"/>
              <w:rPr>
                <w:sz w:val="1"/>
                <w:szCs w:val="1"/>
                <w:color w:val="auto"/>
              </w:rPr>
            </w:pPr>
          </w:p>
        </w:tc>
      </w:tr>
      <w:tr>
        <w:trPr>
          <w:trHeight w:val="215"/>
        </w:trPr>
        <w:tc>
          <w:tcPr>
            <w:tcW w:w="4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6"/>
                <w:szCs w:val="16"/>
                <w:b w:val="1"/>
                <w:bCs w:val="1"/>
                <w:color w:val="auto"/>
              </w:rPr>
              <w:t>Contribution</w:t>
            </w:r>
          </w:p>
        </w:tc>
        <w:tc>
          <w:tcPr>
            <w:tcW w:w="0" w:type="dxa"/>
            <w:vAlign w:val="bottom"/>
          </w:tcPr>
          <w:p>
            <w:pPr>
              <w:spacing w:after="0"/>
              <w:rPr>
                <w:sz w:val="1"/>
                <w:szCs w:val="1"/>
                <w:color w:val="auto"/>
              </w:rPr>
            </w:pPr>
          </w:p>
        </w:tc>
      </w:tr>
      <w:tr>
        <w:trPr>
          <w:trHeight w:val="75"/>
        </w:trPr>
        <w:tc>
          <w:tcPr>
            <w:tcW w:w="42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Lachlan P. Given</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September 2021, the Committee approved fiscal 2022 SERP contributions equal to 10% of base salary for each of the executive officers (other than Mr. Cohen). For the continuing Named Executive Officers, those contributions were $85,000 for Mr. Kulas, $42,000 for Mr. Jugmans and $60,000 for Mr. Given.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executive officers participate in other benefit plans on the same terms as other Team Members. These plans include medical, dental, life insurance and our 401(k) retirement savings plan. In addition, we provide supplemental healthcare benefits to our executive officers. The amount of that benefit for the Named Executive Officers is included in the “All Other Compensation” column of the Summary Compensation Table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Governance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People and Compensation Committee</w:t>
      </w:r>
    </w:p>
    <w:p>
      <w:pPr>
        <w:spacing w:after="0" w:line="18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People and Compensation Committee is comprised of four members — Mr. Lagos (Chair), Mr. Appel, Ms. Arnold and Mr. Tillett — each of whom is an independent director. See “Part III, Item 10 — Directors, Executive Officers and Corporate Governance —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8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our policies.</w:t>
      </w:r>
    </w:p>
    <w:p>
      <w:pPr>
        <w:spacing w:after="0" w:line="14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Annually, the Committee sets the compensation for our executive officers, including objectives and awards under incentive plans. In addition to overseeing the compensation of our executive officers, the Committee approves all awards under long-term incentive plans for all other Team Members and makes recommendations to the Board of Directors on appropriate compensation for the non-employee directors.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Committee also oversees the Company’s human capital management (HCM) strategy, policies and activities, including succession planning and corresponding individual development in order to maintain the talent necessary to fulfill our operational and strategic objectives; diversity and inclusion initiatives; Team Member engagement; and assessing the overall effectiveness of our HCM programs. For more information on the Committee's role, see “Part III, Item 10 — Directors, Executive Officers and Corporate Governance — Corporate Governance — Committees of the Board — People and Compensation Committee,” as well as the Committee's charter, which can be found in the Investor Relations section of our website at www.ezcorp.com.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Committee receives data regarding compensation trends, succession plans, issues and recommendations from management. Members of management, including the Chief Executive Officer, Chief Human Resources Officer and Chief Legal Officer, attend Committee meetings at the invitation of the Committee. In addition, our Chief Executive Officer provides input on individual performance and recommendations regarding compensation adjustments to the Committee for executive officer positions other than his own.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Independent Compensation Consultant</w:t>
      </w:r>
    </w:p>
    <w:p>
      <w:pPr>
        <w:spacing w:after="0" w:line="18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Under its charter, the Committee has sole authority to retain, terminate, obtain advice from, oversee and compensate its outside advisors, including its compensation consultant. We have provided appropriate funding to the Committee to do so.</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past two years, the Committee has retained Mercer as its independent compensation consultant. The Committee’s independent compensation consultant reports directly to the Committee, and the Committee may replace its independent compensation consultant or hire additional consultants at any time. The Committee’s independent compensation consultant communicates with, and attends meetings of, the Committee as requested.</w:t>
      </w:r>
    </w:p>
    <w:p>
      <w:pPr>
        <w:spacing w:after="0" w:line="15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Committee annually evaluates the independence of its independent compensation consultant in providing executive compensation consulting services, and in fiscal 2021 found no conflict of interest with respect to Mercer.</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fiscal 2021, Mercer, among other things, advised the Committee on the principal aspects of our executive compensation program, updated the Committee on evolving best practices and provided market information and analysis regarding the competitiveness of our program design and award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89"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The Committee continually monitors our general compensation practices, specifically the design, administration and assessment of our incentive plans, to identify any components, measurement factors or potential outcomes that might create an incentive for excessive risk-</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taking detrimental to the Company. The Committee has determined that our compensation plans and policies do not encourage excessive risk-taking.</w:t>
      </w:r>
    </w:p>
    <w:p>
      <w:pPr>
        <w:spacing w:after="0" w:line="14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Our executive compensation program provides a balance of short-term and long-term incentives that reward achievement of profitable, consistent and sustainable results. These include:</w:t>
      </w:r>
    </w:p>
    <w:p>
      <w:pPr>
        <w:spacing w:after="0" w:line="144" w:lineRule="exact"/>
        <w:rPr>
          <w:sz w:val="20"/>
          <w:szCs w:val="20"/>
          <w:color w:val="auto"/>
        </w:rPr>
      </w:pPr>
    </w:p>
    <w:p>
      <w:pPr>
        <w:ind w:left="660" w:right="900" w:hanging="328"/>
        <w:spacing w:after="0" w:line="261"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and/or business unit EBITDA); and</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Meaningful long-term equity incentive opportunities that are 100% performance-based and provide an incentive to deliver long-term growth in stockholder value as a result of sustained earnings growth.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maintain the following policies to mitigate compensation risk:</w:t>
      </w:r>
    </w:p>
    <w:p>
      <w:pPr>
        <w:spacing w:after="0" w:line="153" w:lineRule="exact"/>
        <w:rPr>
          <w:sz w:val="20"/>
          <w:szCs w:val="20"/>
          <w:color w:val="auto"/>
        </w:rPr>
      </w:pPr>
    </w:p>
    <w:p>
      <w:pPr>
        <w:ind w:left="660" w:right="220" w:hanging="328"/>
        <w:spacing w:after="0" w:line="266"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Clawback Policy — </w:t>
      </w:r>
      <w:r>
        <w:rPr>
          <w:rFonts w:ascii="Arial" w:cs="Arial" w:eastAsia="Arial" w:hAnsi="Arial"/>
          <w:sz w:val="18"/>
          <w:szCs w:val="18"/>
          <w:color w:val="auto"/>
        </w:rPr>
        <w:t>The Board of Directors retains the right to seek reimbursement (clawback) of incentive compensation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equity) from any executive officer who has, in the Board’s determination, violated our policies or otherwise engaged in intentional misconduct that, in either case, caused a material restatement of financial results.</w:t>
      </w:r>
    </w:p>
    <w:p>
      <w:pPr>
        <w:spacing w:after="0" w:line="121" w:lineRule="exact"/>
        <w:rPr>
          <w:rFonts w:ascii="Arial" w:cs="Arial" w:eastAsia="Arial" w:hAnsi="Arial"/>
          <w:sz w:val="18"/>
          <w:szCs w:val="18"/>
          <w:color w:val="auto"/>
        </w:rPr>
      </w:pPr>
    </w:p>
    <w:p>
      <w:pPr>
        <w:ind w:left="660" w:hanging="328"/>
        <w:spacing w:after="0" w:line="255"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Anti-Hedging Policy — </w:t>
      </w:r>
      <w:r>
        <w:rPr>
          <w:rFonts w:ascii="Arial" w:cs="Arial" w:eastAsia="Arial" w:hAnsi="Arial"/>
          <w:sz w:val="18"/>
          <w:szCs w:val="18"/>
          <w:color w:val="auto"/>
        </w:rPr>
        <w:t>We maintain a policy prohibiting the trading of “derivative securities” related to, or engaging in “short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 by members of the Board of Directors, executive officers or any other persons associated or affiliated with the Company (through employment, contractual relationship or otherwise) who are designated from time to time by the Board of Directors. For purposes of the policy, a “derivative security” is any option, warrant, convertible security, stock appreciation right or similar right with an exercise or conversion privilege at a price related to our stock, or similar securities with a value derived from the value of our stock; and a “short sale” is any sale of stock that the seller does not own or any sale that is consummated by the delivery of stock borrowed by, or for the account of, the seller. The Board believes that this policy, by preventing the shifting of the risks of ownership of Company stock, helps to align the interests of management with the interests of the other Company stockholders.</w:t>
      </w:r>
    </w:p>
    <w:p>
      <w:pPr>
        <w:spacing w:after="0" w:line="130" w:lineRule="exact"/>
        <w:rPr>
          <w:rFonts w:ascii="Arial" w:cs="Arial" w:eastAsia="Arial" w:hAnsi="Arial"/>
          <w:sz w:val="18"/>
          <w:szCs w:val="18"/>
          <w:color w:val="auto"/>
        </w:rPr>
      </w:pPr>
    </w:p>
    <w:p>
      <w:pPr>
        <w:ind w:left="660" w:right="20" w:hanging="328"/>
        <w:spacing w:after="0" w:line="253"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Executive Share Retention Policy — </w:t>
      </w:r>
      <w:r>
        <w:rPr>
          <w:rFonts w:ascii="Arial" w:cs="Arial" w:eastAsia="Arial" w:hAnsi="Arial"/>
          <w:sz w:val="18"/>
          <w:szCs w:val="18"/>
          <w:color w:val="auto"/>
        </w:rPr>
        <w:t>The Board of Directors has adopted stock ownership requirements applicable to the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of Directors and the executive officers. Pursuant to those requirements, each non-executive member of the Board of Directors and each executive officer is required to hold a number of shares of Class A Non-Voting Common Stock having a market value equal to the applicable “Required Multiple” of the annual retainer fee (in the case of the non-executive directors) or base salary (in the case of the executive officers). The Required Multiple is 4X for the non-executive directors and the CEO, 2X for the Executive Chairman and 1X for the other executive officers. Each person subject to the stock ownership requirements is required to hold at least 50% (in the case of the non-executive directors) or 30% (in the case of the executive officers) of each vesting of restricted stock or restricted stock units until the required stock ownership amount is satisfied. Thereafter, such person can sell shares (subject to our trading window policy) as long as the required stock ownership amount is maintained. Because each share of Class B Voting Common Stock is convertible into a share of Class A Non-Voting Common Stock, the shares of Class B Voting Common Stock held by Mr. Cohen are treated as the equivalent number of shares of Class A Non-Voting Common Stock for purposes of applying the stock ownership requirements.</w:t>
      </w:r>
    </w:p>
    <w:p>
      <w:pPr>
        <w:spacing w:after="0" w:line="15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All directors and executive officers are currently in compliance with the stock ownership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9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provide the following severance benefits to our executive officers (other than Mr. Cohen and Mr. Kuthy, although Mr. Kuthy is subject to statutory severance benefits in Mexico):</w:t>
      </w:r>
    </w:p>
    <w:p>
      <w:pPr>
        <w:spacing w:after="0" w:line="144" w:lineRule="exact"/>
        <w:rPr>
          <w:sz w:val="20"/>
          <w:szCs w:val="20"/>
          <w:color w:val="auto"/>
        </w:rPr>
      </w:pPr>
    </w:p>
    <w:p>
      <w:pPr>
        <w:ind w:left="660" w:right="300" w:hanging="328"/>
        <w:spacing w:after="0" w:line="261"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executive officers will receive one year’s base salary (as a lump sum or in the form of salary continuation) if his or her employment is terminated by the Company without cause.</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Generally, restricted stock and restricted stock unit awards, including those granted to the executive officers, provide for accelerated vesting of some or all of the unvested shares or units in the event of the holder's death or disability.</w:t>
      </w:r>
    </w:p>
    <w:p>
      <w:pPr>
        <w:spacing w:after="0" w:line="122"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39"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Each of our executive officers (other than Mr. Cohen), along with other key Team Members, has entered into a Restrictive Covenant Agreement under which the executive is subject to confidentiality and non-disclosure obligations with respect to various categories of proprietary, competitively sensitive and confidential information. In addition, each such executive has agreed that, for a period of one year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following the termination of employment with the Company, he or she will not compete with the Company (within a defined area) and will not solicit the Company's Team Members or suppliers.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8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2021.</w:t>
      </w:r>
    </w:p>
    <w:p>
      <w:pPr>
        <w:spacing w:after="0" w:line="155"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Pablo Lagos Espinosa, Chair</w:t>
      </w:r>
    </w:p>
    <w:p>
      <w:pPr>
        <w:ind w:left="4880"/>
        <w:spacing w:after="0" w:line="211" w:lineRule="auto"/>
        <w:rPr>
          <w:sz w:val="20"/>
          <w:szCs w:val="20"/>
          <w:color w:val="auto"/>
        </w:rPr>
      </w:pPr>
      <w:r>
        <w:rPr>
          <w:rFonts w:ascii="Arial" w:cs="Arial" w:eastAsia="Arial" w:hAnsi="Arial"/>
          <w:sz w:val="16"/>
          <w:szCs w:val="16"/>
          <w:color w:val="auto"/>
        </w:rPr>
        <w:t>Matthew W. Appel</w:t>
      </w:r>
    </w:p>
    <w:p>
      <w:pPr>
        <w:ind w:left="4880"/>
        <w:spacing w:after="0" w:line="211" w:lineRule="auto"/>
        <w:rPr>
          <w:sz w:val="20"/>
          <w:szCs w:val="20"/>
          <w:color w:val="auto"/>
        </w:rPr>
      </w:pPr>
      <w:r>
        <w:rPr>
          <w:rFonts w:ascii="Arial" w:cs="Arial" w:eastAsia="Arial" w:hAnsi="Arial"/>
          <w:sz w:val="16"/>
          <w:szCs w:val="16"/>
          <w:color w:val="auto"/>
        </w:rPr>
        <w:t>Zena Srivatsa Arnold</w:t>
      </w:r>
    </w:p>
    <w:p>
      <w:pPr>
        <w:ind w:left="4880"/>
        <w:spacing w:after="0"/>
        <w:rPr>
          <w:sz w:val="20"/>
          <w:szCs w:val="20"/>
          <w:color w:val="auto"/>
        </w:rPr>
      </w:pPr>
      <w:r>
        <w:rPr>
          <w:rFonts w:ascii="Arial" w:cs="Arial" w:eastAsia="Arial" w:hAnsi="Arial"/>
          <w:sz w:val="16"/>
          <w:szCs w:val="16"/>
          <w:color w:val="auto"/>
        </w:rPr>
        <w:t>Gary L. Tillett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8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None of the persons who served as members of the Compensation Committee during fiscal 2021 are or have ever been an officer of or employed by the Company, nor do they have any relationship that requires disclosure under Item 404 of Regulation S-K, the SEC’s rules requiring disclosure of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84" w:lineRule="exact"/>
        <w:rPr>
          <w:sz w:val="20"/>
          <w:szCs w:val="20"/>
          <w:color w:val="auto"/>
        </w:rPr>
      </w:pPr>
    </w:p>
    <w:p>
      <w:pPr>
        <w:jc w:val="both"/>
        <w:ind w:right="800"/>
        <w:spacing w:after="0" w:line="256" w:lineRule="auto"/>
        <w:rPr>
          <w:sz w:val="20"/>
          <w:szCs w:val="20"/>
          <w:color w:val="auto"/>
        </w:rPr>
      </w:pPr>
      <w:r>
        <w:rPr>
          <w:rFonts w:ascii="Arial" w:cs="Arial" w:eastAsia="Arial" w:hAnsi="Arial"/>
          <w:sz w:val="18"/>
          <w:szCs w:val="18"/>
          <w:color w:val="auto"/>
        </w:rPr>
        <w:t>The table below summarizes the total compensation for fiscal 2021, 2020 and 2019 for the Named Executive Officers. See “Part III, Item 11 — Executive Compensation — Compensation Discussion and Analysis” for a description of how we determined the Named Executive Officers.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w:t>
            </w:r>
          </w:p>
        </w:tc>
        <w:tc>
          <w:tcPr>
            <w:tcW w:w="8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Fiscal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Salary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Stock Awards</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Non-Equity</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All Other</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Bonus</w:t>
            </w:r>
          </w:p>
        </w:tc>
        <w:tc>
          <w:tcPr>
            <w:tcW w:w="1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Incentive Plan</w:t>
            </w: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Compensation (3)</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Compensation (4)</w:t>
            </w: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1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 xml:space="preserve">Jason A. Kulas </w:t>
            </w:r>
            <w:r>
              <w:rPr>
                <w:rFonts w:ascii="Arial" w:cs="Arial" w:eastAsia="Arial" w:hAnsi="Arial"/>
                <w:sz w:val="18"/>
                <w:szCs w:val="18"/>
                <w:color w:val="auto"/>
              </w:rPr>
              <w:t>(5)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2021</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850,000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723,679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1,593,750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3,284,952</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424,808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683,878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437,500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56,455</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1,602,641</w:t>
            </w:r>
          </w:p>
        </w:tc>
        <w:tc>
          <w:tcPr>
            <w:tcW w:w="0" w:type="dxa"/>
            <w:vAlign w:val="bottom"/>
          </w:tcPr>
          <w:p>
            <w:pPr>
              <w:spacing w:after="0"/>
              <w:rPr>
                <w:sz w:val="1"/>
                <w:szCs w:val="1"/>
                <w:color w:val="auto"/>
              </w:rPr>
            </w:pPr>
          </w:p>
        </w:tc>
      </w:tr>
      <w:tr>
        <w:trPr>
          <w:trHeight w:val="94"/>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420" w:type="dxa"/>
            <w:vAlign w:val="bottom"/>
            <w:gridSpan w:val="2"/>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131,334</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Timothy K. Jugmans</w:t>
            </w:r>
          </w:p>
        </w:tc>
        <w:tc>
          <w:tcPr>
            <w:tcW w:w="8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99"/>
              </w:rPr>
              <w:t>2021</w:t>
            </w: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370,000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238,717</w:t>
            </w:r>
          </w:p>
        </w:tc>
        <w:tc>
          <w:tcPr>
            <w:tcW w:w="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302,500</w:t>
            </w:r>
          </w:p>
        </w:tc>
        <w:tc>
          <w:tcPr>
            <w:tcW w:w="12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66,418</w:t>
            </w:r>
          </w:p>
        </w:tc>
        <w:tc>
          <w:tcPr>
            <w:tcW w:w="100" w:type="dxa"/>
            <w:vAlign w:val="bottom"/>
          </w:tcPr>
          <w:p>
            <w:pPr>
              <w:spacing w:after="0"/>
              <w:rPr>
                <w:sz w:val="16"/>
                <w:szCs w:val="16"/>
                <w:color w:val="auto"/>
              </w:rPr>
            </w:pPr>
          </w:p>
        </w:tc>
        <w:tc>
          <w:tcPr>
            <w:tcW w:w="20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977,635</w:t>
            </w:r>
          </w:p>
        </w:tc>
        <w:tc>
          <w:tcPr>
            <w:tcW w:w="0" w:type="dxa"/>
            <w:vAlign w:val="bottom"/>
          </w:tcPr>
          <w:p>
            <w:pPr>
              <w:spacing w:after="0"/>
              <w:rPr>
                <w:sz w:val="1"/>
                <w:szCs w:val="1"/>
                <w:color w:val="auto"/>
              </w:rPr>
            </w:pPr>
          </w:p>
        </w:tc>
      </w:tr>
      <w:tr>
        <w:trPr>
          <w:trHeight w:val="217"/>
        </w:trPr>
        <w:tc>
          <w:tcPr>
            <w:tcW w:w="2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8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2020</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236,374</w:t>
            </w:r>
          </w:p>
        </w:tc>
        <w:tc>
          <w:tcPr>
            <w:tcW w:w="3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73,923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315,943</w:t>
            </w:r>
          </w:p>
        </w:tc>
        <w:tc>
          <w:tcPr>
            <w:tcW w:w="0" w:type="dxa"/>
            <w:vAlign w:val="bottom"/>
          </w:tcPr>
          <w:p>
            <w:pPr>
              <w:spacing w:after="0"/>
              <w:rPr>
                <w:sz w:val="1"/>
                <w:szCs w:val="1"/>
                <w:color w:val="auto"/>
              </w:rPr>
            </w:pPr>
          </w:p>
        </w:tc>
      </w:tr>
      <w:tr>
        <w:trPr>
          <w:trHeight w:val="94"/>
        </w:trPr>
        <w:tc>
          <w:tcPr>
            <w:tcW w:w="21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40" w:type="dxa"/>
            <w:vAlign w:val="bottom"/>
            <w:gridSpan w:val="3"/>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237,250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117,761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47,241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6,183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408,435</w:t>
            </w: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Philip E. Cohen</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2021</w:t>
            </w:r>
          </w:p>
        </w:tc>
        <w:tc>
          <w:tcPr>
            <w:tcW w:w="2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1,500,000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195"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1,656,044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23,532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3,179,576</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w:t>
            </w:r>
          </w:p>
        </w:tc>
        <w:tc>
          <w:tcPr>
            <w:tcW w:w="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350,390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21,028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1,871,418</w:t>
            </w:r>
          </w:p>
        </w:tc>
        <w:tc>
          <w:tcPr>
            <w:tcW w:w="0" w:type="dxa"/>
            <w:vAlign w:val="bottom"/>
          </w:tcPr>
          <w:p>
            <w:pPr>
              <w:spacing w:after="0"/>
              <w:rPr>
                <w:sz w:val="1"/>
                <w:szCs w:val="1"/>
                <w:color w:val="auto"/>
              </w:rPr>
            </w:pPr>
          </w:p>
        </w:tc>
      </w:tr>
      <w:tr>
        <w:trPr>
          <w:trHeight w:val="94"/>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 xml:space="preserve">Lachlan P. Given </w:t>
            </w:r>
            <w:r>
              <w:rPr>
                <w:rFonts w:ascii="Arial" w:cs="Arial" w:eastAsia="Arial" w:hAnsi="Arial"/>
                <w:sz w:val="18"/>
                <w:szCs w:val="18"/>
                <w:color w:val="auto"/>
              </w:rPr>
              <w:t>(5)</w:t>
            </w:r>
          </w:p>
        </w:tc>
        <w:tc>
          <w:tcPr>
            <w:tcW w:w="8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99"/>
              </w:rPr>
              <w:t>2021</w:t>
            </w: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600,000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372,003</w:t>
            </w:r>
          </w:p>
        </w:tc>
        <w:tc>
          <w:tcPr>
            <w:tcW w:w="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770,000</w:t>
            </w:r>
          </w:p>
        </w:tc>
        <w:tc>
          <w:tcPr>
            <w:tcW w:w="12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83,028</w:t>
            </w:r>
          </w:p>
        </w:tc>
        <w:tc>
          <w:tcPr>
            <w:tcW w:w="100" w:type="dxa"/>
            <w:vAlign w:val="bottom"/>
          </w:tcPr>
          <w:p>
            <w:pPr>
              <w:spacing w:after="0"/>
              <w:rPr>
                <w:sz w:val="16"/>
                <w:szCs w:val="16"/>
                <w:color w:val="auto"/>
              </w:rPr>
            </w:pPr>
          </w:p>
        </w:tc>
        <w:tc>
          <w:tcPr>
            <w:tcW w:w="20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1,825,031</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5" w:lineRule="exact"/>
              <w:rPr>
                <w:sz w:val="20"/>
                <w:szCs w:val="20"/>
                <w:color w:val="auto"/>
              </w:rPr>
            </w:pPr>
            <w:r>
              <w:rPr>
                <w:rFonts w:ascii="Arial" w:cs="Arial" w:eastAsia="Arial" w:hAnsi="Arial"/>
                <w:sz w:val="18"/>
                <w:szCs w:val="18"/>
                <w:color w:val="auto"/>
              </w:rPr>
              <w:t>Chief Strategy, M&amp;A and</w:t>
            </w:r>
          </w:p>
        </w:tc>
        <w:tc>
          <w:tcPr>
            <w:tcW w:w="8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2020</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277,377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82,200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959,577</w:t>
            </w:r>
          </w:p>
        </w:tc>
        <w:tc>
          <w:tcPr>
            <w:tcW w:w="0" w:type="dxa"/>
            <w:vAlign w:val="bottom"/>
          </w:tcPr>
          <w:p>
            <w:pPr>
              <w:spacing w:after="0"/>
              <w:rPr>
                <w:sz w:val="1"/>
                <w:szCs w:val="1"/>
                <w:color w:val="auto"/>
              </w:rPr>
            </w:pPr>
          </w:p>
        </w:tc>
      </w:tr>
      <w:tr>
        <w:trPr>
          <w:trHeight w:val="136"/>
        </w:trPr>
        <w:tc>
          <w:tcPr>
            <w:tcW w:w="2160" w:type="dxa"/>
            <w:vAlign w:val="bottom"/>
            <w:vMerge w:val="restart"/>
          </w:tcPr>
          <w:p>
            <w:pPr>
              <w:ind w:left="20"/>
              <w:spacing w:after="0"/>
              <w:rPr>
                <w:sz w:val="20"/>
                <w:szCs w:val="20"/>
                <w:color w:val="auto"/>
              </w:rPr>
            </w:pPr>
            <w:r>
              <w:rPr>
                <w:rFonts w:ascii="Arial" w:cs="Arial" w:eastAsia="Arial" w:hAnsi="Arial"/>
                <w:sz w:val="18"/>
                <w:szCs w:val="18"/>
                <w:color w:val="auto"/>
              </w:rPr>
              <w:t>Funding Officer</w:t>
            </w:r>
          </w:p>
        </w:tc>
        <w:tc>
          <w:tcPr>
            <w:tcW w:w="82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34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8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2019</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772,148</w:t>
            </w:r>
          </w:p>
        </w:tc>
        <w:tc>
          <w:tcPr>
            <w:tcW w:w="10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519,534</w:t>
            </w:r>
          </w:p>
        </w:tc>
        <w:tc>
          <w:tcPr>
            <w:tcW w:w="12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81,372</w:t>
            </w:r>
          </w:p>
        </w:tc>
        <w:tc>
          <w:tcPr>
            <w:tcW w:w="100" w:type="dxa"/>
            <w:vAlign w:val="bottom"/>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1,973,054</w:t>
            </w: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60" w:type="dxa"/>
            <w:vAlign w:val="bottom"/>
            <w:shd w:val="clear" w:color="auto" w:fill="BFE4FF"/>
          </w:tcPr>
          <w:p>
            <w:pPr>
              <w:ind w:left="20"/>
              <w:spacing w:after="0" w:line="195" w:lineRule="exact"/>
              <w:rPr>
                <w:sz w:val="20"/>
                <w:szCs w:val="20"/>
                <w:color w:val="auto"/>
              </w:rPr>
            </w:pPr>
            <w:r>
              <w:rPr>
                <w:rFonts w:ascii="Arial" w:cs="Arial" w:eastAsia="Arial" w:hAnsi="Arial"/>
                <w:sz w:val="18"/>
                <w:szCs w:val="18"/>
                <w:color w:val="auto"/>
              </w:rPr>
              <w:t>Francisco J. Kuthy</w:t>
            </w:r>
          </w:p>
        </w:tc>
        <w:tc>
          <w:tcPr>
            <w:tcW w:w="820" w:type="dxa"/>
            <w:vAlign w:val="bottom"/>
            <w:gridSpan w:val="2"/>
            <w:vMerge w:val="restart"/>
            <w:shd w:val="clear" w:color="auto" w:fill="BFE4FF"/>
          </w:tcPr>
          <w:p>
            <w:pPr>
              <w:jc w:val="center"/>
              <w:ind w:left="10"/>
              <w:spacing w:after="0"/>
              <w:rPr>
                <w:sz w:val="20"/>
                <w:szCs w:val="20"/>
                <w:color w:val="auto"/>
              </w:rPr>
            </w:pPr>
            <w:r>
              <w:rPr>
                <w:rFonts w:ascii="Arial" w:cs="Arial" w:eastAsia="Arial" w:hAnsi="Arial"/>
                <w:sz w:val="18"/>
                <w:szCs w:val="18"/>
                <w:color w:val="auto"/>
                <w:w w:val="99"/>
              </w:rPr>
              <w:t>2021</w:t>
            </w:r>
          </w:p>
        </w:tc>
        <w:tc>
          <w:tcPr>
            <w:tcW w:w="100" w:type="dxa"/>
            <w:vAlign w:val="bottom"/>
            <w:shd w:val="clear" w:color="auto" w:fill="BFE4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418,435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277,164</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364,286</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85,121</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1,145,006</w:t>
            </w:r>
          </w:p>
        </w:tc>
        <w:tc>
          <w:tcPr>
            <w:tcW w:w="0" w:type="dxa"/>
            <w:vAlign w:val="bottom"/>
          </w:tcPr>
          <w:p>
            <w:pPr>
              <w:spacing w:after="0"/>
              <w:rPr>
                <w:sz w:val="1"/>
                <w:szCs w:val="1"/>
                <w:color w:val="auto"/>
              </w:rPr>
            </w:pPr>
          </w:p>
        </w:tc>
      </w:tr>
      <w:tr>
        <w:trPr>
          <w:trHeight w:val="122"/>
        </w:trPr>
        <w:tc>
          <w:tcPr>
            <w:tcW w:w="2160" w:type="dxa"/>
            <w:vAlign w:val="bottom"/>
            <w:vMerge w:val="restart"/>
            <w:shd w:val="clear" w:color="auto" w:fill="BFE4FF"/>
          </w:tcPr>
          <w:p>
            <w:pPr>
              <w:ind w:left="20"/>
              <w:spacing w:after="0"/>
              <w:rPr>
                <w:sz w:val="20"/>
                <w:szCs w:val="20"/>
                <w:color w:val="auto"/>
              </w:rPr>
            </w:pPr>
            <w:r>
              <w:rPr>
                <w:rFonts w:ascii="Arial" w:cs="Arial" w:eastAsia="Arial" w:hAnsi="Arial"/>
                <w:sz w:val="18"/>
                <w:szCs w:val="18"/>
                <w:color w:val="auto"/>
              </w:rPr>
              <w:t>Saenger</w:t>
            </w:r>
          </w:p>
        </w:tc>
        <w:tc>
          <w:tcPr>
            <w:tcW w:w="820" w:type="dxa"/>
            <w:vAlign w:val="bottom"/>
            <w:gridSpan w:val="2"/>
            <w:vMerge w:val="continue"/>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60" w:type="dxa"/>
            <w:vAlign w:val="bottom"/>
            <w:vMerge w:val="continue"/>
            <w:shd w:val="clear" w:color="auto" w:fill="BFE4FF"/>
          </w:tcPr>
          <w:p>
            <w:pPr>
              <w:spacing w:after="0"/>
              <w:rPr>
                <w:sz w:val="8"/>
                <w:szCs w:val="8"/>
                <w:color w:val="auto"/>
              </w:rPr>
            </w:pPr>
          </w:p>
        </w:tc>
        <w:tc>
          <w:tcPr>
            <w:tcW w:w="80" w:type="dxa"/>
            <w:vAlign w:val="bottom"/>
            <w:shd w:val="clear" w:color="auto" w:fill="BFE4FF"/>
          </w:tcPr>
          <w:p>
            <w:pPr>
              <w:spacing w:after="0"/>
              <w:rPr>
                <w:sz w:val="8"/>
                <w:szCs w:val="8"/>
                <w:color w:val="auto"/>
              </w:rPr>
            </w:pPr>
          </w:p>
        </w:tc>
        <w:tc>
          <w:tcPr>
            <w:tcW w:w="7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160" w:type="dxa"/>
            <w:vAlign w:val="bottom"/>
            <w:shd w:val="clear" w:color="auto" w:fill="BFE4FF"/>
          </w:tcPr>
          <w:p>
            <w:pPr>
              <w:ind w:left="20"/>
              <w:spacing w:after="0" w:line="189" w:lineRule="exact"/>
              <w:rPr>
                <w:sz w:val="20"/>
                <w:szCs w:val="20"/>
                <w:color w:val="auto"/>
              </w:rPr>
            </w:pPr>
            <w:r>
              <w:rPr>
                <w:rFonts w:ascii="Arial" w:cs="Arial" w:eastAsia="Arial" w:hAnsi="Arial"/>
                <w:sz w:val="18"/>
                <w:szCs w:val="18"/>
                <w:color w:val="auto"/>
              </w:rPr>
              <w:t>President, Latin America</w:t>
            </w:r>
          </w:p>
        </w:tc>
        <w:tc>
          <w:tcPr>
            <w:tcW w:w="80" w:type="dxa"/>
            <w:vAlign w:val="bottom"/>
            <w:shd w:val="clear" w:color="auto" w:fill="BFE4FF"/>
          </w:tcPr>
          <w:p>
            <w:pPr>
              <w:spacing w:after="0"/>
              <w:rPr>
                <w:sz w:val="16"/>
                <w:szCs w:val="16"/>
                <w:color w:val="auto"/>
              </w:rPr>
            </w:pPr>
          </w:p>
        </w:tc>
        <w:tc>
          <w:tcPr>
            <w:tcW w:w="74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BFE4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142,831</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81,950</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594,668</w:t>
            </w:r>
          </w:p>
        </w:tc>
        <w:tc>
          <w:tcPr>
            <w:tcW w:w="0" w:type="dxa"/>
            <w:vAlign w:val="bottom"/>
          </w:tcPr>
          <w:p>
            <w:pPr>
              <w:spacing w:after="0"/>
              <w:rPr>
                <w:sz w:val="1"/>
                <w:szCs w:val="1"/>
                <w:color w:val="auto"/>
              </w:rPr>
            </w:pPr>
          </w:p>
        </w:tc>
      </w:tr>
      <w:tr>
        <w:trPr>
          <w:trHeight w:val="122"/>
        </w:trPr>
        <w:tc>
          <w:tcPr>
            <w:tcW w:w="2160" w:type="dxa"/>
            <w:vAlign w:val="bottom"/>
            <w:vMerge w:val="restart"/>
            <w:shd w:val="clear" w:color="auto" w:fill="BFE4FF"/>
          </w:tcPr>
          <w:p>
            <w:pPr>
              <w:ind w:left="20"/>
              <w:spacing w:after="0"/>
              <w:rPr>
                <w:sz w:val="20"/>
                <w:szCs w:val="20"/>
                <w:color w:val="auto"/>
              </w:rPr>
            </w:pPr>
            <w:r>
              <w:rPr>
                <w:rFonts w:ascii="Arial" w:cs="Arial" w:eastAsia="Arial" w:hAnsi="Arial"/>
                <w:sz w:val="18"/>
                <w:szCs w:val="18"/>
                <w:color w:val="auto"/>
              </w:rPr>
              <w:t>Pawn</w:t>
            </w:r>
          </w:p>
        </w:tc>
        <w:tc>
          <w:tcPr>
            <w:tcW w:w="80" w:type="dxa"/>
            <w:vAlign w:val="bottom"/>
            <w:shd w:val="clear" w:color="auto" w:fill="BFE4FF"/>
          </w:tcPr>
          <w:p>
            <w:pPr>
              <w:spacing w:after="0"/>
              <w:rPr>
                <w:sz w:val="10"/>
                <w:szCs w:val="10"/>
                <w:color w:val="auto"/>
              </w:rPr>
            </w:pPr>
          </w:p>
        </w:tc>
        <w:tc>
          <w:tcPr>
            <w:tcW w:w="740" w:type="dxa"/>
            <w:vAlign w:val="bottom"/>
            <w:vMerge w:val="continue"/>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340" w:type="dxa"/>
            <w:vAlign w:val="bottom"/>
            <w:gridSpan w:val="3"/>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6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60" w:type="dxa"/>
            <w:vAlign w:val="bottom"/>
            <w:vMerge w:val="continue"/>
            <w:shd w:val="clear" w:color="auto" w:fill="BFE4FF"/>
          </w:tcPr>
          <w:p>
            <w:pPr>
              <w:spacing w:after="0"/>
              <w:rPr>
                <w:sz w:val="8"/>
                <w:szCs w:val="8"/>
                <w:color w:val="auto"/>
              </w:rPr>
            </w:pPr>
          </w:p>
        </w:tc>
        <w:tc>
          <w:tcPr>
            <w:tcW w:w="80" w:type="dxa"/>
            <w:vAlign w:val="bottom"/>
            <w:shd w:val="clear" w:color="auto" w:fill="BFE4FF"/>
          </w:tcPr>
          <w:p>
            <w:pPr>
              <w:spacing w:after="0"/>
              <w:rPr>
                <w:sz w:val="8"/>
                <w:szCs w:val="8"/>
                <w:color w:val="auto"/>
              </w:rPr>
            </w:pPr>
          </w:p>
        </w:tc>
        <w:tc>
          <w:tcPr>
            <w:tcW w:w="7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7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2019</w:t>
            </w:r>
          </w:p>
        </w:tc>
        <w:tc>
          <w:tcPr>
            <w:tcW w:w="100" w:type="dxa"/>
            <w:vAlign w:val="bottom"/>
            <w:shd w:val="clear" w:color="auto" w:fill="BFE4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783,925</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40" w:right="20" w:hanging="332"/>
        <w:spacing w:after="0" w:line="249" w:lineRule="auto"/>
        <w:tabs>
          <w:tab w:leader="none" w:pos="36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shown under “Salary” reflect the gross amounts of base salary paid to each of the Named Executive Officers during the fiscal years so noted. The fiscal 2020 amounts for Mr. Kulas include amounts paid to him in the role of President and Chief Financial Officer (February 28, 2020 to July 6, 2020) and Chief Executive Officer (from July 6, 2020).</w:t>
      </w:r>
    </w:p>
    <w:p>
      <w:pPr>
        <w:spacing w:after="0" w:line="92" w:lineRule="exact"/>
        <w:rPr>
          <w:rFonts w:ascii="Arial" w:cs="Arial" w:eastAsia="Arial" w:hAnsi="Arial"/>
          <w:sz w:val="14"/>
          <w:szCs w:val="14"/>
          <w:color w:val="auto"/>
        </w:rPr>
      </w:pPr>
    </w:p>
    <w:p>
      <w:pPr>
        <w:ind w:left="340" w:hanging="332"/>
        <w:spacing w:after="0" w:line="247" w:lineRule="auto"/>
        <w:tabs>
          <w:tab w:leader="none" w:pos="36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10: Common Stock and Stock Compensation of Notes to Consolidated Financial Statements included in “Part II, Item 8 — Financial Statements and Supplemental Data.” The actual value realized by the Named Executive Officer with respect to stock awards will depend on whether the award vests and, if it vests, the market value of our stock on the date the stock is sold.</w:t>
      </w:r>
    </w:p>
    <w:p>
      <w:pPr>
        <w:spacing w:after="0" w:line="93" w:lineRule="exact"/>
        <w:rPr>
          <w:sz w:val="20"/>
          <w:szCs w:val="20"/>
          <w:color w:val="auto"/>
        </w:rPr>
      </w:pPr>
    </w:p>
    <w:p>
      <w:pPr>
        <w:ind w:left="340" w:right="620"/>
        <w:spacing w:after="0" w:line="258" w:lineRule="auto"/>
        <w:rPr>
          <w:sz w:val="20"/>
          <w:szCs w:val="20"/>
          <w:color w:val="auto"/>
        </w:rPr>
      </w:pPr>
      <w:r>
        <w:rPr>
          <w:rFonts w:ascii="Arial" w:cs="Arial" w:eastAsia="Arial" w:hAnsi="Arial"/>
          <w:sz w:val="14"/>
          <w:szCs w:val="14"/>
          <w:color w:val="auto"/>
        </w:rPr>
        <w:t>The fiscal 2020 amount shown for Mr. Kulas includes $112,116 related to a restricted stock award that he received as a director before joining the Company as an executive.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380"/>
        <w:spacing w:after="0" w:line="258" w:lineRule="auto"/>
        <w:rPr>
          <w:sz w:val="20"/>
          <w:szCs w:val="20"/>
          <w:color w:val="auto"/>
        </w:rPr>
      </w:pPr>
      <w:r>
        <w:rPr>
          <w:rFonts w:ascii="Arial" w:cs="Arial" w:eastAsia="Arial" w:hAnsi="Arial"/>
          <w:sz w:val="14"/>
          <w:szCs w:val="14"/>
          <w:color w:val="auto"/>
        </w:rPr>
        <w:t>For a description of these awards, see the “Grant of Plan-Based Awards” table under “Incentive Plan Based Awards” below. See also “Compensation Discussion and Analysis — Components of Compensation — Long-Term Incentives” above.</w:t>
      </w:r>
    </w:p>
    <w:p>
      <w:pPr>
        <w:spacing w:after="0" w:line="86" w:lineRule="exact"/>
        <w:rPr>
          <w:sz w:val="20"/>
          <w:szCs w:val="20"/>
          <w:color w:val="auto"/>
        </w:rPr>
      </w:pPr>
    </w:p>
    <w:p>
      <w:pPr>
        <w:ind w:left="340" w:right="20" w:hanging="332"/>
        <w:spacing w:after="0" w:line="247" w:lineRule="auto"/>
        <w:tabs>
          <w:tab w:leader="none" w:pos="367"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Named Executive Officers other than Mr. Cohen, amounts represent the incentive bonuses paid pursuant to the Short-Term Incentive Compensation Plan. See “Compensation Discussion and Analysis — Components of Compensation — Annual Incentive Bonuses” above. For Mr. Cohen, amount represent the incentive bonuses paid pursuant to the special incentive compensation arrangement described under “Compensation Discussion and Analysis — Components of Compensation — Executive Chairman Incentive Award.”</w:t>
      </w:r>
    </w:p>
    <w:p>
      <w:pPr>
        <w:spacing w:after="0" w:line="93" w:lineRule="exact"/>
        <w:rPr>
          <w:sz w:val="20"/>
          <w:szCs w:val="20"/>
          <w:color w:val="auto"/>
        </w:rPr>
      </w:pPr>
    </w:p>
    <w:p>
      <w:pPr>
        <w:ind w:left="340" w:right="300"/>
        <w:spacing w:after="0" w:line="258" w:lineRule="auto"/>
        <w:rPr>
          <w:sz w:val="20"/>
          <w:szCs w:val="20"/>
          <w:color w:val="auto"/>
        </w:rPr>
      </w:pPr>
      <w:r>
        <w:rPr>
          <w:rFonts w:ascii="Arial" w:cs="Arial" w:eastAsia="Arial" w:hAnsi="Arial"/>
          <w:sz w:val="14"/>
          <w:szCs w:val="14"/>
          <w:color w:val="auto"/>
        </w:rPr>
        <w:t>The fiscal 2020 amount for Mr. Kulas represents the minimum fiscal 2020 STI payout that was guaranteed when Mr. Kulas joined the Company as President and Chief Financial Officer in February 2020.</w:t>
      </w:r>
    </w:p>
    <w:p>
      <w:pPr>
        <w:spacing w:after="0" w:line="86" w:lineRule="exact"/>
        <w:rPr>
          <w:sz w:val="20"/>
          <w:szCs w:val="20"/>
          <w:color w:val="auto"/>
        </w:rPr>
      </w:pPr>
    </w:p>
    <w:p>
      <w:pPr>
        <w:ind w:left="340" w:right="160" w:hanging="332"/>
        <w:spacing w:after="0" w:line="247" w:lineRule="auto"/>
        <w:tabs>
          <w:tab w:leader="none" w:pos="367"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include the cost of providing various perquisites and personal benefits, as well as the value of our contributions to the company-sponsored 401(k) plan and Supplemental Executive Retirement Plan. For Mr. Kulas, amounts include fees that were paid to him in his capacity as a non-employee director prior to his joining the Company as an executive in February 2020. For Mr. Kuthy, amounts include statutory perquisites customary in Mexico. For detail of the amounts shown for each Named Executive Officer, see the table under “Other Benefits and Perquisites — All Other Compensation” below.</w:t>
      </w:r>
    </w:p>
    <w:p>
      <w:pPr>
        <w:spacing w:after="0" w:line="93" w:lineRule="exact"/>
        <w:rPr>
          <w:rFonts w:ascii="Arial" w:cs="Arial" w:eastAsia="Arial" w:hAnsi="Arial"/>
          <w:sz w:val="14"/>
          <w:szCs w:val="14"/>
          <w:color w:val="auto"/>
        </w:rPr>
      </w:pPr>
    </w:p>
    <w:p>
      <w:pPr>
        <w:jc w:val="both"/>
        <w:ind w:left="340" w:hanging="332"/>
        <w:spacing w:after="0" w:line="249" w:lineRule="auto"/>
        <w:tabs>
          <w:tab w:leader="none" w:pos="367"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Kulas and Mr. Given also serve on the board of directors of Cash Converters International Limited, with Mr. Kulas serving as non-executive chairman. The director fees paid to each of them by Cash Converters International Limited were as follows: Mr. Kulas, approximately $128,000; Mr. Given, approximately $71,000. These amounts are not included in the Summary Compensation Table, as they were paid by Cash Converters International Limited, which is not controlled by EZCORP.</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information sets forth our calculation of the ratio between the annual total compensation of Jason A. Kulas, our Chief Executive Officer, and the annual total compensation of our median Team Member (“CEO Pay Ratio”).</w:t>
      </w:r>
    </w:p>
    <w:p>
      <w:pPr>
        <w:spacing w:after="0" w:line="144" w:lineRule="exact"/>
        <w:rPr>
          <w:sz w:val="20"/>
          <w:szCs w:val="20"/>
          <w:color w:val="auto"/>
        </w:rPr>
      </w:pPr>
    </w:p>
    <w:p>
      <w:pPr>
        <w:ind w:left="660" w:right="520" w:hanging="328"/>
        <w:spacing w:after="0" w:line="261" w:lineRule="auto"/>
        <w:tabs>
          <w:tab w:leader="none" w:pos="6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Kulas’ total annual compensation for fiscal 2021 was $3,284,952. That number is derived from the numbers set forth in the Summary Compensation Table above.</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median Team Member’s total annual compensation for fiscal 2021 was $20,561, consisting of gross annual wages, bonuses, overtime pay and other benefits.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those numbers, our CEO Pay ratio for fiscal 2021 is 160:1.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CEO Pay Ratio is based on the following methodology:</w:t>
      </w:r>
    </w:p>
    <w:p>
      <w:pPr>
        <w:spacing w:after="0" w:line="171" w:lineRule="exact"/>
        <w:rPr>
          <w:sz w:val="20"/>
          <w:szCs w:val="20"/>
          <w:color w:val="auto"/>
        </w:rPr>
      </w:pPr>
    </w:p>
    <w:p>
      <w:pPr>
        <w:ind w:left="660" w:right="200" w:hanging="328"/>
        <w:spacing w:after="0" w:line="254" w:lineRule="auto"/>
        <w:tabs>
          <w:tab w:leader="none" w:pos="6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When we identified our median Team Member, we selected gross wages as the most appropriate measure of compensation and applied that measure consistently across our Team Member population. Gross wages generally include salary and wages (regular, hourly and overtime), commissions and bonuses. We annualized the compensation of all permanent full-time and part-time Team Members who were hired during the year.</w:t>
      </w:r>
    </w:p>
    <w:p>
      <w:pPr>
        <w:spacing w:after="0" w:line="149" w:lineRule="exact"/>
        <w:rPr>
          <w:rFonts w:ascii="Arial" w:cs="Arial" w:eastAsia="Arial" w:hAnsi="Arial"/>
          <w:sz w:val="18"/>
          <w:szCs w:val="18"/>
          <w:color w:val="auto"/>
        </w:rPr>
      </w:pPr>
    </w:p>
    <w:p>
      <w:pPr>
        <w:ind w:left="660" w:right="440" w:hanging="328"/>
        <w:spacing w:after="0" w:line="261" w:lineRule="auto"/>
        <w:tabs>
          <w:tab w:leader="none" w:pos="6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calculated the median Team Member’s total annual compensation in accordance with the rules used to calculate the CEO’s compensation included in the Summary Compensation Table above.</w:t>
      </w:r>
    </w:p>
    <w:p>
      <w:pPr>
        <w:spacing w:after="0" w:line="143" w:lineRule="exact"/>
        <w:rPr>
          <w:rFonts w:ascii="Arial" w:cs="Arial" w:eastAsia="Arial" w:hAnsi="Arial"/>
          <w:sz w:val="18"/>
          <w:szCs w:val="18"/>
          <w:color w:val="auto"/>
        </w:rPr>
      </w:pPr>
    </w:p>
    <w:p>
      <w:pPr>
        <w:ind w:left="660" w:right="200" w:hanging="328"/>
        <w:spacing w:after="0" w:line="261" w:lineRule="auto"/>
        <w:tabs>
          <w:tab w:leader="none" w:pos="6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Using this methodology, we determined that our median Team Member was a full-time store manager located in Guatemala where Team Member wages and cost of living are significantly lower than the U.S.</w:t>
      </w:r>
    </w:p>
    <w:p>
      <w:pPr>
        <w:spacing w:after="0" w:line="14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calculating CEO pay ratios, companies are permitted to adopt a variety of methodologies, apply certain exclusions and make reasonable estimates and assumptions reflecting their unique employee populations. Therefore, our CEO Pay Ratio, as described above, may not be comparable to CEO pay ratios reported by other companies due to differences in industries and geographical dispersion of employees, as well as the different estimates, assumptions and methodologies applied by other companies in calculating their CEO pay ratios.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Plan Based Awards</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table sets forth certain information about plan-based awards that we made to the Named Executive Officers during fiscal 2021. For information about the plans under which these awards were granted, see “Compensation Discussion and Analysis — Components of Compensation — Annual Incentive Bonus” and “Compensation Discussion and Analysis — Components of Compensation — Long-Term Incentives” above.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rPr>
              <w:t>Estimated Future Payouts Under</w:t>
            </w:r>
          </w:p>
        </w:tc>
        <w:tc>
          <w:tcPr>
            <w:tcW w:w="3240" w:type="dxa"/>
            <w:vAlign w:val="bottom"/>
            <w:gridSpan w:val="5"/>
          </w:tcPr>
          <w:p>
            <w:pPr>
              <w:jc w:val="center"/>
              <w:spacing w:after="0"/>
              <w:rPr>
                <w:sz w:val="20"/>
                <w:szCs w:val="20"/>
                <w:color w:val="auto"/>
              </w:rPr>
            </w:pPr>
            <w:r>
              <w:rPr>
                <w:rFonts w:ascii="Arial" w:cs="Arial" w:eastAsia="Arial" w:hAnsi="Arial"/>
                <w:sz w:val="16"/>
                <w:szCs w:val="16"/>
                <w:b w:val="1"/>
                <w:bCs w:val="1"/>
                <w:color w:val="auto"/>
              </w:rPr>
              <w:t>Estimated Future Payouts Under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rPr>
              <w:t>Non-Equity Incentive Plan Awards (1)</w:t>
            </w:r>
          </w:p>
        </w:tc>
        <w:tc>
          <w:tcPr>
            <w:tcW w:w="3240" w:type="dxa"/>
            <w:vAlign w:val="bottom"/>
            <w:gridSpan w:val="5"/>
          </w:tcPr>
          <w:p>
            <w:pPr>
              <w:jc w:val="center"/>
              <w:spacing w:after="0"/>
              <w:rPr>
                <w:sz w:val="20"/>
                <w:szCs w:val="20"/>
                <w:color w:val="auto"/>
              </w:rPr>
            </w:pPr>
            <w:r>
              <w:rPr>
                <w:rFonts w:ascii="Arial" w:cs="Arial" w:eastAsia="Arial" w:hAnsi="Arial"/>
                <w:sz w:val="16"/>
                <w:szCs w:val="16"/>
                <w:b w:val="1"/>
                <w:bCs w:val="1"/>
                <w:color w:val="auto"/>
              </w:rPr>
              <w:t>Equity Incentive Plan Awards (2)</w:t>
            </w:r>
          </w:p>
        </w:tc>
        <w:tc>
          <w:tcPr>
            <w:tcW w:w="100" w:type="dxa"/>
            <w:vAlign w:val="bottom"/>
          </w:tcPr>
          <w:p>
            <w:pPr>
              <w:spacing w:after="0"/>
              <w:rPr>
                <w:sz w:val="18"/>
                <w:szCs w:val="18"/>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Grant Date</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Threshold</w:t>
            </w:r>
          </w:p>
        </w:tc>
        <w:tc>
          <w:tcPr>
            <w:tcW w:w="16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Target</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Maximum</w:t>
            </w:r>
          </w:p>
        </w:tc>
        <w:tc>
          <w:tcPr>
            <w:tcW w:w="12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Threshold</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Target</w:t>
            </w:r>
          </w:p>
        </w:tc>
        <w:tc>
          <w:tcPr>
            <w:tcW w:w="10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Maximum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15"/>
        </w:trPr>
        <w:tc>
          <w:tcPr>
            <w:tcW w:w="21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75"/>
        </w:trPr>
        <w:tc>
          <w:tcPr>
            <w:tcW w:w="2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Jason A. Kulas</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2/26/2021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2/22/2021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126,740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253,479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380,219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418,666</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1/27/2021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129,517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305,013</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Timothy K. Jugmans</w:t>
            </w:r>
          </w:p>
        </w:tc>
        <w:tc>
          <w:tcPr>
            <w:tcW w:w="1000" w:type="dxa"/>
            <w:vAlign w:val="bottom"/>
          </w:tcPr>
          <w:p>
            <w:pPr>
              <w:jc w:val="center"/>
              <w:spacing w:after="0"/>
              <w:rPr>
                <w:sz w:val="20"/>
                <w:szCs w:val="20"/>
                <w:color w:val="auto"/>
              </w:rPr>
            </w:pPr>
            <w:r>
              <w:rPr>
                <w:rFonts w:ascii="Arial" w:cs="Arial" w:eastAsia="Arial" w:hAnsi="Arial"/>
                <w:sz w:val="16"/>
                <w:szCs w:val="16"/>
                <w:color w:val="auto"/>
              </w:rPr>
              <w:t>2/26/2021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222,000</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2/22/2021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119,284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197,019</w:t>
            </w: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1/27/2021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8,853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17,706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41,698</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Philip E. Cohen</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2/26/2021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Lachlan P. Given</w:t>
            </w:r>
          </w:p>
        </w:tc>
        <w:tc>
          <w:tcPr>
            <w:tcW w:w="1000" w:type="dxa"/>
            <w:vAlign w:val="bottom"/>
          </w:tcPr>
          <w:p>
            <w:pPr>
              <w:jc w:val="center"/>
              <w:spacing w:after="0"/>
              <w:rPr>
                <w:sz w:val="20"/>
                <w:szCs w:val="20"/>
                <w:color w:val="auto"/>
              </w:rPr>
            </w:pPr>
            <w:r>
              <w:rPr>
                <w:rFonts w:ascii="Arial" w:cs="Arial" w:eastAsia="Arial" w:hAnsi="Arial"/>
                <w:sz w:val="16"/>
                <w:szCs w:val="16"/>
                <w:color w:val="auto"/>
              </w:rPr>
              <w:t>2/26/2021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2/22/2021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119,284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197,019</w:t>
            </w: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1/27/2021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37,152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74,303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74,303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174,984</w:t>
            </w:r>
          </w:p>
        </w:tc>
        <w:tc>
          <w:tcPr>
            <w:tcW w:w="0" w:type="dxa"/>
            <w:vAlign w:val="bottom"/>
          </w:tcPr>
          <w:p>
            <w:pPr>
              <w:spacing w:after="0"/>
              <w:rPr>
                <w:sz w:val="1"/>
                <w:szCs w:val="1"/>
                <w:color w:val="auto"/>
              </w:rPr>
            </w:pPr>
          </w:p>
        </w:tc>
      </w:tr>
      <w:tr>
        <w:trPr>
          <w:trHeight w:val="180"/>
        </w:trPr>
        <w:tc>
          <w:tcPr>
            <w:tcW w:w="21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Francisco J. Kuthy</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2/26/2021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Saenger</w:t>
            </w: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20" w:type="dxa"/>
            <w:vAlign w:val="bottom"/>
            <w:gridSpan w:val="2"/>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2/22/2021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39,761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79,522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119,283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131,345</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1/27/2021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145,819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20" w:hanging="332"/>
        <w:spacing w:after="0" w:line="244" w:lineRule="auto"/>
        <w:tabs>
          <w:tab w:leader="none" w:pos="36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amounts represent the potential payouts under the fiscal 2021 Short-Term Incentive Compensation Plan. See “Compensation Discussion and Analysis — Components of Compensation — Annual Incentive Bonuses” above. The “Target” amount is the amount that will be paid if the specified performance goals are achieved at the target level (although the Compensation Committee may reduce any award if it chooses to do so). The “Threshold” reflects the amount that would be paid if the minimum performance goals are achieved. Under the terms of the fiscal 2021 Short-Term Incentive Compensation Plan, the People and Compensation Committee retained discretion to award payouts in excess of 100%; therefore, the “Maximum” amount was indeterminate. See the “Non-Equity Incentive Plan Compensation” column in the Summary Compensation Table above for the amount of the actual payout for each of the Named Executive Officers.</w:t>
      </w:r>
    </w:p>
    <w:p>
      <w:pPr>
        <w:spacing w:after="0" w:line="97" w:lineRule="exact"/>
        <w:rPr>
          <w:rFonts w:ascii="Arial" w:cs="Arial" w:eastAsia="Arial" w:hAnsi="Arial"/>
          <w:sz w:val="14"/>
          <w:szCs w:val="14"/>
          <w:color w:val="auto"/>
        </w:rPr>
      </w:pPr>
    </w:p>
    <w:p>
      <w:pPr>
        <w:ind w:left="340" w:right="260" w:hanging="332"/>
        <w:spacing w:after="0" w:line="249" w:lineRule="auto"/>
        <w:tabs>
          <w:tab w:leader="none" w:pos="36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shown for February 22, 2021 represent the fiscal 2021 awards (stated in number of units) under the Long-Term Incentive Plan, and the amount shown for January 27, 2021 represent the fiscal 2020 awards (stated in number of units) under the Long-Term Incentive Plan. See “Compensation Discussion and Analysis — Components of Compensation — Long-Term Incentives.”</w:t>
      </w:r>
    </w:p>
    <w:p>
      <w:pPr>
        <w:spacing w:after="0" w:line="92" w:lineRule="exact"/>
        <w:rPr>
          <w:rFonts w:ascii="Arial" w:cs="Arial" w:eastAsia="Arial" w:hAnsi="Arial"/>
          <w:sz w:val="14"/>
          <w:szCs w:val="14"/>
          <w:color w:val="auto"/>
        </w:rPr>
      </w:pPr>
    </w:p>
    <w:p>
      <w:pPr>
        <w:ind w:left="340" w:right="40" w:hanging="332"/>
        <w:spacing w:after="0" w:line="245" w:lineRule="auto"/>
        <w:tabs>
          <w:tab w:leader="none" w:pos="367"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estimated grant date fair value of equity awards, assuming payout at “Target” level. This is the estimated amount of aggregate compensation cost we expect to recognize over the performance period, determined as of the grant date. See “Compensation Discussion and Analysis — Components of Compensation — Long-Term Incentives” above. Because of the structure of the fiscal 2021 and 2020 awards, each annual tranche of the awards is treated as a separate award for accounting purposes. Consequently, the amounts shown represent only the grant date fair value of the first annual tranche (i.e., one-third of the fiscal 2021 awards and one-half of the fiscal 2020 awards).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2021. None of the Named Executive Officers holds any stock options.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3" w:lineRule="exact"/>
        <w:rPr>
          <w:sz w:val="20"/>
          <w:szCs w:val="20"/>
          <w:color w:val="auto"/>
        </w:rPr>
      </w:pPr>
    </w:p>
    <w:tbl>
      <w:tblPr>
        <w:tblLayout w:type="fixed"/>
        <w:tblInd w:w="1360" w:type="dxa"/>
        <w:tblCellMar>
          <w:top w:w="0" w:type="dxa"/>
          <w:left w:w="0" w:type="dxa"/>
          <w:bottom w:w="0" w:type="dxa"/>
          <w:right w:w="0" w:type="dxa"/>
        </w:tblCellMar>
      </w:tblPr>
      <w:tr>
        <w:trPr>
          <w:trHeight w:val="218"/>
        </w:trPr>
        <w:tc>
          <w:tcPr>
            <w:tcW w:w="2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6"/>
                <w:szCs w:val="16"/>
                <w:b w:val="1"/>
                <w:bCs w:val="1"/>
                <w:color w:val="auto"/>
              </w:rPr>
              <w:t>Stock Awards</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Number of Shares or</w:t>
            </w: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 Value of Shares or</w:t>
            </w:r>
          </w:p>
        </w:tc>
        <w:tc>
          <w:tcPr>
            <w:tcW w:w="0" w:type="dxa"/>
            <w:vAlign w:val="bottom"/>
          </w:tcPr>
          <w:p>
            <w:pPr>
              <w:spacing w:after="0"/>
              <w:rPr>
                <w:sz w:val="1"/>
                <w:szCs w:val="1"/>
                <w:color w:val="auto"/>
              </w:rPr>
            </w:pPr>
          </w:p>
        </w:tc>
      </w:tr>
      <w:tr>
        <w:trPr>
          <w:trHeight w:val="135"/>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Award Date</w:t>
            </w:r>
          </w:p>
        </w:tc>
        <w:tc>
          <w:tcPr>
            <w:tcW w:w="1700" w:type="dxa"/>
            <w:vAlign w:val="bottom"/>
          </w:tcPr>
          <w:p>
            <w:pPr>
              <w:jc w:val="center"/>
              <w:ind w:left="354"/>
              <w:spacing w:after="0" w:line="135" w:lineRule="exact"/>
              <w:rPr>
                <w:sz w:val="20"/>
                <w:szCs w:val="20"/>
                <w:color w:val="auto"/>
              </w:rPr>
            </w:pPr>
            <w:r>
              <w:rPr>
                <w:rFonts w:ascii="Arial" w:cs="Arial" w:eastAsia="Arial" w:hAnsi="Arial"/>
                <w:sz w:val="14"/>
                <w:szCs w:val="14"/>
                <w:b w:val="1"/>
                <w:bCs w:val="1"/>
                <w:color w:val="auto"/>
              </w:rPr>
              <w:t>Units of Stock</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of Stock</w:t>
            </w:r>
          </w:p>
        </w:tc>
        <w:tc>
          <w:tcPr>
            <w:tcW w:w="0" w:type="dxa"/>
            <w:vAlign w:val="bottom"/>
          </w:tcPr>
          <w:p>
            <w:pPr>
              <w:spacing w:after="0"/>
              <w:rPr>
                <w:sz w:val="1"/>
                <w:szCs w:val="1"/>
                <w:color w:val="auto"/>
              </w:rPr>
            </w:pPr>
          </w:p>
        </w:tc>
      </w:tr>
      <w:tr>
        <w:trPr>
          <w:trHeight w:val="175"/>
        </w:trPr>
        <w:tc>
          <w:tcPr>
            <w:tcW w:w="266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That Have Not Vested</w:t>
            </w: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 Not Vested (1)</w:t>
            </w:r>
          </w:p>
        </w:tc>
        <w:tc>
          <w:tcPr>
            <w:tcW w:w="0" w:type="dxa"/>
            <w:vAlign w:val="bottom"/>
          </w:tcPr>
          <w:p>
            <w:pPr>
              <w:spacing w:after="0"/>
              <w:rPr>
                <w:sz w:val="1"/>
                <w:szCs w:val="1"/>
                <w:color w:val="auto"/>
              </w:rPr>
            </w:pPr>
          </w:p>
        </w:tc>
      </w:tr>
      <w:tr>
        <w:trPr>
          <w:trHeight w:val="75"/>
        </w:trPr>
        <w:tc>
          <w:tcPr>
            <w:tcW w:w="2660" w:type="dxa"/>
            <w:vAlign w:val="bottom"/>
            <w:tcBorders>
              <w:top w:val="single" w:sz="8" w:color="auto"/>
            </w:tcBorders>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Jason A. Kulas</w:t>
            </w:r>
          </w:p>
        </w:tc>
        <w:tc>
          <w:tcPr>
            <w:tcW w:w="15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9"/>
              </w:rPr>
              <w:t>2/22/2021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253,479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1,918,836</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99"/>
              </w:rPr>
              <w:t>1/27/2021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129,517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980,444</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Timothy K. Jugmans</w:t>
            </w:r>
          </w:p>
        </w:tc>
        <w:tc>
          <w:tcPr>
            <w:tcW w:w="15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9"/>
              </w:rPr>
              <w:t>2/22/2021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445,464</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99"/>
              </w:rPr>
              <w:t>1/27/2021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17,076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129,265</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12/11/2018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80,923</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Philip E. Cohen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Lachlan P. Given</w:t>
            </w:r>
          </w:p>
        </w:tc>
        <w:tc>
          <w:tcPr>
            <w:tcW w:w="15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9"/>
              </w:rPr>
              <w:t>2/22/2021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119,284</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902,980</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99"/>
              </w:rPr>
              <w:t>1/27/2021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74,303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562,474</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12/11/2018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530,604</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Francisco J. Kuthy Saenger</w:t>
            </w:r>
          </w:p>
        </w:tc>
        <w:tc>
          <w:tcPr>
            <w:tcW w:w="1500" w:type="dxa"/>
            <w:vAlign w:val="bottom"/>
          </w:tcPr>
          <w:p>
            <w:pPr>
              <w:jc w:val="center"/>
              <w:ind w:left="172"/>
              <w:spacing w:after="0"/>
              <w:rPr>
                <w:sz w:val="20"/>
                <w:szCs w:val="20"/>
                <w:color w:val="auto"/>
              </w:rPr>
            </w:pPr>
            <w:r>
              <w:rPr>
                <w:rFonts w:ascii="Arial" w:cs="Arial" w:eastAsia="Arial" w:hAnsi="Arial"/>
                <w:sz w:val="18"/>
                <w:szCs w:val="18"/>
                <w:color w:val="auto"/>
                <w:w w:val="99"/>
              </w:rPr>
              <w:t>2/22/2021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79,522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601,982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9"/>
              </w:rPr>
              <w:t>1/27/2021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468,727</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1500" w:type="dxa"/>
            <w:vAlign w:val="bottom"/>
          </w:tcPr>
          <w:p>
            <w:pPr>
              <w:jc w:val="center"/>
              <w:ind w:left="192"/>
              <w:spacing w:after="0"/>
              <w:rPr>
                <w:sz w:val="20"/>
                <w:szCs w:val="20"/>
                <w:color w:val="auto"/>
              </w:rPr>
            </w:pPr>
            <w:r>
              <w:rPr>
                <w:rFonts w:ascii="Arial" w:cs="Arial" w:eastAsia="Arial" w:hAnsi="Arial"/>
                <w:sz w:val="18"/>
                <w:szCs w:val="18"/>
                <w:color w:val="auto"/>
                <w:w w:val="99"/>
              </w:rPr>
              <w:t>12/11/2018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24,978</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189,083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30, 2021, the last market trading day of fiscal 2021 ($7.57).</w:t>
      </w:r>
    </w:p>
    <w:p>
      <w:pPr>
        <w:spacing w:after="0" w:line="55" w:lineRule="exact"/>
        <w:rPr>
          <w:rFonts w:ascii="Arial" w:cs="Arial" w:eastAsia="Arial" w:hAnsi="Arial"/>
          <w:sz w:val="14"/>
          <w:szCs w:val="14"/>
          <w:color w:val="auto"/>
        </w:rPr>
      </w:pPr>
    </w:p>
    <w:p>
      <w:pPr>
        <w:ind w:left="340" w:right="40" w:hanging="332"/>
        <w:spacing w:after="0" w:line="258" w:lineRule="auto"/>
        <w:tabs>
          <w:tab w:leader="none" w:pos="367"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These awards vested in November 2021 following approval by the People and Compensation Committee. See “Compensation Discussion and Analysis — Components of Compensation — Long-Term Incentives” above.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Vested</w:t>
      </w:r>
    </w:p>
    <w:p>
      <w:pPr>
        <w:spacing w:after="0" w:line="19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sets forth, with respect to each of the Named Executive Officers, certain information about restricted stock that vested during fiscal 2021:</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2580" w:type="dxa"/>
            <w:vAlign w:val="bottom"/>
            <w:gridSpan w:val="4"/>
          </w:tcPr>
          <w:p>
            <w:pPr>
              <w:jc w:val="center"/>
              <w:ind w:right="580"/>
              <w:spacing w:after="0" w:line="142" w:lineRule="exact"/>
              <w:rPr>
                <w:sz w:val="20"/>
                <w:szCs w:val="20"/>
                <w:color w:val="auto"/>
              </w:rPr>
            </w:pPr>
            <w:r>
              <w:rPr>
                <w:rFonts w:ascii="Arial" w:cs="Arial" w:eastAsia="Arial" w:hAnsi="Arial"/>
                <w:sz w:val="14"/>
                <w:szCs w:val="14"/>
                <w:b w:val="1"/>
                <w:bCs w:val="1"/>
                <w:color w:val="auto"/>
              </w:rPr>
              <w:t>Number of Shares</w:t>
            </w:r>
          </w:p>
        </w:tc>
        <w:tc>
          <w:tcPr>
            <w:tcW w:w="1580" w:type="dxa"/>
            <w:vAlign w:val="bottom"/>
            <w:gridSpan w:val="2"/>
          </w:tcPr>
          <w:p>
            <w:pPr>
              <w:jc w:val="right"/>
              <w:ind w:right="430"/>
              <w:spacing w:after="0" w:line="142"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5"/>
        </w:trPr>
        <w:tc>
          <w:tcPr>
            <w:tcW w:w="6180" w:type="dxa"/>
            <w:vAlign w:val="bottom"/>
            <w:gridSpan w:val="2"/>
            <w:vMerge w:val="continue"/>
          </w:tcPr>
          <w:p>
            <w:pPr>
              <w:spacing w:after="0"/>
              <w:rPr>
                <w:sz w:val="15"/>
                <w:szCs w:val="15"/>
                <w:color w:val="auto"/>
              </w:rPr>
            </w:pPr>
          </w:p>
        </w:tc>
        <w:tc>
          <w:tcPr>
            <w:tcW w:w="25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Acquired on Vesting</w:t>
            </w:r>
          </w:p>
        </w:tc>
        <w:tc>
          <w:tcPr>
            <w:tcW w:w="15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on Vesting (1)</w:t>
            </w:r>
          </w:p>
        </w:tc>
        <w:tc>
          <w:tcPr>
            <w:tcW w:w="0" w:type="dxa"/>
            <w:vAlign w:val="bottom"/>
          </w:tcPr>
          <w:p>
            <w:pPr>
              <w:spacing w:after="0"/>
              <w:rPr>
                <w:sz w:val="1"/>
                <w:szCs w:val="1"/>
                <w:color w:val="auto"/>
              </w:rPr>
            </w:pPr>
          </w:p>
        </w:tc>
      </w:tr>
      <w:tr>
        <w:trPr>
          <w:trHeight w:val="34"/>
        </w:trPr>
        <w:tc>
          <w:tcPr>
            <w:tcW w:w="60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Jason A. Kulas</w:t>
            </w:r>
          </w:p>
        </w:tc>
        <w:tc>
          <w:tcPr>
            <w:tcW w:w="15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90,768</w:t>
            </w:r>
          </w:p>
        </w:tc>
        <w:tc>
          <w:tcPr>
            <w:tcW w:w="500" w:type="dxa"/>
            <w:vAlign w:val="bottom"/>
            <w:shd w:val="clear" w:color="auto" w:fill="BFE4FF"/>
          </w:tcPr>
          <w:p>
            <w:pPr>
              <w:jc w:val="right"/>
              <w:ind w:right="154"/>
              <w:spacing w:after="0"/>
              <w:rPr>
                <w:sz w:val="20"/>
                <w:szCs w:val="20"/>
                <w:color w:val="auto"/>
              </w:rPr>
            </w:pPr>
            <w:r>
              <w:rPr>
                <w:rFonts w:ascii="Arial" w:cs="Arial" w:eastAsia="Arial" w:hAnsi="Arial"/>
                <w:sz w:val="18"/>
                <w:szCs w:val="18"/>
                <w:color w:val="auto"/>
              </w:rPr>
              <w:t>(2)</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right"/>
              <w:ind w:right="430"/>
              <w:spacing w:after="0"/>
              <w:rPr>
                <w:sz w:val="20"/>
                <w:szCs w:val="20"/>
                <w:color w:val="auto"/>
              </w:rPr>
            </w:pPr>
            <w:r>
              <w:rPr>
                <w:rFonts w:ascii="Arial" w:cs="Arial" w:eastAsia="Arial" w:hAnsi="Arial"/>
                <w:sz w:val="18"/>
                <w:szCs w:val="18"/>
                <w:color w:val="auto"/>
              </w:rPr>
              <w:t>435,686</w:t>
            </w:r>
          </w:p>
        </w:tc>
        <w:tc>
          <w:tcPr>
            <w:tcW w:w="0" w:type="dxa"/>
            <w:vAlign w:val="bottom"/>
          </w:tcPr>
          <w:p>
            <w:pPr>
              <w:spacing w:after="0"/>
              <w:rPr>
                <w:sz w:val="1"/>
                <w:szCs w:val="1"/>
                <w:color w:val="auto"/>
              </w:rPr>
            </w:pPr>
          </w:p>
        </w:tc>
      </w:tr>
      <w:tr>
        <w:trPr>
          <w:trHeight w:val="23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1500" w:type="dxa"/>
            <w:vAlign w:val="bottom"/>
          </w:tcPr>
          <w:p>
            <w:pPr>
              <w:jc w:val="right"/>
              <w:spacing w:after="0"/>
              <w:rPr>
                <w:sz w:val="20"/>
                <w:szCs w:val="20"/>
                <w:color w:val="auto"/>
              </w:rPr>
            </w:pPr>
            <w:r>
              <w:rPr>
                <w:rFonts w:ascii="Arial" w:cs="Arial" w:eastAsia="Arial" w:hAnsi="Arial"/>
                <w:sz w:val="18"/>
                <w:szCs w:val="18"/>
                <w:color w:val="auto"/>
              </w:rPr>
              <w:t>11,605</w:t>
            </w:r>
          </w:p>
        </w:tc>
        <w:tc>
          <w:tcPr>
            <w:tcW w:w="50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57,793</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Philip E. Cohen</w:t>
            </w:r>
          </w:p>
        </w:tc>
        <w:tc>
          <w:tcPr>
            <w:tcW w:w="15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320" w:type="dxa"/>
            <w:vAlign w:val="bottom"/>
            <w:shd w:val="clear" w:color="auto" w:fill="BFE4FF"/>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Lachlan P. Given</w:t>
            </w:r>
          </w:p>
        </w:tc>
        <w:tc>
          <w:tcPr>
            <w:tcW w:w="1500" w:type="dxa"/>
            <w:vAlign w:val="bottom"/>
          </w:tcPr>
          <w:p>
            <w:pPr>
              <w:jc w:val="right"/>
              <w:spacing w:after="0"/>
              <w:rPr>
                <w:sz w:val="20"/>
                <w:szCs w:val="20"/>
                <w:color w:val="auto"/>
              </w:rPr>
            </w:pPr>
            <w:r>
              <w:rPr>
                <w:rFonts w:ascii="Arial" w:cs="Arial" w:eastAsia="Arial" w:hAnsi="Arial"/>
                <w:sz w:val="18"/>
                <w:szCs w:val="18"/>
                <w:color w:val="auto"/>
              </w:rPr>
              <w:t>147,698</w:t>
            </w:r>
          </w:p>
        </w:tc>
        <w:tc>
          <w:tcPr>
            <w:tcW w:w="50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735,536</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Francisco J. Kuthy Saenger</w:t>
            </w:r>
          </w:p>
        </w:tc>
        <w:tc>
          <w:tcPr>
            <w:tcW w:w="15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28,948</w:t>
            </w:r>
          </w:p>
        </w:tc>
        <w:tc>
          <w:tcPr>
            <w:tcW w:w="500" w:type="dxa"/>
            <w:vAlign w:val="bottom"/>
            <w:shd w:val="clear" w:color="auto" w:fill="BFE4FF"/>
          </w:tcPr>
          <w:p>
            <w:pPr>
              <w:jc w:val="right"/>
              <w:ind w:right="154"/>
              <w:spacing w:after="0"/>
              <w:rPr>
                <w:sz w:val="20"/>
                <w:szCs w:val="20"/>
                <w:color w:val="auto"/>
              </w:rPr>
            </w:pPr>
            <w:r>
              <w:rPr>
                <w:rFonts w:ascii="Arial" w:cs="Arial" w:eastAsia="Arial" w:hAnsi="Arial"/>
                <w:sz w:val="18"/>
                <w:szCs w:val="18"/>
                <w:color w:val="auto"/>
              </w:rPr>
              <w:t>(3)</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right"/>
              <w:ind w:right="430"/>
              <w:spacing w:after="0"/>
              <w:rPr>
                <w:sz w:val="20"/>
                <w:szCs w:val="20"/>
                <w:color w:val="auto"/>
              </w:rPr>
            </w:pPr>
            <w:r>
              <w:rPr>
                <w:rFonts w:ascii="Arial" w:cs="Arial" w:eastAsia="Arial" w:hAnsi="Arial"/>
                <w:sz w:val="18"/>
                <w:szCs w:val="18"/>
                <w:color w:val="auto"/>
              </w:rPr>
              <w:t>144,161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09" w:lineRule="exact"/>
        <w:rPr>
          <w:rFonts w:ascii="Arial" w:cs="Arial" w:eastAsia="Arial" w:hAnsi="Arial"/>
          <w:sz w:val="14"/>
          <w:szCs w:val="14"/>
          <w:color w:val="auto"/>
        </w:rPr>
      </w:pPr>
    </w:p>
    <w:p>
      <w:pPr>
        <w:ind w:left="340" w:right="20" w:hanging="332"/>
        <w:spacing w:after="0" w:line="258" w:lineRule="auto"/>
        <w:tabs>
          <w:tab w:leader="none" w:pos="36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award was granted to Mr. Kulas on March 5, 2020 in connection with his joining the Company as President and Chief Financial Officer. It vested on February 28, 2021 (market value, $4.80 per share). Amount shown includes shares withheld to satisfy tax withholding obligations.</w:t>
      </w:r>
    </w:p>
    <w:p>
      <w:pPr>
        <w:spacing w:after="0" w:line="85" w:lineRule="exact"/>
        <w:rPr>
          <w:rFonts w:ascii="Arial" w:cs="Arial" w:eastAsia="Arial" w:hAnsi="Arial"/>
          <w:sz w:val="14"/>
          <w:szCs w:val="14"/>
          <w:color w:val="auto"/>
        </w:rPr>
      </w:pPr>
    </w:p>
    <w:p>
      <w:pPr>
        <w:ind w:left="340" w:right="40" w:hanging="332"/>
        <w:spacing w:after="0" w:line="258" w:lineRule="auto"/>
        <w:tabs>
          <w:tab w:leader="none" w:pos="367"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awards were granted on December 12, 2017 and vested on December 15, 2020 (market value, $4.98 per share). Amounts shown include shares withheld to satisfy tax withholding obligations.</w:t>
      </w:r>
    </w:p>
    <w:p>
      <w:pPr>
        <w:spacing w:after="0" w:line="85" w:lineRule="exact"/>
        <w:rPr>
          <w:rFonts w:ascii="Arial" w:cs="Arial" w:eastAsia="Arial" w:hAnsi="Arial"/>
          <w:sz w:val="14"/>
          <w:szCs w:val="14"/>
          <w:color w:val="auto"/>
        </w:rPr>
      </w:pPr>
    </w:p>
    <w:p>
      <w:pPr>
        <w:ind w:left="340" w:right="80" w:hanging="332"/>
        <w:spacing w:after="0" w:line="258" w:lineRule="auto"/>
        <w:tabs>
          <w:tab w:leader="none" w:pos="367"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two awards, one granted on February 1, 2016 and one granted on December 12, 2017, both of which vested on December 15, 2020 (market value, $4.98 per share). Amount shown includes shares withheld to satisfy tax withholding obligations.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Benefits and Perquisites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401(k) Retirement Plan </w:t>
      </w:r>
      <w:r>
        <w:rPr>
          <w:rFonts w:ascii="Arial" w:cs="Arial" w:eastAsia="Arial" w:hAnsi="Arial"/>
          <w:sz w:val="18"/>
          <w:szCs w:val="18"/>
          <w:color w:val="auto"/>
        </w:rPr>
        <w:t>— All U.S. Team Members are given an opportunity to participate in our 401(k) retirement savings plan (following a</w:t>
      </w:r>
      <w:r>
        <w:rPr>
          <w:rFonts w:ascii="Arial" w:cs="Arial" w:eastAsia="Arial" w:hAnsi="Arial"/>
          <w:sz w:val="18"/>
          <w:szCs w:val="18"/>
          <w:i w:val="1"/>
          <w:iCs w:val="1"/>
          <w:color w:val="auto"/>
        </w:rPr>
        <w:t xml:space="preserve"> </w:t>
      </w:r>
      <w:r>
        <w:rPr>
          <w:rFonts w:ascii="Arial" w:cs="Arial" w:eastAsia="Arial" w:hAnsi="Arial"/>
          <w:sz w:val="18"/>
          <w:szCs w:val="18"/>
          <w:color w:val="auto"/>
        </w:rPr>
        <w:t>new-hire waiting period). Subject to statutory limits of the IRS, this plan allows participants to have pre -tax amounts withheld from their pay and provides for a discretionary employer matching contribution (historically, 25% up to 6% of salary). Matching contributions are made in the form of cash. Participants may invest their contributions in various fund options, but are prohibited from investing their contributions in our common stock. A participant vests in the matching contributions over the first three years of service, provided the hours worked requirement is met. A participant’s’ matching contributions vest 100% in the event of death, disability or termination of the plan due to a change in control.</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Supplemental Executive Retirement Plan </w:t>
      </w:r>
      <w:r>
        <w:rPr>
          <w:rFonts w:ascii="Arial" w:cs="Arial" w:eastAsia="Arial" w:hAnsi="Arial"/>
          <w:sz w:val="17"/>
          <w:szCs w:val="17"/>
          <w:color w:val="auto"/>
        </w:rPr>
        <w:t>— We provide U.S. executive officers with a non-qualified Supplemental Executive Retirement Plan</w:t>
      </w:r>
      <w:r>
        <w:rPr>
          <w:rFonts w:ascii="Arial" w:cs="Arial" w:eastAsia="Arial" w:hAnsi="Arial"/>
          <w:sz w:val="17"/>
          <w:szCs w:val="17"/>
          <w:i w:val="1"/>
          <w:iCs w:val="1"/>
          <w:color w:val="auto"/>
        </w:rPr>
        <w:t xml:space="preserve"> </w:t>
      </w:r>
      <w:r>
        <w:rPr>
          <w:rFonts w:ascii="Arial" w:cs="Arial" w:eastAsia="Arial" w:hAnsi="Arial"/>
          <w:sz w:val="17"/>
          <w:szCs w:val="17"/>
          <w:color w:val="auto"/>
        </w:rPr>
        <w:t>(“SERP”) to offer a competitive benefit and to assist in offsetting potential impacts of contribution limitations applicable to our 401(k) retirement savings plan. The SERP has similar investment options as are available under the 401(k) retirement savings plan. Company contributions to the SERP are formula-based, reviewed and approved by the People and Compensation Committee each year. For fiscal 2021, our annual contributions to the SERP were calculated as 10% of base salary as of October 1, 2020. For fiscal 2022, the Company contributions to the SERP will continue at the same rates for continuing executive officers. Under the terms of the SERP, participants are also allowed to voluntarily defer all or a portion of their salary and bonus payments into the SERP. There were nine participants during fiscal 2021.</w:t>
      </w:r>
    </w:p>
    <w:p>
      <w:pPr>
        <w:spacing w:after="0" w:line="13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All Company contributed SERP funds have a vesting schedule as an additional retention tool. Generally, the funds vest over three years from the contribution date, with one-third vesting each year. All of a participant’s Company contributed SERP funds vest 100% in the event of the participant’s death, disability or the termination of the plan due to a change in control. In addition, all Company contributed SERP funds are 100% vested when a participant attains age 50 and five years of active service. All Company contributed SERP funds are forfeited, regardless of vesting status, if the participant’s employment is terminated for cause.</w:t>
      </w:r>
    </w:p>
    <w:p>
      <w:pPr>
        <w:spacing w:after="0" w:line="15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15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describes the SERP contributions, earnings and balance at the end of fiscal 2021 for each of the Named Executive Officers: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Company</w:t>
            </w:r>
          </w:p>
        </w:tc>
        <w:tc>
          <w:tcPr>
            <w:tcW w:w="140" w:type="dxa"/>
            <w:vAlign w:val="bottom"/>
          </w:tcPr>
          <w:p>
            <w:pPr>
              <w:spacing w:after="0"/>
              <w:rPr>
                <w:sz w:val="16"/>
                <w:szCs w:val="16"/>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Aggregate</w:t>
            </w: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Aggregate</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Aggregate</w:t>
            </w:r>
          </w:p>
        </w:tc>
        <w:tc>
          <w:tcPr>
            <w:tcW w:w="120" w:type="dxa"/>
            <w:vAlign w:val="bottom"/>
          </w:tcPr>
          <w:p>
            <w:pPr>
              <w:spacing w:after="0"/>
              <w:rPr>
                <w:sz w:val="16"/>
                <w:szCs w:val="16"/>
                <w:color w:val="auto"/>
              </w:rPr>
            </w:pPr>
          </w:p>
        </w:tc>
        <w:tc>
          <w:tcPr>
            <w:tcW w:w="1260" w:type="dxa"/>
            <w:vAlign w:val="bottom"/>
          </w:tcPr>
          <w:p>
            <w:pPr>
              <w:jc w:val="center"/>
              <w:ind w:right="14"/>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3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Contributions in</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Earnings in</w:t>
            </w:r>
          </w:p>
        </w:tc>
        <w:tc>
          <w:tcPr>
            <w:tcW w:w="21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Withdrawals/Distributions</w:t>
            </w: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Forfeitures in</w:t>
            </w:r>
          </w:p>
        </w:tc>
        <w:tc>
          <w:tcPr>
            <w:tcW w:w="120" w:type="dxa"/>
            <w:vAlign w:val="bottom"/>
          </w:tcPr>
          <w:p>
            <w:pPr>
              <w:spacing w:after="0"/>
              <w:rPr>
                <w:sz w:val="14"/>
                <w:szCs w:val="14"/>
                <w:color w:val="auto"/>
              </w:rPr>
            </w:pPr>
          </w:p>
        </w:tc>
        <w:tc>
          <w:tcPr>
            <w:tcW w:w="126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3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Fiscal 2021 (1)</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Fiscal 2021 (2)</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 Fiscal 2021</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Fiscal 2021</w:t>
            </w:r>
          </w:p>
        </w:tc>
        <w:tc>
          <w:tcPr>
            <w:tcW w:w="120" w:type="dxa"/>
            <w:vAlign w:val="bottom"/>
          </w:tcPr>
          <w:p>
            <w:pPr>
              <w:spacing w:after="0"/>
              <w:rPr>
                <w:sz w:val="18"/>
                <w:szCs w:val="18"/>
                <w:color w:val="auto"/>
              </w:rPr>
            </w:pPr>
          </w:p>
        </w:tc>
        <w:tc>
          <w:tcPr>
            <w:tcW w:w="1260" w:type="dxa"/>
            <w:vAlign w:val="bottom"/>
          </w:tcPr>
          <w:p>
            <w:pPr>
              <w:jc w:val="center"/>
              <w:ind w:right="34"/>
              <w:spacing w:after="0"/>
              <w:rPr>
                <w:sz w:val="20"/>
                <w:szCs w:val="20"/>
                <w:color w:val="auto"/>
              </w:rPr>
            </w:pPr>
            <w:r>
              <w:rPr>
                <w:rFonts w:ascii="Arial" w:cs="Arial" w:eastAsia="Arial" w:hAnsi="Arial"/>
                <w:sz w:val="16"/>
                <w:szCs w:val="16"/>
                <w:b w:val="1"/>
                <w:bCs w:val="1"/>
                <w:color w:val="auto"/>
              </w:rPr>
              <w:t>2021 (3)</w:t>
            </w:r>
          </w:p>
        </w:tc>
        <w:tc>
          <w:tcPr>
            <w:tcW w:w="0" w:type="dxa"/>
            <w:vAlign w:val="bottom"/>
          </w:tcPr>
          <w:p>
            <w:pPr>
              <w:spacing w:after="0"/>
              <w:rPr>
                <w:sz w:val="1"/>
                <w:szCs w:val="1"/>
                <w:color w:val="auto"/>
              </w:rPr>
            </w:pPr>
          </w:p>
        </w:tc>
      </w:tr>
      <w:tr>
        <w:trPr>
          <w:trHeight w:val="35"/>
        </w:trPr>
        <w:tc>
          <w:tcPr>
            <w:tcW w:w="2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A. Kulas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90,169</w:t>
            </w:r>
          </w:p>
        </w:tc>
        <w:tc>
          <w:tcPr>
            <w:tcW w:w="0" w:type="dxa"/>
            <w:vAlign w:val="bottom"/>
          </w:tcPr>
          <w:p>
            <w:pPr>
              <w:spacing w:after="0"/>
              <w:rPr>
                <w:sz w:val="1"/>
                <w:szCs w:val="1"/>
                <w:color w:val="auto"/>
              </w:rPr>
            </w:pPr>
          </w:p>
        </w:tc>
      </w:tr>
      <w:tr>
        <w:trPr>
          <w:trHeight w:val="229"/>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Timothy K. Jugmans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9"/>
                <w:szCs w:val="19"/>
                <w:color w:val="auto"/>
              </w:rPr>
            </w:pPr>
          </w:p>
        </w:tc>
        <w:tc>
          <w:tcPr>
            <w:tcW w:w="21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47,832</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Philip E. Cohen</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Lachlan P. Given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114,104</w:t>
            </w:r>
          </w:p>
        </w:tc>
        <w:tc>
          <w:tcPr>
            <w:tcW w:w="100" w:type="dxa"/>
            <w:vAlign w:val="bottom"/>
          </w:tcPr>
          <w:p>
            <w:pPr>
              <w:spacing w:after="0"/>
              <w:rPr>
                <w:sz w:val="19"/>
                <w:szCs w:val="19"/>
                <w:color w:val="auto"/>
              </w:rPr>
            </w:pPr>
          </w:p>
        </w:tc>
        <w:tc>
          <w:tcPr>
            <w:tcW w:w="21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666,116</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Francisco J. Kuthy Saenger</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55" w:lineRule="exact"/>
        <w:rPr>
          <w:rFonts w:ascii="Arial" w:cs="Arial" w:eastAsia="Arial" w:hAnsi="Arial"/>
          <w:sz w:val="14"/>
          <w:szCs w:val="14"/>
          <w:color w:val="auto"/>
        </w:rPr>
      </w:pPr>
    </w:p>
    <w:p>
      <w:pPr>
        <w:ind w:left="340" w:right="60" w:hanging="332"/>
        <w:spacing w:after="0" w:line="258" w:lineRule="auto"/>
        <w:tabs>
          <w:tab w:leader="none" w:pos="367" w:val="left"/>
        </w:tabs>
        <w:numPr>
          <w:ilvl w:val="0"/>
          <w:numId w:val="76"/>
        </w:numPr>
        <w:rPr>
          <w:rFonts w:ascii="Arial" w:cs="Arial" w:eastAsia="Arial" w:hAnsi="Arial"/>
          <w:sz w:val="14"/>
          <w:szCs w:val="14"/>
          <w:color w:val="auto"/>
        </w:rPr>
      </w:pPr>
      <w:r>
        <w:rPr>
          <w:rFonts w:ascii="Arial" w:cs="Arial" w:eastAsia="Arial" w:hAnsi="Arial"/>
          <w:sz w:val="14"/>
          <w:szCs w:val="14"/>
          <w:color w:val="auto"/>
        </w:rPr>
        <w:t>Of the Aggregate Balance at September 30, 2021, the following amounts were previously reported as compensation in the Summary Compensation Tables for prior years: $360,000 for Mr. Given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Summary Compensation Table above.</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Value of</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Health Care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Contributions to</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Defined</w:t>
            </w:r>
          </w:p>
        </w:tc>
        <w:tc>
          <w:tcPr>
            <w:tcW w:w="12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Benefits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Pr>
          <w:p>
            <w:pPr>
              <w:spacing w:after="0"/>
              <w:rPr>
                <w:sz w:val="11"/>
                <w:szCs w:val="11"/>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Supplemental</w:t>
            </w:r>
          </w:p>
        </w:tc>
        <w:tc>
          <w:tcPr>
            <w:tcW w:w="12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Life Insurance</w:t>
            </w:r>
          </w:p>
        </w:tc>
        <w:tc>
          <w:tcPr>
            <w:tcW w:w="16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Contribution</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Insurance (1)</w:t>
            </w:r>
          </w:p>
        </w:tc>
        <w:tc>
          <w:tcPr>
            <w:tcW w:w="1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Premiums (2)</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Plans (3)</w:t>
            </w:r>
          </w:p>
        </w:tc>
        <w:tc>
          <w:tcPr>
            <w:tcW w:w="120" w:type="dxa"/>
            <w:vAlign w:val="bottom"/>
          </w:tcPr>
          <w:p>
            <w:pPr>
              <w:spacing w:after="0"/>
              <w:rPr>
                <w:sz w:val="15"/>
                <w:szCs w:val="15"/>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9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Jason A. Kulas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56,455</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Timothy K. Jugmans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66,418</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 E. Cohen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Lachlan P. Given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21,636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83,028</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20,808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82,200</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19,452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81,372</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Francisco J. Kuthy Saenger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85,121</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81,949</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79,927</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0" w:right="40" w:hanging="332"/>
        <w:spacing w:after="0" w:line="249" w:lineRule="auto"/>
        <w:tabs>
          <w:tab w:leader="none" w:pos="367" w:val="left"/>
        </w:tabs>
        <w:numPr>
          <w:ilvl w:val="0"/>
          <w:numId w:val="77"/>
        </w:numPr>
        <w:rPr>
          <w:rFonts w:ascii="Arial" w:cs="Arial" w:eastAsia="Arial" w:hAnsi="Arial"/>
          <w:sz w:val="14"/>
          <w:szCs w:val="14"/>
          <w:color w:val="auto"/>
        </w:rPr>
      </w:pPr>
      <w:r>
        <w:rPr>
          <w:rFonts w:ascii="Arial" w:cs="Arial" w:eastAsia="Arial" w:hAnsi="Arial"/>
          <w:sz w:val="14"/>
          <w:szCs w:val="14"/>
          <w:color w:val="auto"/>
        </w:rPr>
        <w:t>We provide a fully insured supplemental executive medical plan to certain executives, including all of the Named Executive Officers (other than Mr. Kuthy), to cover most healthcare costs in excess of amounts covered by our health insurance plans. The amounts shown represent the total premiums paid for the supplemental executive medical plan for each of the Named Executive Officers during each of the years presented.</w:t>
      </w:r>
    </w:p>
    <w:p>
      <w:pPr>
        <w:spacing w:after="0" w:line="38" w:lineRule="exact"/>
        <w:rPr>
          <w:rFonts w:ascii="Arial" w:cs="Arial" w:eastAsia="Arial" w:hAnsi="Arial"/>
          <w:sz w:val="14"/>
          <w:szCs w:val="14"/>
          <w:color w:val="auto"/>
        </w:rPr>
      </w:pPr>
    </w:p>
    <w:p>
      <w:pPr>
        <w:ind w:left="340" w:right="40" w:hanging="332"/>
        <w:spacing w:after="0" w:line="258" w:lineRule="auto"/>
        <w:tabs>
          <w:tab w:leader="none" w:pos="367"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group life insurance premiums paid on behalf of the Named Executive Officers. The benefit provides life and accidental death and dismemberment coverage for the Named Executive Officers at three times annual salary up to a maximum of $1 million.</w:t>
      </w:r>
    </w:p>
    <w:p>
      <w:pPr>
        <w:spacing w:after="0" w:line="31" w:lineRule="exact"/>
        <w:rPr>
          <w:rFonts w:ascii="Arial" w:cs="Arial" w:eastAsia="Arial" w:hAnsi="Arial"/>
          <w:sz w:val="14"/>
          <w:szCs w:val="14"/>
          <w:color w:val="auto"/>
        </w:rPr>
      </w:pPr>
    </w:p>
    <w:p>
      <w:pPr>
        <w:ind w:left="360" w:hanging="352"/>
        <w:spacing w:after="0"/>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Company contributions to the 401(k) plan and the Supplemental Executive Retirement Plan.</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shown as Other Benefits include the following:</w:t>
      </w:r>
    </w:p>
    <w:p>
      <w:pPr>
        <w:spacing w:after="0" w:line="55" w:lineRule="exact"/>
        <w:rPr>
          <w:sz w:val="20"/>
          <w:szCs w:val="20"/>
          <w:color w:val="auto"/>
        </w:rPr>
      </w:pPr>
    </w:p>
    <w:p>
      <w:pPr>
        <w:ind w:left="340"/>
        <w:spacing w:after="0" w:line="258" w:lineRule="auto"/>
        <w:rPr>
          <w:sz w:val="20"/>
          <w:szCs w:val="20"/>
          <w:color w:val="auto"/>
        </w:rPr>
      </w:pPr>
      <w:r>
        <w:rPr>
          <w:rFonts w:ascii="Arial" w:cs="Arial" w:eastAsia="Arial" w:hAnsi="Arial"/>
          <w:sz w:val="14"/>
          <w:szCs w:val="14"/>
          <w:color w:val="auto"/>
        </w:rPr>
        <w:t>Mr. Kulas — The amounts shown represent directors fees paid to Mr. Kulas in his capacity as a non-employee director prior to his joining the Company as an executive in February 2020.</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Kuthy — The amounts shown include various perquisites typical for executives in Mexico (including automobile and fuel allowances) and statutory pay requirements.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Certain Termination and Change-in-Control Benefits </w:t>
      </w:r>
      <w:r>
        <w:rPr>
          <w:rFonts w:ascii="Arial" w:cs="Arial" w:eastAsia="Arial" w:hAnsi="Arial"/>
          <w:sz w:val="18"/>
          <w:szCs w:val="18"/>
          <w:color w:val="auto"/>
        </w:rPr>
        <w:t>— The following is a summary of various agreements that provide for benefits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 upon termination of employment or a change-in-control:</w:t>
      </w:r>
    </w:p>
    <w:p>
      <w:pPr>
        <w:spacing w:after="0" w:line="153" w:lineRule="exact"/>
        <w:rPr>
          <w:sz w:val="20"/>
          <w:szCs w:val="20"/>
          <w:color w:val="auto"/>
        </w:rPr>
      </w:pPr>
    </w:p>
    <w:p>
      <w:pPr>
        <w:ind w:left="660" w:right="40" w:hanging="328"/>
        <w:spacing w:after="0" w:line="266" w:lineRule="auto"/>
        <w:tabs>
          <w:tab w:leader="none" w:pos="669"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Award Agreements </w:t>
      </w:r>
      <w:r>
        <w:rPr>
          <w:rFonts w:ascii="Arial" w:cs="Arial" w:eastAsia="Arial" w:hAnsi="Arial"/>
          <w:sz w:val="18"/>
          <w:szCs w:val="18"/>
          <w:color w:val="auto"/>
        </w:rPr>
        <w:t>— The standard restricted stock award agreement pursuant to which we grant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restricted stock units to our Team Members generally provides that vesting is accelerated in the event of the holder’s death or disability.</w:t>
      </w:r>
    </w:p>
    <w:p>
      <w:pPr>
        <w:spacing w:after="0" w:line="121" w:lineRule="exact"/>
        <w:rPr>
          <w:rFonts w:ascii="Arial" w:cs="Arial" w:eastAsia="Arial" w:hAnsi="Arial"/>
          <w:sz w:val="18"/>
          <w:szCs w:val="18"/>
          <w:color w:val="auto"/>
        </w:rPr>
      </w:pPr>
    </w:p>
    <w:p>
      <w:pPr>
        <w:ind w:left="660" w:right="380" w:hanging="328"/>
        <w:spacing w:after="0" w:line="313" w:lineRule="auto"/>
        <w:tabs>
          <w:tab w:leader="none" w:pos="669"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SERP Contributions </w:t>
      </w:r>
      <w:r>
        <w:rPr>
          <w:rFonts w:ascii="Arial" w:cs="Arial" w:eastAsia="Arial" w:hAnsi="Arial"/>
          <w:sz w:val="17"/>
          <w:szCs w:val="17"/>
          <w:color w:val="auto"/>
        </w:rPr>
        <w:t>— For all executives who participate in the SERP (including the Named Executive Officers), any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contributions to the SERP will vest in the case of death or disability of the participant or a change-in-control.</w:t>
      </w:r>
    </w:p>
    <w:p>
      <w:pPr>
        <w:spacing w:after="0" w:line="84" w:lineRule="exact"/>
        <w:rPr>
          <w:rFonts w:ascii="Arial" w:cs="Arial" w:eastAsia="Arial" w:hAnsi="Arial"/>
          <w:sz w:val="17"/>
          <w:szCs w:val="17"/>
          <w:i w:val="1"/>
          <w:iCs w:val="1"/>
          <w:color w:val="auto"/>
        </w:rPr>
      </w:pPr>
    </w:p>
    <w:p>
      <w:pPr>
        <w:ind w:left="660" w:right="400" w:hanging="328"/>
        <w:spacing w:after="0" w:line="282" w:lineRule="auto"/>
        <w:tabs>
          <w:tab w:leader="none" w:pos="669"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General severance benefits </w:t>
      </w:r>
      <w:r>
        <w:rPr>
          <w:rFonts w:ascii="Arial" w:cs="Arial" w:eastAsia="Arial" w:hAnsi="Arial"/>
          <w:sz w:val="18"/>
          <w:szCs w:val="18"/>
          <w:color w:val="auto"/>
        </w:rPr>
        <w:t>— We currently provide each of our executive officers (other than Mr. Cohen) with one-year salary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continuation if his or her employment is terminated by the Company without cause.</w:t>
      </w: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2021:</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Accelerated</w:t>
            </w:r>
          </w:p>
        </w:tc>
        <w:tc>
          <w:tcPr>
            <w:tcW w:w="180" w:type="dxa"/>
            <w:vAlign w:val="bottom"/>
          </w:tcPr>
          <w:p>
            <w:pPr>
              <w:spacing w:after="0"/>
              <w:rPr>
                <w:sz w:val="14"/>
                <w:szCs w:val="14"/>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b w:val="1"/>
                <w:bCs w:val="1"/>
                <w:color w:val="auto"/>
              </w:rPr>
              <w:t>Accelerated</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Vesting of</w:t>
            </w:r>
          </w:p>
        </w:tc>
        <w:tc>
          <w:tcPr>
            <w:tcW w:w="180" w:type="dxa"/>
            <w:vAlign w:val="bottom"/>
          </w:tcPr>
          <w:p>
            <w:pPr>
              <w:spacing w:after="0"/>
              <w:rPr>
                <w:sz w:val="11"/>
                <w:szCs w:val="11"/>
                <w:color w:val="auto"/>
              </w:rPr>
            </w:pPr>
          </w:p>
        </w:tc>
        <w:tc>
          <w:tcPr>
            <w:tcW w:w="116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rPr>
              <w:t>Vesting of</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1"/>
                <w:szCs w:val="11"/>
                <w:color w:val="auto"/>
              </w:rPr>
            </w:pPr>
          </w:p>
        </w:tc>
        <w:tc>
          <w:tcPr>
            <w:tcW w:w="116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9"/>
              </w:rPr>
              <w:t>SERP</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Stock (1)</w:t>
            </w:r>
          </w:p>
        </w:tc>
        <w:tc>
          <w:tcPr>
            <w:tcW w:w="180" w:type="dxa"/>
            <w:vAlign w:val="bottom"/>
          </w:tcPr>
          <w:p>
            <w:pPr>
              <w:spacing w:after="0"/>
              <w:rPr>
                <w:sz w:val="15"/>
                <w:szCs w:val="15"/>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74"/>
        </w:trPr>
        <w:tc>
          <w:tcPr>
            <w:tcW w:w="35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Resignation for Good Reason: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Jason A. Kulas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Timothy K. Jugmans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Philip E. Cohen</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Lachlan P. Given</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Francisco J. Kuthy Saenger</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Termination Without Cause: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Jason A. Kulas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Timothy K. Jugmans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Philip E. Cohen</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Lachlan P. Given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Francisco J. Kuthy Saenger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904,467</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Death or Disability: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Jason A. Kulas</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2,899,280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90,169</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Timothy K. Jugmans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1,037,014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47,832</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Philip E. Cohen</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Lachlan P. Given</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1,465,454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128,135</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Arial" w:cs="Arial" w:eastAsia="Arial" w:hAnsi="Arial"/>
                <w:sz w:val="18"/>
                <w:szCs w:val="18"/>
                <w:color w:val="auto"/>
              </w:rPr>
              <w:t>Francisco J. Kuthy Saenger</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1,070,708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40" w:right="920" w:hanging="332"/>
        <w:spacing w:after="0" w:line="258" w:lineRule="auto"/>
        <w:tabs>
          <w:tab w:leader="none" w:pos="367"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the number of shares subject to accelerated vesting (as described above), multiplied by the closing sales price of the Class A Common Stock on September 30, 2021 ($7.57).</w:t>
      </w:r>
    </w:p>
    <w:p>
      <w:pPr>
        <w:spacing w:after="0" w:line="85" w:lineRule="exact"/>
        <w:rPr>
          <w:rFonts w:ascii="Arial" w:cs="Arial" w:eastAsia="Arial" w:hAnsi="Arial"/>
          <w:sz w:val="14"/>
          <w:szCs w:val="14"/>
          <w:color w:val="auto"/>
        </w:rPr>
      </w:pPr>
    </w:p>
    <w:p>
      <w:pPr>
        <w:ind w:left="360" w:hanging="352"/>
        <w:spacing w:after="0"/>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the amount of statutory severance that Mr. Kuthy would be entitled to in Mexico.</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People and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severance benefits described above would apply, depending on the circumstances of the termination.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non-employee director receives a basic annual retainer fee, with the Lead Independent Director, the chair of the Audit Committee and the chair of the People and Compensation Committee each receiving an additional amount. During fiscal 2021, the basic annual retainer fee was $80,000, and additional amounts paid to the Lead Independent Director, the chair of the Audit Committee and the chair of the People and Compensation Committee were $40,000, $27,500 and $15,000, respectively. Annual retainer fees are paid in cash on a quarterly basis.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People and Compensation Committee. Historically, the directors have each received an annual restricted stock award with a grant date value equal to 2X the annual retainer fee. Prior to fiscal 2021, the directors received their annual restricted stock on a fiscal year basis, with the awards generally being made at the beginning of the fiscal year and vesting at the end of the fiscal year. For fiscal 2021, the Board decided to shift to an annual award cycle based on our Annual Meeting of Stockholders, which is generally held in February or March of each year. Accordingly, at the beginning of fiscal 2021, each of the directors received a restricted stock award that was 50% of the value that they would have otherwise received and scheduled to vest on March 31, 2021. Then, on the date of the 2021 Annual Meeting of Stockholders (February 18, 2021), each of the continuing directors received another restricted stock award with a grant date value equal to 2X the annual retainer fee and scheduled to vest on the date of the Annual Meeting of Stockholders held in 2022 (but no later than March 31, 2022). Going forward, the Board expects to approve annual restricted stock awards to</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continuing directors as of the date of the Annual Meeting of Stockholders, with vesting to occur on the date of the following Annual Meeting of Stockholders.</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table sets forth the compensation paid to our non-employee directors for fiscal 2021. Mr. Cohen and Mr. Kulas are executive officers of the Company and do not receive any additional compensation for serving on the Board of Directors. Ms. Brown, Mr. Dooner, Mr. Stone, Mr. Webb and Ms. Zeegers served as directors until the 2021 Annual Meeting of Stockholders (February 18, 2021), when their terms of service ended.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w:t>
            </w:r>
          </w:p>
        </w:tc>
        <w:tc>
          <w:tcPr>
            <w:tcW w:w="1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4"/>
                <w:szCs w:val="14"/>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Paid in Cash</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Awards (1)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4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W. Appel</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126,875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236,026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362,901</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Zena Srivatsa Arnold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236,026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316,026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Shelagmichael Brown</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116,026</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Hugo R. Dooner</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76,026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116,026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Pablo Lagos Espinosa</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236,026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331,026</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Kent V. Stone</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76,026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116,026</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Gary L. Tillett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236,026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336,651</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Robert W. K. (Robb) Webb</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76,026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116,026</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Rosa Zeegers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116,026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140" w:hanging="332"/>
        <w:spacing w:after="0" w:line="247" w:lineRule="auto"/>
        <w:tabs>
          <w:tab w:leader="none" w:pos="367"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10: Common Stock and Stock Compensation of Notes to Consolidated Financial Statements included in “Part II, Item 8 — Financial Statements and Supplemental Data”. The values shown were computed using the trading price of our Class A Common Stock on the date of grant, which in some cases differed from the amount used to determine the number of shares awarded. The actual value realized by the director with respect to stock awards will depend on the market value of our stock on the date the stock is sold.</w:t>
      </w:r>
    </w:p>
    <w:p>
      <w:pPr>
        <w:spacing w:after="0" w:line="93" w:lineRule="exact"/>
        <w:rPr>
          <w:rFonts w:ascii="Arial" w:cs="Arial" w:eastAsia="Arial" w:hAnsi="Arial"/>
          <w:sz w:val="14"/>
          <w:szCs w:val="14"/>
          <w:color w:val="auto"/>
        </w:rPr>
      </w:pPr>
    </w:p>
    <w:p>
      <w:pPr>
        <w:ind w:left="340" w:right="220" w:hanging="332"/>
        <w:spacing w:after="0" w:line="247" w:lineRule="auto"/>
        <w:tabs>
          <w:tab w:leader="none" w:pos="352"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Received a grant of 15,905 shares of restricted stock in December 2020. That amount was determined by dividing $80,000 (1X the annual director fee) by $5.03, the trading price of the Class A Common Stock at the beginning of fiscal 2020. These shares vested on March 31, 2021. Also received a grant of 31,936 shares of restricted stock in February 2021. That amount was determined by dividing $160,000 (2X the annual director fee) by $5.01, the trading price of the Class A Common Stock at the time of grant. These shares are scheduled to vest at the 2022 Annual Meeting of Stockholders (but no later than March 31, 2022).</w:t>
      </w:r>
    </w:p>
    <w:p>
      <w:pPr>
        <w:spacing w:after="0" w:line="9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As of September 30, 2021, each of the continuing non-employee directors held 31,936 shares of unvested restricted stock.</w:t>
      </w:r>
    </w:p>
    <w:p>
      <w:pPr>
        <w:spacing w:after="0" w:line="109" w:lineRule="exact"/>
        <w:rPr>
          <w:rFonts w:ascii="Arial" w:cs="Arial" w:eastAsia="Arial" w:hAnsi="Arial"/>
          <w:sz w:val="14"/>
          <w:szCs w:val="14"/>
          <w:color w:val="auto"/>
        </w:rPr>
      </w:pPr>
    </w:p>
    <w:p>
      <w:pPr>
        <w:ind w:left="340" w:right="240" w:hanging="332"/>
        <w:spacing w:after="0" w:line="249" w:lineRule="auto"/>
        <w:tabs>
          <w:tab w:leader="none" w:pos="352"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Received a grant of 15,905 shares of restricted stock in December 2020. That amount was determined by dividing $80,000 (1X the annual director fee) by $5.03, the trading price of the Class A Common Stock at the beginning of fiscal 2020. These shares were scheduled to vest on March 31, 2021, but the vesting was accelerated to February 18, 2021, the date of the 2021 Annual Meeting of Stockholders, when term of service ended.</w:t>
      </w:r>
    </w:p>
    <w:p>
      <w:pPr>
        <w:spacing w:after="0" w:line="19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non-employee director compensation program for fiscal 2022 will generally be the same as the fiscal 2021 program described above, with the annual restricted stock award cycle to begin and end on annual stockholder meeting dates.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60"/>
        <w:spacing w:after="0" w:line="288" w:lineRule="auto"/>
        <w:rPr>
          <w:sz w:val="20"/>
          <w:szCs w:val="20"/>
          <w:color w:val="auto"/>
        </w:rPr>
      </w:pPr>
      <w:r>
        <w:rPr>
          <w:rFonts w:ascii="Arial" w:cs="Arial" w:eastAsia="Arial" w:hAnsi="Arial"/>
          <w:sz w:val="25"/>
          <w:szCs w:val="25"/>
          <w:b w:val="1"/>
          <w:bCs w:val="1"/>
          <w:color w:val="00497F"/>
        </w:rPr>
        <w:t>ITEM 12. SECURITY OWNERSHIP OF CERTAIN BENEFICIAL OWNERS AND MANAGEMENT AND RELATED STOCKHOLDER MATTERS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18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Securities to</w:t>
            </w: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be Issued Upon Exercise</w:t>
            </w: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Price of</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35"/>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 Outstanding Options</w:t>
            </w: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 Options</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176"/>
        </w:trPr>
        <w:tc>
          <w:tcPr>
            <w:tcW w:w="5380" w:type="dxa"/>
            <w:vAlign w:val="bottom"/>
            <w:vMerge w:val="continue"/>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34"/>
        </w:trPr>
        <w:tc>
          <w:tcPr>
            <w:tcW w:w="5380" w:type="dxa"/>
            <w:vAlign w:val="bottom"/>
            <w:tcBorders>
              <w:top w:val="single" w:sz="8" w:color="auto"/>
            </w:tcBorders>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174,419</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96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ind w:left="1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60" w:type="dxa"/>
            <w:vAlign w:val="bottom"/>
            <w:gridSpan w:val="2"/>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174,419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w:t>
      </w:r>
    </w:p>
    <w:p>
      <w:pPr>
        <w:spacing w:after="0" w:line="18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November 1, 2021 (except as noted below) for (i) each person known to us to be the beneficial owner of more than 5% of the total number of shares 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20" w:type="dxa"/>
            <w:vAlign w:val="bottom"/>
            <w:gridSpan w:val="3"/>
          </w:tcPr>
          <w:p>
            <w:pPr>
              <w:jc w:val="center"/>
              <w:ind w:left="781"/>
              <w:spacing w:after="0"/>
              <w:rPr>
                <w:sz w:val="20"/>
                <w:szCs w:val="20"/>
                <w:color w:val="auto"/>
              </w:rPr>
            </w:pPr>
            <w:r>
              <w:rPr>
                <w:rFonts w:ascii="Arial" w:cs="Arial" w:eastAsia="Arial" w:hAnsi="Arial"/>
                <w:sz w:val="14"/>
                <w:szCs w:val="14"/>
                <w:b w:val="1"/>
                <w:bCs w:val="1"/>
                <w:color w:val="auto"/>
              </w:rPr>
              <w:t>Class A Non-voting</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ind w:left="880"/>
              <w:spacing w:after="0"/>
              <w:rPr>
                <w:sz w:val="20"/>
                <w:szCs w:val="20"/>
                <w:color w:val="auto"/>
              </w:rPr>
            </w:pPr>
            <w:r>
              <w:rPr>
                <w:rFonts w:ascii="Arial" w:cs="Arial" w:eastAsia="Arial" w:hAnsi="Arial"/>
                <w:sz w:val="14"/>
                <w:szCs w:val="14"/>
                <w:b w:val="1"/>
                <w:bCs w:val="1"/>
                <w:color w:val="auto"/>
              </w:rPr>
              <w:t>Class B Voting</w:t>
            </w:r>
          </w:p>
        </w:tc>
        <w:tc>
          <w:tcPr>
            <w:tcW w:w="1400" w:type="dxa"/>
            <w:vAlign w:val="bottom"/>
          </w:tcPr>
          <w:p>
            <w:pPr>
              <w:spacing w:after="0"/>
              <w:rPr>
                <w:sz w:val="14"/>
                <w:szCs w:val="14"/>
                <w:color w:val="auto"/>
              </w:rPr>
            </w:pPr>
          </w:p>
        </w:tc>
      </w:tr>
      <w:tr>
        <w:trPr>
          <w:trHeight w:val="176"/>
        </w:trPr>
        <w:tc>
          <w:tcPr>
            <w:tcW w:w="3300" w:type="dxa"/>
            <w:vAlign w:val="bottom"/>
          </w:tcPr>
          <w:p>
            <w:pPr>
              <w:spacing w:after="0"/>
              <w:rPr>
                <w:sz w:val="15"/>
                <w:szCs w:val="15"/>
                <w:color w:val="auto"/>
              </w:rPr>
            </w:pPr>
          </w:p>
        </w:tc>
        <w:tc>
          <w:tcPr>
            <w:tcW w:w="222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27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Beneficial Owner</w:t>
            </w:r>
          </w:p>
        </w:tc>
        <w:tc>
          <w:tcPr>
            <w:tcW w:w="1280" w:type="dxa"/>
            <w:vAlign w:val="bottom"/>
          </w:tcPr>
          <w:p>
            <w:pPr>
              <w:jc w:val="right"/>
              <w:ind w:right="301"/>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20"/>
              <w:spacing w:after="0"/>
              <w:rPr>
                <w:sz w:val="20"/>
                <w:szCs w:val="20"/>
                <w:color w:val="auto"/>
              </w:rPr>
            </w:pPr>
            <w:r>
              <w:rPr>
                <w:rFonts w:ascii="Arial" w:cs="Arial" w:eastAsia="Arial" w:hAnsi="Arial"/>
                <w:sz w:val="14"/>
                <w:szCs w:val="14"/>
                <w:b w:val="1"/>
                <w:bCs w:val="1"/>
                <w:color w:val="auto"/>
              </w:rPr>
              <w:t>Voting Percent</w:t>
            </w:r>
          </w:p>
        </w:tc>
      </w:tr>
      <w:tr>
        <w:trPr>
          <w:trHeight w:val="34"/>
        </w:trPr>
        <w:tc>
          <w:tcPr>
            <w:tcW w:w="33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177"/>
        </w:trPr>
        <w:tc>
          <w:tcPr>
            <w:tcW w:w="33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MS Pawn Limited Partnership (a)</w:t>
            </w: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2"/>
        </w:trPr>
        <w:tc>
          <w:tcPr>
            <w:tcW w:w="3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MS Pawn Corporation</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2"/>
        </w:trPr>
        <w:tc>
          <w:tcPr>
            <w:tcW w:w="3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Phillip Ean Cohen</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2"/>
        </w:trPr>
        <w:tc>
          <w:tcPr>
            <w:tcW w:w="3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2500 Bee Cave Road</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2"/>
        </w:trPr>
        <w:tc>
          <w:tcPr>
            <w:tcW w:w="3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Bldg One, Suite 200</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1"/>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Rollingwood, Texas 78746</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2,974,047</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5.31 %   (b)</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2,970,171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162"/>
        </w:trPr>
        <w:tc>
          <w:tcPr>
            <w:tcW w:w="3300" w:type="dxa"/>
            <w:vAlign w:val="bottom"/>
          </w:tcPr>
          <w:p>
            <w:pPr>
              <w:ind w:left="20"/>
              <w:spacing w:after="0" w:line="162" w:lineRule="exact"/>
              <w:rPr>
                <w:sz w:val="20"/>
                <w:szCs w:val="20"/>
                <w:color w:val="auto"/>
              </w:rPr>
            </w:pPr>
            <w:r>
              <w:rPr>
                <w:rFonts w:ascii="Arial" w:cs="Arial" w:eastAsia="Arial" w:hAnsi="Arial"/>
                <w:sz w:val="16"/>
                <w:szCs w:val="16"/>
                <w:color w:val="auto"/>
              </w:rPr>
              <w:t>Blackrock Inc.</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7"/>
        </w:trPr>
        <w:tc>
          <w:tcPr>
            <w:tcW w:w="3300" w:type="dxa"/>
            <w:vAlign w:val="bottom"/>
          </w:tcPr>
          <w:p>
            <w:pPr>
              <w:ind w:left="180"/>
              <w:spacing w:after="0" w:line="178" w:lineRule="exact"/>
              <w:rPr>
                <w:sz w:val="20"/>
                <w:szCs w:val="20"/>
                <w:color w:val="auto"/>
              </w:rPr>
            </w:pPr>
            <w:r>
              <w:rPr>
                <w:rFonts w:ascii="Arial" w:cs="Arial" w:eastAsia="Arial" w:hAnsi="Arial"/>
                <w:sz w:val="15"/>
                <w:szCs w:val="15"/>
                <w:color w:val="auto"/>
              </w:rPr>
              <w:t>55 East 52</w:t>
            </w:r>
            <w:r>
              <w:rPr>
                <w:rFonts w:ascii="Arial" w:cs="Arial" w:eastAsia="Arial" w:hAnsi="Arial"/>
                <w:sz w:val="20"/>
                <w:szCs w:val="20"/>
                <w:color w:val="auto"/>
                <w:vertAlign w:val="superscript"/>
              </w:rPr>
              <w:t>nd</w:t>
            </w:r>
            <w:r>
              <w:rPr>
                <w:rFonts w:ascii="Arial" w:cs="Arial" w:eastAsia="Arial" w:hAnsi="Arial"/>
                <w:sz w:val="15"/>
                <w:szCs w:val="15"/>
                <w:color w:val="auto"/>
              </w:rPr>
              <w:t xml:space="preserve"> Street</w:t>
            </w: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8"/>
        </w:trPr>
        <w:tc>
          <w:tcPr>
            <w:tcW w:w="3300" w:type="dxa"/>
            <w:vAlign w:val="bottom"/>
          </w:tcPr>
          <w:p>
            <w:pPr>
              <w:ind w:left="180"/>
              <w:spacing w:after="0"/>
              <w:rPr>
                <w:sz w:val="20"/>
                <w:szCs w:val="20"/>
                <w:color w:val="auto"/>
              </w:rPr>
            </w:pPr>
            <w:r>
              <w:rPr>
                <w:rFonts w:ascii="Arial" w:cs="Arial" w:eastAsia="Arial" w:hAnsi="Arial"/>
                <w:sz w:val="16"/>
                <w:szCs w:val="16"/>
                <w:color w:val="auto"/>
              </w:rPr>
              <w:t>New York, New York 10055</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8,429,871</w:t>
            </w:r>
          </w:p>
        </w:tc>
        <w:tc>
          <w:tcPr>
            <w:tcW w:w="940" w:type="dxa"/>
            <w:vAlign w:val="bottom"/>
            <w:gridSpan w:val="2"/>
          </w:tcPr>
          <w:p>
            <w:pPr>
              <w:ind w:left="8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15.04 %</w:t>
            </w:r>
          </w:p>
        </w:tc>
        <w:tc>
          <w:tcPr>
            <w:tcW w:w="6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33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Dimensional Fund Advisors LP</w:t>
            </w: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2"/>
        </w:trPr>
        <w:tc>
          <w:tcPr>
            <w:tcW w:w="3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6300 Bee Cave Road, Building One</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1"/>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Austin, Texas 78746</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3,694,822</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6.59 %</w:t>
            </w:r>
          </w:p>
        </w:tc>
        <w:tc>
          <w:tcPr>
            <w:tcW w:w="6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3300" w:type="dxa"/>
            <w:vAlign w:val="bottom"/>
          </w:tcPr>
          <w:p>
            <w:pPr>
              <w:ind w:left="20"/>
              <w:spacing w:after="0" w:line="178" w:lineRule="exact"/>
              <w:rPr>
                <w:sz w:val="20"/>
                <w:szCs w:val="20"/>
                <w:color w:val="auto"/>
              </w:rPr>
            </w:pPr>
            <w:r>
              <w:rPr>
                <w:rFonts w:ascii="Arial" w:cs="Arial" w:eastAsia="Arial" w:hAnsi="Arial"/>
                <w:sz w:val="16"/>
                <w:szCs w:val="16"/>
                <w:color w:val="auto"/>
              </w:rPr>
              <w:t>Russell Investments Group, Ltd.</w:t>
            </w: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6"/>
                <w:szCs w:val="16"/>
                <w:color w:val="auto"/>
              </w:rPr>
              <w:t>1301 Second Avenue, 18th Floor</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8"/>
        </w:trPr>
        <w:tc>
          <w:tcPr>
            <w:tcW w:w="3300" w:type="dxa"/>
            <w:vAlign w:val="bottom"/>
          </w:tcPr>
          <w:p>
            <w:pPr>
              <w:ind w:left="180"/>
              <w:spacing w:after="0"/>
              <w:rPr>
                <w:sz w:val="20"/>
                <w:szCs w:val="20"/>
                <w:color w:val="auto"/>
              </w:rPr>
            </w:pPr>
            <w:r>
              <w:rPr>
                <w:rFonts w:ascii="Arial" w:cs="Arial" w:eastAsia="Arial" w:hAnsi="Arial"/>
                <w:sz w:val="16"/>
                <w:szCs w:val="16"/>
                <w:color w:val="auto"/>
              </w:rPr>
              <w:t>Seattle, Washington 98101</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3,547,202</w:t>
            </w:r>
          </w:p>
        </w:tc>
        <w:tc>
          <w:tcPr>
            <w:tcW w:w="94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6.33 %</w:t>
            </w:r>
          </w:p>
        </w:tc>
        <w:tc>
          <w:tcPr>
            <w:tcW w:w="6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33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Lafitte Capital Management LP</w:t>
            </w: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2"/>
        </w:trPr>
        <w:tc>
          <w:tcPr>
            <w:tcW w:w="33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13505 Fitzhugh Road, Bldg 1</w:t>
            </w:r>
          </w:p>
        </w:tc>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1"/>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Austin, Texas 78737</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3,456,695</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6.17 %</w:t>
            </w:r>
          </w:p>
        </w:tc>
        <w:tc>
          <w:tcPr>
            <w:tcW w:w="6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3300" w:type="dxa"/>
            <w:vAlign w:val="bottom"/>
          </w:tcPr>
          <w:p>
            <w:pPr>
              <w:ind w:left="20"/>
              <w:spacing w:after="0" w:line="178" w:lineRule="exact"/>
              <w:rPr>
                <w:sz w:val="20"/>
                <w:szCs w:val="20"/>
                <w:color w:val="auto"/>
              </w:rPr>
            </w:pPr>
            <w:r>
              <w:rPr>
                <w:rFonts w:ascii="Arial" w:cs="Arial" w:eastAsia="Arial" w:hAnsi="Arial"/>
                <w:sz w:val="16"/>
                <w:szCs w:val="16"/>
                <w:color w:val="auto"/>
              </w:rPr>
              <w:t>Vanguard Group, Inc.</w:t>
            </w: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6"/>
                <w:szCs w:val="16"/>
                <w:color w:val="auto"/>
              </w:rPr>
              <w:t>P.O. Box 2600, V26</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8"/>
        </w:trPr>
        <w:tc>
          <w:tcPr>
            <w:tcW w:w="3300" w:type="dxa"/>
            <w:vAlign w:val="bottom"/>
          </w:tcPr>
          <w:p>
            <w:pPr>
              <w:ind w:left="180"/>
              <w:spacing w:after="0"/>
              <w:rPr>
                <w:sz w:val="20"/>
                <w:szCs w:val="20"/>
                <w:color w:val="auto"/>
              </w:rPr>
            </w:pPr>
            <w:r>
              <w:rPr>
                <w:rFonts w:ascii="Arial" w:cs="Arial" w:eastAsia="Arial" w:hAnsi="Arial"/>
                <w:sz w:val="16"/>
                <w:szCs w:val="16"/>
                <w:color w:val="auto"/>
              </w:rPr>
              <w:t>Valley Forge, Pennsylvania 19482-2600</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3,306,721</w:t>
            </w:r>
          </w:p>
        </w:tc>
        <w:tc>
          <w:tcPr>
            <w:tcW w:w="94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5.90 %</w:t>
            </w:r>
          </w:p>
        </w:tc>
        <w:tc>
          <w:tcPr>
            <w:tcW w:w="6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Matthew W. Appel</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129,976</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Zena Srivatsa Arnold</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49,257</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Pablo Lagos Espinosa</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156,676</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Jason A. Kulas</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114,017</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Gary L. Tillett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49,257</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Timothy K. Jugmans</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28,064</w:t>
            </w:r>
          </w:p>
        </w:tc>
        <w:tc>
          <w:tcPr>
            <w:tcW w:w="940" w:type="dxa"/>
            <w:vAlign w:val="bottom"/>
            <w:gridSpan w:val="2"/>
          </w:tcPr>
          <w:p>
            <w:pPr>
              <w:ind w:left="240"/>
              <w:spacing w:after="0"/>
              <w:rPr>
                <w:sz w:val="20"/>
                <w:szCs w:val="20"/>
                <w:color w:val="auto"/>
              </w:rPr>
            </w:pPr>
            <w:r>
              <w:rPr>
                <w:rFonts w:ascii="Arial" w:cs="Arial" w:eastAsia="Arial" w:hAnsi="Arial"/>
                <w:sz w:val="16"/>
                <w:szCs w:val="16"/>
                <w:color w:val="auto"/>
              </w:rPr>
              <w:t>(d)</w:t>
            </w:r>
          </w:p>
        </w:tc>
        <w:tc>
          <w:tcPr>
            <w:tcW w:w="8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Lachlan P. Given</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443,058</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w:t>
            </w: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Francisco J. Kuthy Saenger</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95,633</w:t>
            </w:r>
          </w:p>
        </w:tc>
        <w:tc>
          <w:tcPr>
            <w:tcW w:w="940" w:type="dxa"/>
            <w:vAlign w:val="bottom"/>
            <w:gridSpan w:val="2"/>
          </w:tcPr>
          <w:p>
            <w:pPr>
              <w:ind w:left="260"/>
              <w:spacing w:after="0"/>
              <w:rPr>
                <w:sz w:val="20"/>
                <w:szCs w:val="20"/>
                <w:color w:val="auto"/>
              </w:rPr>
            </w:pPr>
            <w:r>
              <w:rPr>
                <w:rFonts w:ascii="Arial" w:cs="Arial" w:eastAsia="Arial" w:hAnsi="Arial"/>
                <w:sz w:val="16"/>
                <w:szCs w:val="16"/>
                <w:color w:val="auto"/>
              </w:rPr>
              <w:t>(f)</w:t>
            </w:r>
          </w:p>
        </w:tc>
        <w:tc>
          <w:tcPr>
            <w:tcW w:w="8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33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Directors and executive officers as a group</w:t>
            </w: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(14 persons)</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4,222,904</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7.53 %</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2,970,171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bl>
    <w:p>
      <w:pPr>
        <w:spacing w:after="0" w:line="356" w:lineRule="exact"/>
        <w:rPr>
          <w:sz w:val="20"/>
          <w:szCs w:val="20"/>
          <w:color w:val="auto"/>
        </w:rPr>
      </w:pPr>
    </w:p>
    <w:p>
      <w:pPr>
        <w:ind w:left="340" w:right="560" w:hanging="332"/>
        <w:spacing w:after="0" w:line="258" w:lineRule="auto"/>
        <w:tabs>
          <w:tab w:leader="none" w:pos="367" w:val="left"/>
        </w:tabs>
        <w:numPr>
          <w:ilvl w:val="0"/>
          <w:numId w:val="81"/>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31" w:lineRule="exact"/>
        <w:rPr>
          <w:rFonts w:ascii="Arial" w:cs="Arial" w:eastAsia="Arial" w:hAnsi="Arial"/>
          <w:sz w:val="14"/>
          <w:szCs w:val="14"/>
          <w:color w:val="auto"/>
        </w:rPr>
      </w:pPr>
    </w:p>
    <w:p>
      <w:pPr>
        <w:ind w:left="340" w:hanging="332"/>
        <w:spacing w:after="0" w:line="258" w:lineRule="auto"/>
        <w:tabs>
          <w:tab w:leader="none" w:pos="367"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number of shares and percentage reflect Class A Common Stock, inclusive of Class B Common Stock, shares of which are convertible to Class A Common Stock on a one-to-one basis.</w:t>
      </w:r>
    </w:p>
    <w:p>
      <w:pPr>
        <w:spacing w:after="0" w:line="31" w:lineRule="exact"/>
        <w:rPr>
          <w:rFonts w:ascii="Arial" w:cs="Arial" w:eastAsia="Arial" w:hAnsi="Arial"/>
          <w:sz w:val="14"/>
          <w:szCs w:val="14"/>
          <w:color w:val="auto"/>
        </w:rPr>
      </w:pPr>
    </w:p>
    <w:p>
      <w:pPr>
        <w:ind w:left="360" w:hanging="352"/>
        <w:spacing w:after="0"/>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of September 30, 2021 based on Form 13F.</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10,690 unvested restricted stock units expected to vest within 60 days of November 1, 2021.</w:t>
      </w:r>
    </w:p>
    <w:p>
      <w:pPr>
        <w:spacing w:after="0" w:line="55" w:lineRule="exact"/>
        <w:rPr>
          <w:rFonts w:ascii="Arial" w:cs="Arial" w:eastAsia="Arial" w:hAnsi="Arial"/>
          <w:sz w:val="14"/>
          <w:szCs w:val="14"/>
          <w:color w:val="auto"/>
        </w:rPr>
      </w:pPr>
    </w:p>
    <w:p>
      <w:pPr>
        <w:ind w:left="360" w:hanging="352"/>
        <w:spacing w:after="0"/>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70,093 unvested restricted stock units expected to vest within 60 days of November 1, 2021.</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24,978 unvested restricted stock units expected to vest within 60 days of November 1, 2021.</w:t>
      </w:r>
    </w:p>
    <w:p>
      <w:pPr>
        <w:spacing w:after="0" w:line="55" w:lineRule="exact"/>
        <w:rPr>
          <w:rFonts w:ascii="Arial" w:cs="Arial" w:eastAsia="Arial" w:hAnsi="Arial"/>
          <w:sz w:val="14"/>
          <w:szCs w:val="14"/>
          <w:color w:val="auto"/>
        </w:rPr>
      </w:pPr>
    </w:p>
    <w:p>
      <w:pPr>
        <w:ind w:left="340" w:right="280" w:hanging="332"/>
        <w:spacing w:after="0" w:line="258" w:lineRule="auto"/>
        <w:tabs>
          <w:tab w:leader="none" w:pos="367" w:val="left"/>
        </w:tabs>
        <w:numPr>
          <w:ilvl w:val="0"/>
          <w:numId w:val="81"/>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November 1, 2021. Number shown includes 433 shares held through our 401(k) retirement savings plan and 150,637 unvested restricted stock units expected to vest within 60 days of November 1, 2021.</w:t>
      </w:r>
    </w:p>
    <w:p>
      <w:pPr>
        <w:spacing w:after="0" w:line="32"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Shares beneficially owned do not exceed one percent of Class A Common Stock.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920"/>
        <w:spacing w:after="0" w:line="288" w:lineRule="auto"/>
        <w:rPr>
          <w:sz w:val="20"/>
          <w:szCs w:val="20"/>
          <w:color w:val="auto"/>
        </w:rPr>
      </w:pPr>
      <w:r>
        <w:rPr>
          <w:rFonts w:ascii="Arial" w:cs="Arial" w:eastAsia="Arial" w:hAnsi="Arial"/>
          <w:sz w:val="25"/>
          <w:szCs w:val="25"/>
          <w:b w:val="1"/>
          <w:bCs w:val="1"/>
          <w:color w:val="00497F"/>
        </w:rPr>
        <w:t>ITEM 13. CERTAIN RELATIONSHIPS AND RELATED TRANSACTIONS, AND DIRECTOR INDEPENDENCE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arrangement with Nicholas Cohen</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Nicholas Cohen, the son of Phillip E. Cohen, the beneficial owner of all of our Class B Voting Common Stock and our Executive Chairman, has been an employee of the Company since May 2018. He was recently promoted to the position of Vice President, Operations Support with an annual base salary of $206,000, a target short-term incentive bonus of 30% of base salary, a target long-term incentive opportunity of 20% of base salary and healthcare and other benefits typically provided to similarly positioned Team Members. The Company considers the employment relationship with Nicholas Cohen to be a related party transaction that is subject to the Company’s Policy for Review and Evaluation of Related Party Transactions. Accordingly, the Audit Committee reviewed and approved the promotion and compensation arrangements described above and will continue to review and approve promotion opportunities and compensation changes for Nicholas Cohen going forward.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Board has evaluated all relationships between the Company and each of the persons who served as a director during any portion of fiscal 2021 and has made the following determinations with respect to each director’s independence: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w:t>
            </w:r>
          </w:p>
        </w:tc>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34"/>
        </w:trPr>
        <w:tc>
          <w:tcPr>
            <w:tcW w:w="6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40" w:type="dxa"/>
            <w:vAlign w:val="bottom"/>
            <w:tcBorders>
              <w:top w:val="single" w:sz="8" w:color="auto"/>
            </w:tcBorders>
          </w:tcPr>
          <w:p>
            <w:pPr>
              <w:spacing w:after="0"/>
              <w:rPr>
                <w:sz w:val="2"/>
                <w:szCs w:val="2"/>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Matthew W. Appel</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Zena Srivatsa Arnold</w:t>
            </w:r>
          </w:p>
        </w:tc>
        <w:tc>
          <w:tcPr>
            <w:tcW w:w="4840" w:type="dxa"/>
            <w:vAlign w:val="bottom"/>
          </w:tcPr>
          <w:p>
            <w:pPr>
              <w:ind w:left="20"/>
              <w:spacing w:after="0"/>
              <w:rPr>
                <w:sz w:val="20"/>
                <w:szCs w:val="20"/>
                <w:color w:val="auto"/>
              </w:rPr>
            </w:pPr>
            <w:r>
              <w:rPr>
                <w:rFonts w:ascii="Arial" w:cs="Arial" w:eastAsia="Arial" w:hAnsi="Arial"/>
                <w:sz w:val="16"/>
                <w:szCs w:val="16"/>
                <w:color w:val="auto"/>
              </w:rPr>
              <w:t>Independent</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Shelaghmichael Brown (b)</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Phillip E. Cohen</w:t>
            </w:r>
          </w:p>
        </w:tc>
        <w:tc>
          <w:tcPr>
            <w:tcW w:w="4840" w:type="dxa"/>
            <w:vAlign w:val="bottom"/>
          </w:tcPr>
          <w:p>
            <w:pPr>
              <w:ind w:left="20"/>
              <w:spacing w:after="0"/>
              <w:rPr>
                <w:sz w:val="20"/>
                <w:szCs w:val="20"/>
                <w:color w:val="auto"/>
              </w:rPr>
            </w:pPr>
            <w:r>
              <w:rPr>
                <w:rFonts w:ascii="Arial" w:cs="Arial" w:eastAsia="Arial" w:hAnsi="Arial"/>
                <w:sz w:val="16"/>
                <w:szCs w:val="16"/>
                <w:color w:val="auto"/>
              </w:rPr>
              <w:t>Not independent (c)</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Hugo R. Dooner (b)</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Jason A. Kulas</w:t>
            </w:r>
          </w:p>
        </w:tc>
        <w:tc>
          <w:tcPr>
            <w:tcW w:w="4840" w:type="dxa"/>
            <w:vAlign w:val="bottom"/>
          </w:tcPr>
          <w:p>
            <w:pPr>
              <w:ind w:left="20"/>
              <w:spacing w:after="0"/>
              <w:rPr>
                <w:sz w:val="20"/>
                <w:szCs w:val="20"/>
                <w:color w:val="auto"/>
              </w:rPr>
            </w:pPr>
            <w:r>
              <w:rPr>
                <w:rFonts w:ascii="Arial" w:cs="Arial" w:eastAsia="Arial" w:hAnsi="Arial"/>
                <w:sz w:val="16"/>
                <w:szCs w:val="16"/>
                <w:color w:val="auto"/>
              </w:rPr>
              <w:t>Not independent (c)</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Pablo Lagos Espinosa</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Kent V. Stone (b)</w:t>
            </w:r>
          </w:p>
        </w:tc>
        <w:tc>
          <w:tcPr>
            <w:tcW w:w="4840" w:type="dxa"/>
            <w:vAlign w:val="bottom"/>
          </w:tcPr>
          <w:p>
            <w:pPr>
              <w:ind w:left="20"/>
              <w:spacing w:after="0"/>
              <w:rPr>
                <w:sz w:val="20"/>
                <w:szCs w:val="20"/>
                <w:color w:val="auto"/>
              </w:rPr>
            </w:pPr>
            <w:r>
              <w:rPr>
                <w:rFonts w:ascii="Arial" w:cs="Arial" w:eastAsia="Arial" w:hAnsi="Arial"/>
                <w:sz w:val="16"/>
                <w:szCs w:val="16"/>
                <w:color w:val="auto"/>
              </w:rPr>
              <w:t>Independent</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Gary L. Tillett</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Robert W. K. (Robb) Webb (b)</w:t>
            </w:r>
          </w:p>
        </w:tc>
        <w:tc>
          <w:tcPr>
            <w:tcW w:w="4840" w:type="dxa"/>
            <w:vAlign w:val="bottom"/>
          </w:tcPr>
          <w:p>
            <w:pPr>
              <w:ind w:left="20"/>
              <w:spacing w:after="0"/>
              <w:rPr>
                <w:sz w:val="20"/>
                <w:szCs w:val="20"/>
                <w:color w:val="auto"/>
              </w:rPr>
            </w:pPr>
            <w:r>
              <w:rPr>
                <w:rFonts w:ascii="Arial" w:cs="Arial" w:eastAsia="Arial" w:hAnsi="Arial"/>
                <w:sz w:val="16"/>
                <w:szCs w:val="16"/>
                <w:color w:val="auto"/>
              </w:rPr>
              <w:t>Independent</w:t>
            </w: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Rosa Zeegers (b)</w:t>
            </w:r>
          </w:p>
        </w:tc>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Independent</w:t>
            </w:r>
          </w:p>
        </w:tc>
      </w:tr>
    </w:tbl>
    <w:p>
      <w:pPr>
        <w:spacing w:after="0" w:line="204" w:lineRule="exact"/>
        <w:rPr>
          <w:sz w:val="20"/>
          <w:szCs w:val="20"/>
          <w:color w:val="auto"/>
        </w:rPr>
      </w:pPr>
    </w:p>
    <w:p>
      <w:pPr>
        <w:ind w:left="340" w:right="120" w:hanging="332"/>
        <w:spacing w:after="0" w:line="251" w:lineRule="auto"/>
        <w:tabs>
          <w:tab w:leader="none" w:pos="37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94" w:lineRule="exact"/>
        <w:rPr>
          <w:rFonts w:ascii="Arial" w:cs="Arial" w:eastAsia="Arial" w:hAnsi="Arial"/>
          <w:sz w:val="16"/>
          <w:szCs w:val="16"/>
          <w:color w:val="auto"/>
        </w:rPr>
      </w:pPr>
    </w:p>
    <w:p>
      <w:pPr>
        <w:ind w:left="360" w:hanging="352"/>
        <w:spacing w:after="0"/>
        <w:tabs>
          <w:tab w:leader="none" w:pos="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Service on the Board terminated as of the 2021 Annual Meeting of Stockholders held on February 18, 2021.</w:t>
      </w:r>
    </w:p>
    <w:p>
      <w:pPr>
        <w:spacing w:after="0" w:line="113" w:lineRule="exact"/>
        <w:rPr>
          <w:rFonts w:ascii="Arial" w:cs="Arial" w:eastAsia="Arial" w:hAnsi="Arial"/>
          <w:sz w:val="16"/>
          <w:szCs w:val="16"/>
          <w:color w:val="auto"/>
        </w:rPr>
      </w:pPr>
    </w:p>
    <w:p>
      <w:pPr>
        <w:ind w:left="340" w:right="140" w:hanging="332"/>
        <w:spacing w:after="0" w:line="260" w:lineRule="auto"/>
        <w:tabs>
          <w:tab w:leader="none" w:pos="367" w:val="left"/>
        </w:tabs>
        <w:numPr>
          <w:ilvl w:val="0"/>
          <w:numId w:val="83"/>
        </w:numPr>
        <w:rPr>
          <w:rFonts w:ascii="Arial" w:cs="Arial" w:eastAsia="Arial" w:hAnsi="Arial"/>
          <w:sz w:val="16"/>
          <w:szCs w:val="16"/>
          <w:color w:val="auto"/>
        </w:rPr>
      </w:pPr>
      <w:r>
        <w:rPr>
          <w:rFonts w:ascii="Arial" w:cs="Arial" w:eastAsia="Arial" w:hAnsi="Arial"/>
          <w:sz w:val="16"/>
          <w:szCs w:val="16"/>
          <w:color w:val="auto"/>
        </w:rPr>
        <w:t>Mr. Cohen and Mr. Kulas were executive officers of the Company during fiscal 2021 and, therefore, not independent in accordance with the standards set forth in the Nasdaq Listing Rules.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14. PRINCIPAL ACCOUNTANT FEES AND SERVICES</w:t>
      </w:r>
    </w:p>
    <w:p>
      <w:pPr>
        <w:spacing w:after="0" w:line="20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all fees we incurred in connection with professional services provided by BDO USA, LLP for fiscal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September 30,</w:t>
            </w:r>
          </w:p>
        </w:tc>
      </w:tr>
      <w:tr>
        <w:trPr>
          <w:trHeight w:val="196"/>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34"/>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of financial statements and audit pursuant to section 404 of the Sarbanes-Oxley Act and quarterly reviews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1,556,000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1,960,400</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Audit related fees</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1,556,000</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1,960,400</w:t>
            </w:r>
          </w:p>
        </w:tc>
      </w:tr>
    </w:tbl>
    <w:p>
      <w:pPr>
        <w:spacing w:after="0" w:line="2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amounts shown for fiscal 2021 include our current estimated costs for the fiscal 2021 integrated audit, for which we have not yet received final billings. The amounts shown for fiscal 2020 include an increase of $265,000 in fees that were billed above our initial estimates for fiscal 2019 after we filed our Annual Report on Form 10-K for the year ended September 30, 2020.</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5140"/>
        <w:spacing w:after="0"/>
        <w:rPr>
          <w:sz w:val="20"/>
          <w:szCs w:val="20"/>
          <w:color w:val="auto"/>
        </w:rPr>
      </w:pPr>
      <w:r>
        <w:rPr>
          <w:rFonts w:ascii="Arial" w:cs="Arial" w:eastAsia="Arial" w:hAnsi="Arial"/>
          <w:sz w:val="25"/>
          <w:szCs w:val="25"/>
          <w:b w:val="1"/>
          <w:bCs w:val="1"/>
          <w:color w:val="00497F"/>
        </w:rPr>
        <w:t>PART IV</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15. EXHIBITS AND FINANCIAL STATEMENT SCHEDULES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a part of this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EZCORP, Inc. are included in “Part II — Item 8 — Financial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Data”:</w:t>
      </w:r>
    </w:p>
    <w:p>
      <w:pPr>
        <w:spacing w:after="0" w:line="171" w:lineRule="exact"/>
        <w:rPr>
          <w:sz w:val="20"/>
          <w:szCs w:val="20"/>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(2021 and 2020)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Balance Sheets as of September 30, 2021 and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each of the three years in the period ended September 30,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49" w:lineRule="exact"/>
        <w:rPr>
          <w:rFonts w:ascii="Arial" w:cs="Arial" w:eastAsia="Arial" w:hAnsi="Arial"/>
          <w:sz w:val="18"/>
          <w:szCs w:val="18"/>
          <w:color w:val="auto"/>
        </w:rPr>
      </w:pPr>
    </w:p>
    <w:p>
      <w:pPr>
        <w:ind w:left="280" w:hanging="272"/>
        <w:spacing w:after="0"/>
        <w:tabs>
          <w:tab w:leader="none" w:pos="2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16. FORM 10-K SUMMARY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Exhibits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3"/>
          </w:tcPr>
          <w:p>
            <w:pPr>
              <w:jc w:val="center"/>
              <w:ind w:right="599"/>
              <w:spacing w:after="0"/>
              <w:rPr>
                <w:sz w:val="20"/>
                <w:szCs w:val="20"/>
                <w:color w:val="auto"/>
              </w:rPr>
            </w:pPr>
            <w:r>
              <w:rPr>
                <w:rFonts w:ascii="Arial" w:cs="Arial" w:eastAsia="Arial" w:hAnsi="Arial"/>
                <w:sz w:val="16"/>
                <w:szCs w:val="16"/>
                <w:b w:val="1"/>
                <w:bCs w:val="1"/>
                <w:color w:val="auto"/>
              </w:rPr>
              <w:t>Incorporated by Reference</w:t>
            </w:r>
          </w:p>
        </w:tc>
      </w:tr>
      <w:tr>
        <w:trPr>
          <w:trHeight w:val="215"/>
        </w:trPr>
        <w:tc>
          <w:tcPr>
            <w:tcW w:w="8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rPr>
              <w:t>Exhibit</w:t>
            </w:r>
          </w:p>
        </w:tc>
        <w:tc>
          <w:tcPr>
            <w:tcW w:w="4940" w:type="dxa"/>
            <w:vAlign w:val="bottom"/>
            <w:tcBorders>
              <w:bottom w:val="single" w:sz="8" w:color="auto"/>
            </w:tcBorders>
            <w:gridSpan w:val="28"/>
          </w:tcPr>
          <w:p>
            <w:pPr>
              <w:spacing w:after="0"/>
              <w:rPr>
                <w:sz w:val="20"/>
                <w:szCs w:val="20"/>
                <w:color w:val="auto"/>
              </w:rPr>
            </w:pPr>
            <w:r>
              <w:rPr>
                <w:rFonts w:ascii="Arial" w:cs="Arial" w:eastAsia="Arial" w:hAnsi="Arial"/>
                <w:sz w:val="16"/>
                <w:szCs w:val="16"/>
                <w:b w:val="1"/>
                <w:bCs w:val="1"/>
                <w:color w:val="auto"/>
              </w:rPr>
              <w:t>Description of Exhibit</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File No.</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r>
      <w:tr>
        <w:trPr>
          <w:trHeight w:val="210"/>
        </w:trPr>
        <w:tc>
          <w:tcPr>
            <w:tcW w:w="56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gridSpan w:val="29"/>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Amended and Restated Certificate of Incorporation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720" w:type="dxa"/>
            <w:vAlign w:val="bottom"/>
          </w:tcPr>
          <w:p>
            <w:pPr>
              <w:jc w:val="center"/>
              <w:spacing w:after="0"/>
              <w:rPr>
                <w:sz w:val="20"/>
                <w:szCs w:val="20"/>
                <w:color w:val="auto"/>
              </w:rPr>
            </w:pPr>
            <w:r>
              <w:rPr>
                <w:rFonts w:ascii="Arial" w:cs="Arial" w:eastAsia="Arial" w:hAnsi="Arial"/>
                <w:sz w:val="16"/>
                <w:szCs w:val="16"/>
                <w:color w:val="auto"/>
              </w:rPr>
              <w:t>October 3, 2013</w:t>
            </w: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56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3.2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32">
              <w:r>
                <w:rPr>
                  <w:rFonts w:ascii="Arial" w:cs="Arial" w:eastAsia="Arial" w:hAnsi="Arial"/>
                  <w:sz w:val="16"/>
                  <w:szCs w:val="16"/>
                  <w:color w:val="0000FF"/>
                </w:rPr>
                <w:t>Certificate of Amendment, dated March 25, 2014, to the Company’s</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rPr>
              <w:t>99.1</w:t>
            </w:r>
          </w:p>
        </w:tc>
        <w:tc>
          <w:tcPr>
            <w:tcW w:w="1720" w:type="dxa"/>
            <w:vAlign w:val="bottom"/>
          </w:tcPr>
          <w:p>
            <w:pPr>
              <w:jc w:val="center"/>
              <w:spacing w:after="0"/>
              <w:rPr>
                <w:sz w:val="20"/>
                <w:szCs w:val="20"/>
                <w:color w:val="auto"/>
              </w:rPr>
            </w:pPr>
            <w:r>
              <w:rPr>
                <w:rFonts w:ascii="Arial" w:cs="Arial" w:eastAsia="Arial" w:hAnsi="Arial"/>
                <w:sz w:val="16"/>
                <w:szCs w:val="16"/>
                <w:color w:val="auto"/>
              </w:rPr>
              <w:t>March 25, 2014</w:t>
            </w: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Amended and Restated Certificate of Incorporation</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56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3.3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33">
              <w:r>
                <w:rPr>
                  <w:rFonts w:ascii="Arial" w:cs="Arial" w:eastAsia="Arial" w:hAnsi="Arial"/>
                  <w:sz w:val="16"/>
                  <w:szCs w:val="16"/>
                  <w:color w:val="0000FF"/>
                </w:rPr>
                <w:t>Amended and Restated By-Laws, effective July 20, 2014</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720" w:type="dxa"/>
            <w:vAlign w:val="bottom"/>
          </w:tcPr>
          <w:p>
            <w:pPr>
              <w:jc w:val="center"/>
              <w:spacing w:after="0"/>
              <w:rPr>
                <w:sz w:val="20"/>
                <w:szCs w:val="20"/>
                <w:color w:val="auto"/>
              </w:rPr>
            </w:pPr>
            <w:r>
              <w:rPr>
                <w:rFonts w:ascii="Arial" w:cs="Arial" w:eastAsia="Arial" w:hAnsi="Arial"/>
                <w:sz w:val="16"/>
                <w:szCs w:val="16"/>
                <w:color w:val="auto"/>
              </w:rPr>
              <w:t>July 22, 2014</w:t>
            </w: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1"/>
        </w:trPr>
        <w:tc>
          <w:tcPr>
            <w:tcW w:w="56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4.1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gridSpan w:val="29"/>
          </w:tcPr>
          <w:p>
            <w:pPr>
              <w:spacing w:after="0"/>
              <w:rPr>
                <w:sz w:val="20"/>
                <w:szCs w:val="20"/>
                <w:color w:val="auto"/>
              </w:rPr>
            </w:pPr>
            <w:r>
              <w:rPr>
                <w:rFonts w:ascii="Arial" w:cs="Arial" w:eastAsia="Arial" w:hAnsi="Arial"/>
                <w:sz w:val="16"/>
                <w:szCs w:val="16"/>
                <w:color w:val="auto"/>
              </w:rPr>
              <w:t>Specimen of Class A Non-voting Common Stock Certificate</w:t>
            </w:r>
          </w:p>
        </w:tc>
        <w:tc>
          <w:tcPr>
            <w:tcW w:w="680" w:type="dxa"/>
            <w:vAlign w:val="bottom"/>
          </w:tcPr>
          <w:p>
            <w:pPr>
              <w:jc w:val="center"/>
              <w:spacing w:after="0"/>
              <w:rPr>
                <w:sz w:val="20"/>
                <w:szCs w:val="20"/>
                <w:color w:val="auto"/>
              </w:rPr>
            </w:pPr>
            <w:r>
              <w:rPr>
                <w:rFonts w:ascii="Arial" w:cs="Arial" w:eastAsia="Arial" w:hAnsi="Arial"/>
                <w:sz w:val="16"/>
                <w:szCs w:val="16"/>
                <w:color w:val="auto"/>
              </w:rPr>
              <w:t>S-1</w:t>
            </w:r>
          </w:p>
        </w:tc>
        <w:tc>
          <w:tcPr>
            <w:tcW w:w="1020" w:type="dxa"/>
            <w:vAlign w:val="bottom"/>
          </w:tcPr>
          <w:p>
            <w:pPr>
              <w:jc w:val="center"/>
              <w:spacing w:after="0"/>
              <w:rPr>
                <w:sz w:val="20"/>
                <w:szCs w:val="20"/>
                <w:color w:val="auto"/>
              </w:rPr>
            </w:pPr>
            <w:r>
              <w:rPr>
                <w:rFonts w:ascii="Arial" w:cs="Arial" w:eastAsia="Arial" w:hAnsi="Arial"/>
                <w:sz w:val="16"/>
                <w:szCs w:val="16"/>
                <w:color w:val="auto"/>
              </w:rPr>
              <w:t>33-41317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720" w:type="dxa"/>
            <w:vAlign w:val="bottom"/>
          </w:tcPr>
          <w:p>
            <w:pPr>
              <w:jc w:val="center"/>
              <w:spacing w:after="0"/>
              <w:rPr>
                <w:sz w:val="20"/>
                <w:szCs w:val="20"/>
                <w:color w:val="auto"/>
              </w:rPr>
            </w:pPr>
            <w:r>
              <w:rPr>
                <w:rFonts w:ascii="Arial" w:cs="Arial" w:eastAsia="Arial" w:hAnsi="Arial"/>
                <w:sz w:val="16"/>
                <w:szCs w:val="16"/>
                <w:color w:val="auto"/>
              </w:rPr>
              <w:t>August 23, 1991</w:t>
            </w:r>
          </w:p>
        </w:tc>
      </w:tr>
      <w:tr>
        <w:trPr>
          <w:trHeight w:val="181"/>
        </w:trPr>
        <w:tc>
          <w:tcPr>
            <w:tcW w:w="560" w:type="dxa"/>
            <w:vAlign w:val="bottom"/>
            <w:gridSpan w:val="3"/>
          </w:tcPr>
          <w:p>
            <w:pPr>
              <w:jc w:val="center"/>
              <w:ind w:left="139"/>
              <w:spacing w:after="0" w:line="181" w:lineRule="exact"/>
              <w:rPr>
                <w:sz w:val="20"/>
                <w:szCs w:val="20"/>
                <w:color w:val="auto"/>
              </w:rPr>
            </w:pPr>
            <w:r>
              <w:rPr>
                <w:rFonts w:ascii="Arial" w:cs="Arial" w:eastAsia="Arial" w:hAnsi="Arial"/>
                <w:sz w:val="16"/>
                <w:szCs w:val="16"/>
                <w:color w:val="auto"/>
                <w:w w:val="98"/>
              </w:rPr>
              <w:t>4.2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bottom w:val="single" w:sz="8" w:color="0000FF"/>
            </w:tcBorders>
            <w:gridSpan w:val="19"/>
          </w:tcPr>
          <w:p>
            <w:pPr>
              <w:spacing w:after="0" w:line="181" w:lineRule="exact"/>
              <w:rPr>
                <w:rFonts w:ascii="Arial" w:cs="Arial" w:eastAsia="Arial" w:hAnsi="Arial"/>
                <w:sz w:val="16"/>
                <w:szCs w:val="16"/>
                <w:color w:val="0000FF"/>
              </w:rPr>
            </w:pPr>
            <w:hyperlink r:id="rId134">
              <w:r>
                <w:rPr>
                  <w:rFonts w:ascii="Arial" w:cs="Arial" w:eastAsia="Arial" w:hAnsi="Arial"/>
                  <w:sz w:val="16"/>
                  <w:szCs w:val="16"/>
                  <w:color w:val="0000FF"/>
                </w:rPr>
                <w:t>Description of EZCORP, Inc. Class A Non-voting Common Stock</w:t>
              </w:r>
            </w:hyperlink>
          </w:p>
        </w:tc>
        <w:tc>
          <w:tcPr>
            <w:tcW w:w="460" w:type="dxa"/>
            <w:vAlign w:val="bottom"/>
            <w:gridSpan w:val="10"/>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rPr>
              <w:t>8-K</w:t>
            </w:r>
          </w:p>
        </w:tc>
        <w:tc>
          <w:tcPr>
            <w:tcW w:w="1020" w:type="dxa"/>
            <w:vAlign w:val="bottom"/>
          </w:tcPr>
          <w:p>
            <w:pPr>
              <w:jc w:val="center"/>
              <w:spacing w:after="0" w:line="181" w:lineRule="exact"/>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line="181" w:lineRule="exact"/>
              <w:rPr>
                <w:sz w:val="20"/>
                <w:szCs w:val="20"/>
                <w:color w:val="auto"/>
              </w:rPr>
            </w:pPr>
            <w:r>
              <w:rPr>
                <w:rFonts w:ascii="Arial" w:cs="Arial" w:eastAsia="Arial" w:hAnsi="Arial"/>
                <w:sz w:val="16"/>
                <w:szCs w:val="16"/>
                <w:color w:val="auto"/>
                <w:w w:val="98"/>
              </w:rPr>
              <w:t>4.1</w:t>
            </w:r>
          </w:p>
        </w:tc>
        <w:tc>
          <w:tcPr>
            <w:tcW w:w="1720" w:type="dxa"/>
            <w:vAlign w:val="bottom"/>
          </w:tcPr>
          <w:p>
            <w:pPr>
              <w:jc w:val="center"/>
              <w:spacing w:after="0" w:line="181" w:lineRule="exact"/>
              <w:rPr>
                <w:sz w:val="20"/>
                <w:szCs w:val="20"/>
                <w:color w:val="auto"/>
              </w:rPr>
            </w:pPr>
            <w:r>
              <w:rPr>
                <w:rFonts w:ascii="Arial" w:cs="Arial" w:eastAsia="Arial" w:hAnsi="Arial"/>
                <w:sz w:val="16"/>
                <w:szCs w:val="16"/>
                <w:color w:val="auto"/>
              </w:rPr>
              <w:t>October 3, 2013</w:t>
            </w:r>
          </w:p>
        </w:tc>
      </w:tr>
      <w:tr>
        <w:trPr>
          <w:trHeight w:val="196"/>
        </w:trPr>
        <w:tc>
          <w:tcPr>
            <w:tcW w:w="56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4.3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35">
              <w:r>
                <w:rPr>
                  <w:rFonts w:ascii="Arial" w:cs="Arial" w:eastAsia="Arial" w:hAnsi="Arial"/>
                  <w:sz w:val="16"/>
                  <w:szCs w:val="16"/>
                  <w:color w:val="0000FF"/>
                </w:rPr>
                <w:t>Indenture, dated July 5, 2017, between EZCORP, Inc., and Wells</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720" w:type="dxa"/>
            <w:vAlign w:val="bottom"/>
          </w:tcPr>
          <w:p>
            <w:pPr>
              <w:jc w:val="center"/>
              <w:spacing w:after="0"/>
              <w:rPr>
                <w:sz w:val="20"/>
                <w:szCs w:val="20"/>
                <w:color w:val="auto"/>
              </w:rPr>
            </w:pPr>
            <w:r>
              <w:rPr>
                <w:rFonts w:ascii="Arial" w:cs="Arial" w:eastAsia="Arial" w:hAnsi="Arial"/>
                <w:sz w:val="16"/>
                <w:szCs w:val="16"/>
                <w:color w:val="auto"/>
              </w:rPr>
              <w:t>July 6, 2017</w:t>
            </w: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Fargo Bank, National Association, as trustee</w:t>
              </w:r>
            </w:hyperlink>
          </w:p>
        </w:tc>
        <w:tc>
          <w:tcPr>
            <w:tcW w:w="146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56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4.4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36">
              <w:r>
                <w:rPr>
                  <w:rFonts w:ascii="Arial" w:cs="Arial" w:eastAsia="Arial" w:hAnsi="Arial"/>
                  <w:sz w:val="16"/>
                  <w:szCs w:val="16"/>
                  <w:color w:val="0000FF"/>
                </w:rPr>
                <w:t>Indenture, dated May 14, 2018, between EZCORP, Inc., and Wells</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720" w:type="dxa"/>
            <w:vAlign w:val="bottom"/>
          </w:tcPr>
          <w:p>
            <w:pPr>
              <w:jc w:val="center"/>
              <w:spacing w:after="0"/>
              <w:rPr>
                <w:sz w:val="20"/>
                <w:szCs w:val="20"/>
                <w:color w:val="auto"/>
              </w:rPr>
            </w:pPr>
            <w:r>
              <w:rPr>
                <w:rFonts w:ascii="Arial" w:cs="Arial" w:eastAsia="Arial" w:hAnsi="Arial"/>
                <w:sz w:val="16"/>
                <w:szCs w:val="16"/>
                <w:color w:val="auto"/>
              </w:rPr>
              <w:t>May 15, 2018</w:t>
            </w: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Fargo Bank, National Association, as trustee</w:t>
              </w:r>
            </w:hyperlink>
          </w:p>
        </w:tc>
        <w:tc>
          <w:tcPr>
            <w:tcW w:w="1560" w:type="dxa"/>
            <w:vAlign w:val="bottom"/>
            <w:tcBorders>
              <w:top w:val="single" w:sz="8" w:color="0000FF"/>
            </w:tcBorders>
            <w:gridSpan w:val="13"/>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56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4.5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37">
              <w:r>
                <w:rPr>
                  <w:rFonts w:ascii="Arial" w:cs="Arial" w:eastAsia="Arial" w:hAnsi="Arial"/>
                  <w:sz w:val="16"/>
                  <w:szCs w:val="16"/>
                  <w:color w:val="0000FF"/>
                </w:rPr>
                <w:t>Successor Trustee Agreement, dated September 12, 2019, Between</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720" w:type="dxa"/>
            <w:vAlign w:val="bottom"/>
          </w:tcPr>
          <w:p>
            <w:pPr>
              <w:jc w:val="center"/>
              <w:spacing w:after="0"/>
              <w:rPr>
                <w:sz w:val="20"/>
                <w:szCs w:val="20"/>
                <w:color w:val="auto"/>
              </w:rPr>
            </w:pPr>
            <w:r>
              <w:rPr>
                <w:rFonts w:ascii="Arial" w:cs="Arial" w:eastAsia="Arial" w:hAnsi="Arial"/>
                <w:sz w:val="16"/>
                <w:szCs w:val="16"/>
                <w:color w:val="auto"/>
              </w:rPr>
              <w:t>October 7, 2019</w:t>
            </w: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EZCORP, Inc., and Wells Fargo Bank, National Association, as prior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trustee, and Branch Banking and Trust Company, as successor</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3"/>
              </w:rPr>
            </w:pPr>
            <w:hyperlink r:id="rId137">
              <w:r>
                <w:rPr>
                  <w:rFonts w:ascii="Arial" w:cs="Arial" w:eastAsia="Arial" w:hAnsi="Arial"/>
                  <w:sz w:val="16"/>
                  <w:szCs w:val="16"/>
                  <w:color w:val="0000FF"/>
                  <w:w w:val="93"/>
                </w:rPr>
                <w:t>trustee</w:t>
              </w:r>
            </w:hyperlink>
          </w:p>
        </w:tc>
        <w:tc>
          <w:tcPr>
            <w:tcW w:w="4020" w:type="dxa"/>
            <w:vAlign w:val="bottom"/>
            <w:tcBorders>
              <w:top w:val="single" w:sz="8" w:color="0000FF"/>
            </w:tcBorders>
            <w:gridSpan w:val="15"/>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600" w:type="dxa"/>
            <w:vAlign w:val="bottom"/>
            <w:gridSpan w:val="4"/>
          </w:tcPr>
          <w:p>
            <w:pPr>
              <w:jc w:val="center"/>
              <w:ind w:left="99"/>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38">
              <w:r>
                <w:rPr>
                  <w:rFonts w:ascii="Arial" w:cs="Arial" w:eastAsia="Arial" w:hAnsi="Arial"/>
                  <w:sz w:val="16"/>
                  <w:szCs w:val="16"/>
                  <w:color w:val="0000FF"/>
                </w:rPr>
                <w:t>EZCORP, Inc. Supplemental Executive Retirement Plan effective</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10.94</w:t>
            </w:r>
          </w:p>
        </w:tc>
        <w:tc>
          <w:tcPr>
            <w:tcW w:w="1720" w:type="dxa"/>
            <w:vAlign w:val="bottom"/>
          </w:tcPr>
          <w:p>
            <w:pPr>
              <w:jc w:val="center"/>
              <w:spacing w:after="0"/>
              <w:rPr>
                <w:sz w:val="20"/>
                <w:szCs w:val="20"/>
                <w:color w:val="auto"/>
              </w:rPr>
            </w:pPr>
            <w:r>
              <w:rPr>
                <w:rFonts w:ascii="Arial" w:cs="Arial" w:eastAsia="Arial" w:hAnsi="Arial"/>
                <w:sz w:val="16"/>
                <w:szCs w:val="16"/>
                <w:color w:val="auto"/>
              </w:rPr>
              <w:t>December 1, 2005</w:t>
            </w: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December 1, 2005</w:t>
              </w:r>
            </w:hyperlink>
          </w:p>
        </w:tc>
        <w:tc>
          <w:tcPr>
            <w:tcW w:w="40" w:type="dxa"/>
            <w:vAlign w:val="bottom"/>
            <w:gridSpan w:val="2"/>
          </w:tcPr>
          <w:p>
            <w:pPr>
              <w:spacing w:after="0"/>
              <w:rPr>
                <w:sz w:val="12"/>
                <w:szCs w:val="12"/>
                <w:color w:val="auto"/>
              </w:rPr>
            </w:pPr>
          </w:p>
        </w:tc>
        <w:tc>
          <w:tcPr>
            <w:tcW w:w="2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600" w:type="dxa"/>
            <w:vAlign w:val="bottom"/>
            <w:gridSpan w:val="4"/>
          </w:tcPr>
          <w:p>
            <w:pPr>
              <w:jc w:val="center"/>
              <w:ind w:left="99"/>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39">
              <w:r>
                <w:rPr>
                  <w:rFonts w:ascii="Arial" w:cs="Arial" w:eastAsia="Arial" w:hAnsi="Arial"/>
                  <w:sz w:val="16"/>
                  <w:szCs w:val="16"/>
                  <w:color w:val="0000FF"/>
                </w:rPr>
                <w:t>Amended and Restated EZCORP, Inc. 2010 Long-Term Incentive</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rPr>
              <w:t>10.1</w:t>
            </w:r>
          </w:p>
        </w:tc>
        <w:tc>
          <w:tcPr>
            <w:tcW w:w="1720" w:type="dxa"/>
            <w:vAlign w:val="bottom"/>
          </w:tcPr>
          <w:p>
            <w:pPr>
              <w:jc w:val="center"/>
              <w:spacing w:after="0"/>
              <w:rPr>
                <w:sz w:val="20"/>
                <w:szCs w:val="20"/>
                <w:color w:val="auto"/>
              </w:rPr>
            </w:pPr>
            <w:r>
              <w:rPr>
                <w:rFonts w:ascii="Arial" w:cs="Arial" w:eastAsia="Arial" w:hAnsi="Arial"/>
                <w:sz w:val="16"/>
                <w:szCs w:val="16"/>
                <w:color w:val="auto"/>
              </w:rPr>
              <w:t>November 29, 2018</w:t>
            </w: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39">
              <w:r>
                <w:rPr>
                  <w:rFonts w:ascii="Arial" w:cs="Arial" w:eastAsia="Arial" w:hAnsi="Arial"/>
                  <w:sz w:val="16"/>
                  <w:szCs w:val="16"/>
                  <w:color w:val="0000FF"/>
                  <w:w w:val="99"/>
                </w:rPr>
                <w:t>Plan, Effective November 28, 2018</w:t>
              </w:r>
            </w:hyperlink>
          </w:p>
        </w:tc>
        <w:tc>
          <w:tcPr>
            <w:tcW w:w="2180" w:type="dxa"/>
            <w:vAlign w:val="bottom"/>
            <w:tcBorders>
              <w:top w:val="single" w:sz="8" w:color="0000FF"/>
            </w:tcBorders>
            <w:gridSpan w:val="17"/>
          </w:tcPr>
          <w:p>
            <w:pPr>
              <w:spacing w:after="0"/>
              <w:rPr>
                <w:sz w:val="12"/>
                <w:szCs w:val="12"/>
                <w:color w:val="auto"/>
              </w:rPr>
            </w:pPr>
          </w:p>
        </w:tc>
        <w:tc>
          <w:tcPr>
            <w:tcW w:w="2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600" w:type="dxa"/>
            <w:vAlign w:val="bottom"/>
            <w:gridSpan w:val="4"/>
          </w:tcPr>
          <w:p>
            <w:pPr>
              <w:jc w:val="center"/>
              <w:ind w:left="99"/>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Form of Protection of Sensitive Information, Noncompetition and</w:t>
              </w:r>
            </w:hyperlink>
          </w:p>
        </w:tc>
        <w:tc>
          <w:tcPr>
            <w:tcW w:w="680" w:type="dxa"/>
            <w:vAlign w:val="bottom"/>
          </w:tcPr>
          <w:p>
            <w:pPr>
              <w:jc w:val="center"/>
              <w:spacing w:after="0"/>
              <w:rPr>
                <w:sz w:val="20"/>
                <w:szCs w:val="20"/>
                <w:color w:val="auto"/>
              </w:rPr>
            </w:pPr>
            <w:r>
              <w:rPr>
                <w:rFonts w:ascii="Arial" w:cs="Arial" w:eastAsia="Arial" w:hAnsi="Arial"/>
                <w:sz w:val="16"/>
                <w:szCs w:val="16"/>
                <w:color w:val="auto"/>
              </w:rPr>
              <w:t>10-K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720" w:type="dxa"/>
            <w:vAlign w:val="bottom"/>
          </w:tcPr>
          <w:p>
            <w:pPr>
              <w:jc w:val="center"/>
              <w:spacing w:after="0"/>
              <w:rPr>
                <w:sz w:val="20"/>
                <w:szCs w:val="20"/>
                <w:color w:val="auto"/>
              </w:rPr>
            </w:pPr>
            <w:r>
              <w:rPr>
                <w:rFonts w:ascii="Arial" w:cs="Arial" w:eastAsia="Arial" w:hAnsi="Arial"/>
                <w:sz w:val="16"/>
                <w:szCs w:val="16"/>
                <w:color w:val="auto"/>
              </w:rPr>
              <w:t>November 24, 2010</w:t>
            </w: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Nonsolicitation Agreement between the Company and certain</w:t>
              </w:r>
            </w:hyperlink>
          </w:p>
        </w:tc>
        <w:tc>
          <w:tcPr>
            <w:tcW w:w="20" w:type="dxa"/>
            <w:vAlign w:val="bottom"/>
          </w:tcPr>
          <w:p>
            <w:pPr>
              <w:spacing w:after="0"/>
              <w:rPr>
                <w:sz w:val="12"/>
                <w:szCs w:val="12"/>
                <w:color w:val="auto"/>
              </w:rPr>
            </w:pPr>
          </w:p>
        </w:tc>
        <w:tc>
          <w:tcPr>
            <w:tcW w:w="30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employees, including the executive officers</w:t>
              </w:r>
            </w:hyperlink>
          </w:p>
        </w:tc>
        <w:tc>
          <w:tcPr>
            <w:tcW w:w="1300" w:type="dxa"/>
            <w:vAlign w:val="bottom"/>
            <w:tcBorders>
              <w:top w:val="single" w:sz="8" w:color="0000FF"/>
            </w:tcBorders>
            <w:gridSpan w:val="7"/>
          </w:tcPr>
          <w:p>
            <w:pPr>
              <w:spacing w:after="0"/>
              <w:rPr>
                <w:sz w:val="12"/>
                <w:szCs w:val="12"/>
                <w:color w:val="auto"/>
              </w:rPr>
            </w:pPr>
          </w:p>
        </w:tc>
        <w:tc>
          <w:tcPr>
            <w:tcW w:w="220" w:type="dxa"/>
            <w:vAlign w:val="bottom"/>
            <w:gridSpan w:val="3"/>
          </w:tcPr>
          <w:p>
            <w:pPr>
              <w:spacing w:after="0"/>
              <w:rPr>
                <w:sz w:val="12"/>
                <w:szCs w:val="12"/>
                <w:color w:val="auto"/>
              </w:rPr>
            </w:pPr>
          </w:p>
        </w:tc>
        <w:tc>
          <w:tcPr>
            <w:tcW w:w="30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600" w:type="dxa"/>
            <w:vAlign w:val="bottom"/>
            <w:gridSpan w:val="4"/>
          </w:tcPr>
          <w:p>
            <w:pPr>
              <w:jc w:val="center"/>
              <w:ind w:left="99"/>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7"/>
                <w:szCs w:val="17"/>
                <w:color w:val="auto"/>
              </w:rPr>
            </w:pPr>
          </w:p>
        </w:tc>
        <w:tc>
          <w:tcPr>
            <w:tcW w:w="4240" w:type="dxa"/>
            <w:vAlign w:val="bottom"/>
            <w:tcBorders>
              <w:bottom w:val="single" w:sz="8" w:color="0000FF"/>
            </w:tcBorders>
            <w:gridSpan w:val="14"/>
          </w:tcPr>
          <w:p>
            <w:pPr>
              <w:spacing w:after="0"/>
              <w:rPr>
                <w:rFonts w:ascii="Arial" w:cs="Arial" w:eastAsia="Arial" w:hAnsi="Arial"/>
                <w:sz w:val="16"/>
                <w:szCs w:val="16"/>
                <w:color w:val="0000FF"/>
              </w:rPr>
            </w:pPr>
            <w:hyperlink r:id="rId141">
              <w:r>
                <w:rPr>
                  <w:rFonts w:ascii="Arial" w:cs="Arial" w:eastAsia="Arial" w:hAnsi="Arial"/>
                  <w:sz w:val="16"/>
                  <w:szCs w:val="16"/>
                  <w:color w:val="0000FF"/>
                </w:rPr>
                <w:t>Form of Restricted Stock Award for non-employee directors</w:t>
              </w:r>
            </w:hyperlink>
          </w:p>
        </w:tc>
        <w:tc>
          <w:tcPr>
            <w:tcW w:w="840" w:type="dxa"/>
            <w:vAlign w:val="bottom"/>
            <w:gridSpan w:val="15"/>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10-K</w:t>
            </w:r>
          </w:p>
        </w:tc>
        <w:tc>
          <w:tcPr>
            <w:tcW w:w="1020" w:type="dxa"/>
            <w:vAlign w:val="bottom"/>
          </w:tcPr>
          <w:p>
            <w:pPr>
              <w:jc w:val="center"/>
              <w:spacing w:after="0"/>
              <w:rPr>
                <w:sz w:val="20"/>
                <w:szCs w:val="20"/>
                <w:color w:val="auto"/>
              </w:rPr>
            </w:pPr>
            <w:r>
              <w:rPr>
                <w:rFonts w:ascii="Arial" w:cs="Arial" w:eastAsia="Arial" w:hAnsi="Arial"/>
                <w:sz w:val="16"/>
                <w:szCs w:val="16"/>
                <w:color w:val="auto"/>
              </w:rPr>
              <w:t>0-19424</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1720" w:type="dxa"/>
            <w:vAlign w:val="bottom"/>
          </w:tcPr>
          <w:p>
            <w:pPr>
              <w:jc w:val="center"/>
              <w:spacing w:after="0"/>
              <w:rPr>
                <w:sz w:val="20"/>
                <w:szCs w:val="20"/>
                <w:color w:val="auto"/>
              </w:rPr>
            </w:pPr>
            <w:r>
              <w:rPr>
                <w:rFonts w:ascii="Arial" w:cs="Arial" w:eastAsia="Arial" w:hAnsi="Arial"/>
                <w:sz w:val="16"/>
                <w:szCs w:val="16"/>
                <w:color w:val="auto"/>
              </w:rPr>
              <w:t>November 24, 2010</w:t>
            </w:r>
          </w:p>
        </w:tc>
      </w:tr>
      <w:tr>
        <w:trPr>
          <w:trHeight w:val="196"/>
        </w:trPr>
        <w:tc>
          <w:tcPr>
            <w:tcW w:w="560" w:type="dxa"/>
            <w:vAlign w:val="bottom"/>
            <w:gridSpan w:val="3"/>
          </w:tcPr>
          <w:p>
            <w:pPr>
              <w:jc w:val="center"/>
              <w:ind w:left="159"/>
              <w:spacing w:after="0"/>
              <w:rPr>
                <w:rFonts w:ascii="Arial" w:cs="Arial" w:eastAsia="Arial" w:hAnsi="Arial"/>
                <w:sz w:val="16"/>
                <w:szCs w:val="16"/>
                <w:color w:val="0000FF"/>
              </w:rPr>
            </w:pPr>
            <w:hyperlink w:anchor="page108">
              <w:r>
                <w:rPr>
                  <w:rFonts w:ascii="Arial" w:cs="Arial" w:eastAsia="Arial" w:hAnsi="Arial"/>
                  <w:sz w:val="16"/>
                  <w:szCs w:val="16"/>
                  <w:color w:val="0000FF"/>
                </w:rPr>
                <w:t>21.</w:t>
              </w:r>
              <w:r>
                <w:rPr>
                  <w:rFonts w:ascii="Arial" w:cs="Arial" w:eastAsia="Arial" w:hAnsi="Arial"/>
                  <w:sz w:val="16"/>
                  <w:szCs w:val="16"/>
                  <w:u w:val="single" w:color="auto"/>
                  <w:color w:val="0000FF"/>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List of Subsidiaries of EZCORP, Inc.</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560" w:type="dxa"/>
            <w:vAlign w:val="bottom"/>
            <w:gridSpan w:val="3"/>
          </w:tcPr>
          <w:p>
            <w:pPr>
              <w:jc w:val="center"/>
              <w:ind w:left="159"/>
              <w:spacing w:after="0"/>
              <w:rPr>
                <w:rFonts w:ascii="Arial" w:cs="Arial" w:eastAsia="Arial" w:hAnsi="Arial"/>
                <w:sz w:val="16"/>
                <w:szCs w:val="16"/>
                <w:color w:val="0000FF"/>
              </w:rPr>
            </w:pPr>
            <w:hyperlink w:anchor="page110">
              <w:r>
                <w:rPr>
                  <w:rFonts w:ascii="Arial" w:cs="Arial" w:eastAsia="Arial" w:hAnsi="Arial"/>
                  <w:sz w:val="16"/>
                  <w:szCs w:val="16"/>
                  <w:color w:val="0000FF"/>
                </w:rPr>
                <w:t>23.</w:t>
              </w:r>
              <w:r>
                <w:rPr>
                  <w:rFonts w:ascii="Arial" w:cs="Arial" w:eastAsia="Arial" w:hAnsi="Arial"/>
                  <w:sz w:val="16"/>
                  <w:szCs w:val="16"/>
                  <w:u w:val="single" w:color="auto"/>
                  <w:color w:val="0000FF"/>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w:anchor="page110">
              <w:r>
                <w:rPr>
                  <w:rFonts w:ascii="Arial" w:cs="Arial" w:eastAsia="Arial" w:hAnsi="Arial"/>
                  <w:sz w:val="16"/>
                  <w:szCs w:val="16"/>
                  <w:color w:val="0000FF"/>
                </w:rPr>
                <w:t>Consent of BDO USA, LLP, Independent Registered Public</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110">
              <w:r>
                <w:rPr>
                  <w:rFonts w:ascii="Arial" w:cs="Arial" w:eastAsia="Arial" w:hAnsi="Arial"/>
                  <w:sz w:val="16"/>
                  <w:szCs w:val="16"/>
                  <w:color w:val="0000FF"/>
                </w:rPr>
                <w:t>Accounting Firm</w:t>
              </w:r>
            </w:hyperlink>
          </w:p>
        </w:tc>
        <w:tc>
          <w:tcPr>
            <w:tcW w:w="400" w:type="dxa"/>
            <w:vAlign w:val="bottom"/>
            <w:gridSpan w:val="5"/>
          </w:tcPr>
          <w:p>
            <w:pPr>
              <w:spacing w:after="0"/>
              <w:rPr>
                <w:sz w:val="12"/>
                <w:szCs w:val="12"/>
                <w:color w:val="auto"/>
              </w:rPr>
            </w:pPr>
          </w:p>
        </w:tc>
        <w:tc>
          <w:tcPr>
            <w:tcW w:w="30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560" w:type="dxa"/>
            <w:vAlign w:val="bottom"/>
            <w:gridSpan w:val="3"/>
          </w:tcPr>
          <w:p>
            <w:pPr>
              <w:jc w:val="center"/>
              <w:ind w:left="159"/>
              <w:spacing w:after="0"/>
              <w:rPr>
                <w:rFonts w:ascii="Arial" w:cs="Arial" w:eastAsia="Arial" w:hAnsi="Arial"/>
                <w:sz w:val="16"/>
                <w:szCs w:val="16"/>
                <w:color w:val="0000FF"/>
              </w:rPr>
            </w:pPr>
            <w:hyperlink w:anchor="page111">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Certification of Principal Executive Officer, pursuant to Rule 13a-</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w:anchor="page111">
              <w:r>
                <w:rPr>
                  <w:rFonts w:ascii="Arial" w:cs="Arial" w:eastAsia="Arial" w:hAnsi="Arial"/>
                  <w:sz w:val="16"/>
                  <w:szCs w:val="16"/>
                  <w:color w:val="0000FF"/>
                </w:rPr>
                <w:t>14(a) under the Securities Exchange Act of 1934</w:t>
              </w:r>
            </w:hyperlink>
          </w:p>
        </w:tc>
        <w:tc>
          <w:tcPr>
            <w:tcW w:w="30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560" w:type="dxa"/>
            <w:vAlign w:val="bottom"/>
            <w:gridSpan w:val="3"/>
          </w:tcPr>
          <w:p>
            <w:pPr>
              <w:jc w:val="center"/>
              <w:ind w:left="159"/>
              <w:spacing w:after="0"/>
              <w:rPr>
                <w:rFonts w:ascii="Arial" w:cs="Arial" w:eastAsia="Arial" w:hAnsi="Arial"/>
                <w:sz w:val="16"/>
                <w:szCs w:val="16"/>
                <w:color w:val="0000FF"/>
              </w:rPr>
            </w:pPr>
            <w:hyperlink w:anchor="page112">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gridSpan w:val="29"/>
          </w:tcPr>
          <w:p>
            <w:pPr>
              <w:spacing w:after="0"/>
              <w:rPr>
                <w:rFonts w:ascii="Arial" w:cs="Arial" w:eastAsia="Arial" w:hAnsi="Arial"/>
                <w:sz w:val="16"/>
                <w:szCs w:val="16"/>
                <w:color w:val="0000FF"/>
              </w:rPr>
            </w:pPr>
            <w:hyperlink w:anchor="page112">
              <w:r>
                <w:rPr>
                  <w:rFonts w:ascii="Arial" w:cs="Arial" w:eastAsia="Arial" w:hAnsi="Arial"/>
                  <w:sz w:val="16"/>
                  <w:szCs w:val="16"/>
                  <w:color w:val="0000FF"/>
                </w:rPr>
                <w:t>Certification of Principal Financial Officer, pursuant to Rule 13a-14(a)</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42"/>
        </w:trPr>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w:anchor="page112">
              <w:r>
                <w:rPr>
                  <w:rFonts w:ascii="Arial" w:cs="Arial" w:eastAsia="Arial" w:hAnsi="Arial"/>
                  <w:sz w:val="16"/>
                  <w:szCs w:val="16"/>
                  <w:color w:val="0000FF"/>
                </w:rPr>
                <w:t>under the Securities Exchange Act of 1934</w:t>
              </w:r>
            </w:hyperlink>
          </w:p>
        </w:tc>
        <w:tc>
          <w:tcPr>
            <w:tcW w:w="1860" w:type="dxa"/>
            <w:vAlign w:val="bottom"/>
            <w:tcBorders>
              <w:top w:val="single" w:sz="8" w:color="0000FF"/>
            </w:tcBorders>
            <w:gridSpan w:val="20"/>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6"/>
        </w:trPr>
        <w:tc>
          <w:tcPr>
            <w:tcW w:w="820" w:type="dxa"/>
            <w:vAlign w:val="bottom"/>
            <w:gridSpan w:val="5"/>
          </w:tcPr>
          <w:p>
            <w:pPr>
              <w:jc w:val="center"/>
              <w:ind w:right="20"/>
              <w:spacing w:after="0"/>
              <w:rPr>
                <w:rFonts w:ascii="Arial" w:cs="Arial" w:eastAsia="Arial" w:hAnsi="Arial"/>
                <w:sz w:val="16"/>
                <w:szCs w:val="16"/>
                <w:color w:val="0000FF"/>
                <w:w w:val="99"/>
              </w:rPr>
            </w:pPr>
            <w:hyperlink w:anchor="page113">
              <w:r>
                <w:rPr>
                  <w:rFonts w:ascii="Arial" w:cs="Arial" w:eastAsia="Arial" w:hAnsi="Arial"/>
                  <w:sz w:val="16"/>
                  <w:szCs w:val="16"/>
                  <w:color w:val="0000FF"/>
                  <w:w w:val="99"/>
                </w:rPr>
                <w:t>32.</w:t>
              </w:r>
              <w:r>
                <w:rPr>
                  <w:rFonts w:ascii="Arial" w:cs="Arial" w:eastAsia="Arial" w:hAnsi="Arial"/>
                  <w:sz w:val="16"/>
                  <w:szCs w:val="16"/>
                  <w:u w:val="single" w:color="auto"/>
                  <w:color w:val="0000FF"/>
                  <w:w w:val="99"/>
                </w:rPr>
                <w:t>1†</w:t>
              </w:r>
            </w:hyperlink>
          </w:p>
        </w:tc>
        <w:tc>
          <w:tcPr>
            <w:tcW w:w="5080" w:type="dxa"/>
            <w:vAlign w:val="bottom"/>
            <w:gridSpan w:val="29"/>
          </w:tcPr>
          <w:p>
            <w:pPr>
              <w:spacing w:after="0"/>
              <w:rPr>
                <w:rFonts w:ascii="Arial" w:cs="Arial" w:eastAsia="Arial" w:hAnsi="Arial"/>
                <w:sz w:val="16"/>
                <w:szCs w:val="16"/>
                <w:color w:val="0000FF"/>
              </w:rPr>
            </w:pPr>
            <w:hyperlink w:anchor="page113">
              <w:r>
                <w:rPr>
                  <w:rFonts w:ascii="Arial" w:cs="Arial" w:eastAsia="Arial" w:hAnsi="Arial"/>
                  <w:sz w:val="16"/>
                  <w:szCs w:val="16"/>
                  <w:color w:val="0000FF"/>
                </w:rPr>
                <w:t>Certification of the Principal Executive Officer and Principal Financial</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42"/>
        </w:trPr>
        <w:tc>
          <w:tcPr>
            <w:tcW w:w="20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49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w:anchor="page113">
              <w:r>
                <w:rPr>
                  <w:rFonts w:ascii="Arial" w:cs="Arial" w:eastAsia="Arial" w:hAnsi="Arial"/>
                  <w:sz w:val="16"/>
                  <w:szCs w:val="16"/>
                  <w:color w:val="0000FF"/>
                </w:rPr>
                <w:t>Officer pursuant to 18 U.S.C. Section 1350</w:t>
              </w:r>
            </w:hyperlink>
          </w:p>
        </w:tc>
        <w:tc>
          <w:tcPr>
            <w:tcW w:w="18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
        </w:trPr>
        <w:tc>
          <w:tcPr>
            <w:tcW w:w="820" w:type="dxa"/>
            <w:vAlign w:val="bottom"/>
            <w:tcBorders>
              <w:right w:val="single" w:sz="8" w:color="0000FF"/>
            </w:tcBorders>
            <w:gridSpan w:val="5"/>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2040" w:type="dxa"/>
            <w:vAlign w:val="bottom"/>
            <w:gridSpan w:val="2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820" w:type="dxa"/>
            <w:vAlign w:val="bottom"/>
            <w:gridSpan w:val="5"/>
          </w:tcPr>
          <w:p>
            <w:pPr>
              <w:jc w:val="center"/>
              <w:ind w:right="40"/>
              <w:spacing w:after="0"/>
              <w:rPr>
                <w:sz w:val="20"/>
                <w:szCs w:val="20"/>
                <w:color w:val="auto"/>
              </w:rPr>
            </w:pPr>
            <w:r>
              <w:rPr>
                <w:rFonts w:ascii="Arial" w:cs="Arial" w:eastAsia="Arial" w:hAnsi="Arial"/>
                <w:sz w:val="16"/>
                <w:szCs w:val="16"/>
                <w:color w:val="auto"/>
              </w:rPr>
              <w:t>101.INS</w:t>
            </w:r>
          </w:p>
        </w:tc>
        <w:tc>
          <w:tcPr>
            <w:tcW w:w="5080" w:type="dxa"/>
            <w:vAlign w:val="bottom"/>
            <w:gridSpan w:val="29"/>
          </w:tcPr>
          <w:p>
            <w:pPr>
              <w:spacing w:after="0"/>
              <w:rPr>
                <w:sz w:val="20"/>
                <w:szCs w:val="20"/>
                <w:color w:val="auto"/>
              </w:rPr>
            </w:pPr>
            <w:r>
              <w:rPr>
                <w:rFonts w:ascii="Arial" w:cs="Arial" w:eastAsia="Arial" w:hAnsi="Arial"/>
                <w:sz w:val="16"/>
                <w:szCs w:val="16"/>
                <w:color w:val="auto"/>
              </w:rPr>
              <w:t>Inline XBRL Instance Document (the instance document does not</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62"/>
        </w:trPr>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gridSpan w:val="29"/>
          </w:tcPr>
          <w:p>
            <w:pPr>
              <w:spacing w:after="0" w:line="162" w:lineRule="exact"/>
              <w:rPr>
                <w:sz w:val="20"/>
                <w:szCs w:val="20"/>
                <w:color w:val="auto"/>
              </w:rPr>
            </w:pPr>
            <w:r>
              <w:rPr>
                <w:rFonts w:ascii="Arial" w:cs="Arial" w:eastAsia="Arial" w:hAnsi="Arial"/>
                <w:sz w:val="16"/>
                <w:szCs w:val="16"/>
                <w:color w:val="auto"/>
              </w:rPr>
              <w:t>appear in the interactive data files because the XBRL tags are</w:t>
            </w: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5"/>
        </w:trPr>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80" w:type="dxa"/>
            <w:vAlign w:val="bottom"/>
            <w:gridSpan w:val="29"/>
          </w:tcPr>
          <w:p>
            <w:pPr>
              <w:spacing w:after="0"/>
              <w:rPr>
                <w:sz w:val="20"/>
                <w:szCs w:val="20"/>
                <w:color w:val="auto"/>
              </w:rPr>
            </w:pPr>
            <w:r>
              <w:rPr>
                <w:rFonts w:ascii="Arial" w:cs="Arial" w:eastAsia="Arial" w:hAnsi="Arial"/>
                <w:sz w:val="16"/>
                <w:szCs w:val="16"/>
                <w:color w:val="auto"/>
              </w:rPr>
              <w:t>embedded within the Inline XBRL document)</w:t>
            </w: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5900" w:type="dxa"/>
            <w:vAlign w:val="bottom"/>
            <w:gridSpan w:val="34"/>
          </w:tcPr>
          <w:p>
            <w:pPr>
              <w:ind w:left="60"/>
              <w:spacing w:after="0"/>
              <w:rPr>
                <w:sz w:val="20"/>
                <w:szCs w:val="20"/>
                <w:color w:val="auto"/>
              </w:rPr>
            </w:pPr>
            <w:r>
              <w:rPr>
                <w:rFonts w:ascii="Arial" w:cs="Arial" w:eastAsia="Arial" w:hAnsi="Arial"/>
                <w:sz w:val="16"/>
                <w:szCs w:val="16"/>
                <w:color w:val="auto"/>
              </w:rPr>
              <w:t>101.SCH Inline XBRL Taxonomy Extension Schema Document</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20" w:type="dxa"/>
            <w:vAlign w:val="bottom"/>
            <w:gridSpan w:val="5"/>
          </w:tcPr>
          <w:p>
            <w:pPr>
              <w:jc w:val="center"/>
              <w:ind w:right="40"/>
              <w:spacing w:after="0"/>
              <w:rPr>
                <w:sz w:val="20"/>
                <w:szCs w:val="20"/>
                <w:color w:val="auto"/>
              </w:rPr>
            </w:pPr>
            <w:r>
              <w:rPr>
                <w:rFonts w:ascii="Arial" w:cs="Arial" w:eastAsia="Arial" w:hAnsi="Arial"/>
                <w:sz w:val="16"/>
                <w:szCs w:val="16"/>
                <w:color w:val="auto"/>
                <w:w w:val="99"/>
              </w:rPr>
              <w:t>101.CAL</w:t>
            </w:r>
          </w:p>
        </w:tc>
        <w:tc>
          <w:tcPr>
            <w:tcW w:w="5080" w:type="dxa"/>
            <w:vAlign w:val="bottom"/>
            <w:gridSpan w:val="2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20" w:type="dxa"/>
            <w:vAlign w:val="bottom"/>
            <w:gridSpan w:val="5"/>
          </w:tcPr>
          <w:p>
            <w:pPr>
              <w:jc w:val="center"/>
              <w:ind w:right="20"/>
              <w:spacing w:after="0"/>
              <w:rPr>
                <w:sz w:val="20"/>
                <w:szCs w:val="20"/>
                <w:color w:val="auto"/>
              </w:rPr>
            </w:pPr>
            <w:r>
              <w:rPr>
                <w:rFonts w:ascii="Arial" w:cs="Arial" w:eastAsia="Arial" w:hAnsi="Arial"/>
                <w:sz w:val="16"/>
                <w:szCs w:val="16"/>
                <w:color w:val="auto"/>
              </w:rPr>
              <w:t>101.DEF</w:t>
            </w:r>
          </w:p>
        </w:tc>
        <w:tc>
          <w:tcPr>
            <w:tcW w:w="5080" w:type="dxa"/>
            <w:vAlign w:val="bottom"/>
            <w:gridSpan w:val="2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20" w:type="dxa"/>
            <w:vAlign w:val="bottom"/>
            <w:gridSpan w:val="5"/>
          </w:tcPr>
          <w:p>
            <w:pPr>
              <w:jc w:val="center"/>
              <w:ind w:right="40"/>
              <w:spacing w:after="0"/>
              <w:rPr>
                <w:sz w:val="20"/>
                <w:szCs w:val="20"/>
                <w:color w:val="auto"/>
              </w:rPr>
            </w:pPr>
            <w:r>
              <w:rPr>
                <w:rFonts w:ascii="Arial" w:cs="Arial" w:eastAsia="Arial" w:hAnsi="Arial"/>
                <w:sz w:val="16"/>
                <w:szCs w:val="16"/>
                <w:color w:val="auto"/>
              </w:rPr>
              <w:t>101.LAB</w:t>
            </w:r>
          </w:p>
        </w:tc>
        <w:tc>
          <w:tcPr>
            <w:tcW w:w="5080" w:type="dxa"/>
            <w:vAlign w:val="bottom"/>
            <w:gridSpan w:val="29"/>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820" w:type="dxa"/>
            <w:vAlign w:val="bottom"/>
            <w:gridSpan w:val="5"/>
          </w:tcPr>
          <w:p>
            <w:pPr>
              <w:jc w:val="center"/>
              <w:ind w:right="40"/>
              <w:spacing w:after="0"/>
              <w:rPr>
                <w:sz w:val="20"/>
                <w:szCs w:val="20"/>
                <w:color w:val="auto"/>
              </w:rPr>
            </w:pPr>
            <w:r>
              <w:rPr>
                <w:rFonts w:ascii="Arial" w:cs="Arial" w:eastAsia="Arial" w:hAnsi="Arial"/>
                <w:sz w:val="16"/>
                <w:szCs w:val="16"/>
                <w:color w:val="auto"/>
              </w:rPr>
              <w:t>101.PRE</w:t>
            </w:r>
          </w:p>
        </w:tc>
        <w:tc>
          <w:tcPr>
            <w:tcW w:w="5080" w:type="dxa"/>
            <w:vAlign w:val="bottom"/>
            <w:gridSpan w:val="2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-4796155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-4418965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-4144645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-3767455</wp:posOffset>
            </wp:positionV>
            <wp:extent cx="713232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-3081655</wp:posOffset>
            </wp:positionV>
            <wp:extent cx="713232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-2601595</wp:posOffset>
            </wp:positionV>
            <wp:extent cx="7132320" cy="342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-2121535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-1744345</wp:posOffset>
            </wp:positionV>
            <wp:extent cx="7132320"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-1264285</wp:posOffset>
            </wp:positionV>
            <wp:extent cx="713232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Filed</w:t>
      </w:r>
    </w:p>
    <w:p>
      <w:pPr>
        <w:jc w:val="center"/>
        <w:ind w:right="60"/>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813" w:lineRule="exact"/>
        <w:rPr>
          <w:sz w:val="20"/>
          <w:szCs w:val="20"/>
          <w:color w:val="auto"/>
        </w:rPr>
      </w:pPr>
    </w:p>
    <w:p>
      <w:pPr>
        <w:sectPr>
          <w:pgSz w:w="11900" w:h="16838" w:orient="portrait"/>
          <w:cols w:equalWidth="0" w:num="2">
            <w:col w:w="10200" w:space="240"/>
            <w:col w:w="740"/>
          </w:cols>
          <w:pgMar w:left="320" w:top="140" w:right="399" w:bottom="1440" w:gutter="0" w:footer="0" w:header="0"/>
        </w:sectPr>
      </w:pPr>
    </w:p>
    <w:p>
      <w:pPr>
        <w:ind w:left="800" w:right="5500" w:hanging="542"/>
        <w:spacing w:after="0" w:line="232" w:lineRule="auto"/>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87" w:lineRule="exact"/>
        <w:rPr>
          <w:sz w:val="20"/>
          <w:szCs w:val="20"/>
          <w:color w:val="auto"/>
        </w:rPr>
      </w:pPr>
    </w:p>
    <w:p>
      <w:pPr>
        <w:ind w:left="800" w:hanging="439"/>
        <w:spacing w:after="0"/>
        <w:tabs>
          <w:tab w:leader="none" w:pos="8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32" w:lineRule="exact"/>
        <w:rPr>
          <w:sz w:val="20"/>
          <w:szCs w:val="20"/>
          <w:color w:val="auto"/>
        </w:rPr>
      </w:pPr>
    </w:p>
    <w:p>
      <w:pPr>
        <w:ind w:left="800" w:hanging="452"/>
        <w:spacing w:after="0" w:line="225" w:lineRule="auto"/>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7760" w:type="dxa"/>
            <w:vAlign w:val="bottom"/>
            <w:gridSpan w:val="2"/>
          </w:tcPr>
          <w:p>
            <w:pPr>
              <w:ind w:left="1600"/>
              <w:spacing w:after="0"/>
              <w:rPr>
                <w:sz w:val="20"/>
                <w:szCs w:val="20"/>
                <w:color w:val="auto"/>
              </w:rPr>
            </w:pPr>
            <w:r>
              <w:rPr>
                <w:rFonts w:ascii="Arial" w:cs="Arial" w:eastAsia="Arial" w:hAnsi="Arial"/>
                <w:sz w:val="16"/>
                <w:szCs w:val="16"/>
                <w:color w:val="auto"/>
              </w:rPr>
              <w:t>EZCORP, Inc.</w:t>
            </w:r>
          </w:p>
        </w:tc>
      </w:tr>
      <w:tr>
        <w:trPr>
          <w:trHeight w:val="219"/>
        </w:trPr>
        <w:tc>
          <w:tcPr>
            <w:tcW w:w="3460" w:type="dxa"/>
            <w:vAlign w:val="bottom"/>
          </w:tcPr>
          <w:p>
            <w:pPr>
              <w:spacing w:after="0"/>
              <w:rPr>
                <w:sz w:val="20"/>
                <w:szCs w:val="20"/>
                <w:color w:val="auto"/>
              </w:rPr>
            </w:pPr>
            <w:r>
              <w:rPr>
                <w:rFonts w:ascii="Arial" w:cs="Arial" w:eastAsia="Arial" w:hAnsi="Arial"/>
                <w:sz w:val="16"/>
                <w:szCs w:val="16"/>
                <w:color w:val="auto"/>
              </w:rPr>
              <w:t>Date: November 17, 2021</w:t>
            </w:r>
          </w:p>
        </w:tc>
        <w:tc>
          <w:tcPr>
            <w:tcW w:w="2120" w:type="dxa"/>
            <w:vAlign w:val="bottom"/>
          </w:tcPr>
          <w:p>
            <w:pPr>
              <w:ind w:left="1600"/>
              <w:spacing w:after="0"/>
              <w:rPr>
                <w:sz w:val="20"/>
                <w:szCs w:val="20"/>
                <w:color w:val="auto"/>
              </w:rPr>
            </w:pPr>
            <w:r>
              <w:rPr>
                <w:rFonts w:ascii="Arial" w:cs="Arial" w:eastAsia="Arial" w:hAnsi="Arial"/>
                <w:sz w:val="16"/>
                <w:szCs w:val="16"/>
                <w:color w:val="auto"/>
              </w:rPr>
              <w:t>By:</w:t>
            </w: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Jason A. Kulas</w:t>
            </w:r>
          </w:p>
        </w:tc>
      </w:tr>
      <w:tr>
        <w:trPr>
          <w:trHeight w:val="207"/>
        </w:trPr>
        <w:tc>
          <w:tcPr>
            <w:tcW w:w="3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Jason A. Kulas,</w:t>
            </w:r>
          </w:p>
        </w:tc>
      </w:tr>
      <w:tr>
        <w:trPr>
          <w:trHeight w:val="216"/>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r>
      <w:tr>
        <w:trPr>
          <w:trHeight w:val="214"/>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19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Jason A. Kulas</w:t>
            </w:r>
          </w:p>
        </w:tc>
        <w:tc>
          <w:tcPr>
            <w:tcW w:w="120" w:type="dxa"/>
            <w:vAlign w:val="bottom"/>
          </w:tcPr>
          <w:p>
            <w:pPr>
              <w:spacing w:after="0"/>
              <w:rPr>
                <w:sz w:val="17"/>
                <w:szCs w:val="17"/>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(principal executive officer)</w:t>
            </w:r>
          </w:p>
        </w:tc>
        <w:tc>
          <w:tcPr>
            <w:tcW w:w="1900" w:type="dxa"/>
            <w:vAlign w:val="bottom"/>
          </w:tcPr>
          <w:p>
            <w:pPr>
              <w:spacing w:after="0"/>
              <w:rPr>
                <w:sz w:val="17"/>
                <w:szCs w:val="17"/>
                <w:color w:val="auto"/>
              </w:rPr>
            </w:pP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Jason A. Kulas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3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K. Jugmans</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Chief Financial Officer (principal financial officer)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rPr>
              <w:t>Timothy K. Jugmans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Phillip E. Cohen</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Executive Chairman of the Board</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Phillip E. Cohen</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W. Appel</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rPr>
              <w:t>Matthew W. Appel</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Zena Srivatsa Arnold</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207"/>
        </w:trPr>
        <w:tc>
          <w:tcPr>
            <w:tcW w:w="3540" w:type="dxa"/>
            <w:vAlign w:val="bottom"/>
          </w:tcPr>
          <w:p>
            <w:pPr>
              <w:jc w:val="center"/>
              <w:spacing w:after="0"/>
              <w:rPr>
                <w:sz w:val="20"/>
                <w:szCs w:val="20"/>
                <w:color w:val="auto"/>
              </w:rPr>
            </w:pPr>
            <w:r>
              <w:rPr>
                <w:rFonts w:ascii="Arial" w:cs="Arial" w:eastAsia="Arial" w:hAnsi="Arial"/>
                <w:sz w:val="16"/>
                <w:szCs w:val="16"/>
                <w:color w:val="auto"/>
              </w:rPr>
              <w:t>Zena Srivatsa Arnold</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Pablo Lagos Espinosa</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Pablo Lagos Espinosa</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L. Tillett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Gary L. Tillett</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Fred Herman</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 (principal accounting officer)</w:t>
            </w:r>
          </w:p>
        </w:tc>
        <w:tc>
          <w:tcPr>
            <w:tcW w:w="1900" w:type="dxa"/>
            <w:vAlign w:val="bottom"/>
          </w:tcPr>
          <w:p>
            <w:pPr>
              <w:ind w:left="20"/>
              <w:spacing w:after="0"/>
              <w:rPr>
                <w:sz w:val="20"/>
                <w:szCs w:val="20"/>
                <w:color w:val="auto"/>
              </w:rPr>
            </w:pPr>
            <w:r>
              <w:rPr>
                <w:rFonts w:ascii="Arial" w:cs="Arial" w:eastAsia="Arial" w:hAnsi="Arial"/>
                <w:sz w:val="16"/>
                <w:szCs w:val="16"/>
                <w:color w:val="auto"/>
              </w:rPr>
              <w:t>November 17, 2021</w:t>
            </w:r>
          </w:p>
        </w:tc>
      </w:tr>
      <w:tr>
        <w:trPr>
          <w:trHeight w:val="206"/>
        </w:trPr>
        <w:tc>
          <w:tcPr>
            <w:tcW w:w="3540" w:type="dxa"/>
            <w:vAlign w:val="bottom"/>
          </w:tcPr>
          <w:p>
            <w:pPr>
              <w:jc w:val="center"/>
              <w:spacing w:after="0"/>
              <w:rPr>
                <w:sz w:val="20"/>
                <w:szCs w:val="20"/>
                <w:color w:val="auto"/>
              </w:rPr>
            </w:pPr>
            <w:r>
              <w:rPr>
                <w:rFonts w:ascii="Arial" w:cs="Arial" w:eastAsia="Arial" w:hAnsi="Arial"/>
                <w:sz w:val="16"/>
                <w:szCs w:val="16"/>
                <w:color w:val="auto"/>
              </w:rPr>
              <w:t>Fred Herman</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280" w:type="dxa"/>
            <w:vAlign w:val="bottom"/>
            <w:gridSpan w:val="2"/>
          </w:tcPr>
          <w:p>
            <w:pPr>
              <w:ind w:left="636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655"/>
        </w:trPr>
        <w:tc>
          <w:tcPr>
            <w:tcW w:w="3960" w:type="dxa"/>
            <w:vAlign w:val="bottom"/>
          </w:tcPr>
          <w:p>
            <w:pPr>
              <w:spacing w:after="0"/>
              <w:rPr>
                <w:sz w:val="24"/>
                <w:szCs w:val="24"/>
                <w:color w:val="auto"/>
              </w:rPr>
            </w:pPr>
          </w:p>
        </w:tc>
        <w:tc>
          <w:tcPr>
            <w:tcW w:w="7280" w:type="dxa"/>
            <w:vAlign w:val="bottom"/>
            <w:gridSpan w:val="2"/>
          </w:tcPr>
          <w:p>
            <w:pPr>
              <w:ind w:left="520"/>
              <w:spacing w:after="0"/>
              <w:rPr>
                <w:sz w:val="20"/>
                <w:szCs w:val="20"/>
                <w:color w:val="auto"/>
              </w:rPr>
            </w:pPr>
            <w:r>
              <w:rPr>
                <w:rFonts w:ascii="Arial" w:cs="Arial" w:eastAsia="Arial" w:hAnsi="Arial"/>
                <w:sz w:val="14"/>
                <w:szCs w:val="14"/>
                <w:b w:val="1"/>
                <w:bCs w:val="1"/>
                <w:color w:val="auto"/>
              </w:rPr>
              <w:t>SUBSIDIARIES OF EZCORP, INC.</w:t>
            </w:r>
          </w:p>
        </w:tc>
        <w:tc>
          <w:tcPr>
            <w:tcW w:w="0" w:type="dxa"/>
            <w:vAlign w:val="bottom"/>
          </w:tcPr>
          <w:p>
            <w:pPr>
              <w:spacing w:after="0"/>
              <w:rPr>
                <w:sz w:val="1"/>
                <w:szCs w:val="1"/>
                <w:color w:val="auto"/>
              </w:rPr>
            </w:pPr>
          </w:p>
        </w:tc>
      </w:tr>
      <w:tr>
        <w:trPr>
          <w:trHeight w:val="187"/>
        </w:trPr>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w:t>
            </w:r>
          </w:p>
        </w:tc>
        <w:tc>
          <w:tcPr>
            <w:tcW w:w="7260" w:type="dxa"/>
            <w:vAlign w:val="bottom"/>
            <w:tcBorders>
              <w:top w:val="single" w:sz="8" w:color="auto"/>
              <w:bottom w:val="single" w:sz="8" w:color="auto"/>
            </w:tcBorders>
          </w:tcPr>
          <w:p>
            <w:pPr>
              <w:jc w:val="center"/>
              <w:ind w:left="4791"/>
              <w:spacing w:after="0"/>
              <w:rPr>
                <w:sz w:val="20"/>
                <w:szCs w:val="20"/>
                <w:color w:val="auto"/>
              </w:rPr>
            </w:pPr>
            <w:r>
              <w:rPr>
                <w:rFonts w:ascii="Arial" w:cs="Arial" w:eastAsia="Arial" w:hAnsi="Arial"/>
                <w:sz w:val="14"/>
                <w:szCs w:val="14"/>
                <w:b w:val="1"/>
                <w:bCs w:val="1"/>
                <w:color w:val="auto"/>
                <w:w w:val="93"/>
              </w:rPr>
              <w:t>Jurisdiction of Organization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960" w:type="dxa"/>
            <w:vAlign w:val="bottom"/>
          </w:tcPr>
          <w:p>
            <w:pPr>
              <w:spacing w:after="0"/>
              <w:rPr>
                <w:sz w:val="5"/>
                <w:szCs w:val="5"/>
                <w:color w:val="auto"/>
              </w:rPr>
            </w:pPr>
          </w:p>
        </w:tc>
        <w:tc>
          <w:tcPr>
            <w:tcW w:w="72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 City Holdings, LLC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CCV Americas, LLC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CCV Latin America Coöperatief, U.A.</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CCV Pennsylvania,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Capital International Holdings, B.V.</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Change Capital Mexico Holdings, S.A. de C.V.</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98"/>
              </w:rPr>
              <w:t>Mexico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 Online Sales,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 Talent S. de R.L. de C.V.</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98"/>
              </w:rPr>
              <w:t>Mexico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 Transfers S.A. de C.V.</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98"/>
              </w:rPr>
              <w:t>Mexico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EZCORP (2015) Asia-Pacific PTE. LTD.</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7"/>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EZCORP Latin America Coöperatief, U.A.</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EZCORP FS Holdings,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EGreen Financial,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EZCORP Global Holdings, C.V.</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EZCORP Global, B.V.</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90"/>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EZCORP International Holdings, LLC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EZCORP International,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EZCORP USA,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Alabama,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EZMONEY Canada Holdings,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94"/>
              </w:rPr>
              <w:t>British Columbia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Canada,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EZMONEY Colorado,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Hawaii,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EZMONEY Holdings,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Idaho,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EZMONEY Kansas,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Management,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EZMONEY Missouri,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South Dakota,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EZMONEY Tario,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94"/>
              </w:rPr>
              <w:t>British Columbia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Tennessee,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EZMONEY Utah,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Wisconsin,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EZPAWN Alabama,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Arizona,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EZPAWN Arkansas,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Colorado,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EZPAWN Florida,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Georgia,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EZPAWN Holdings,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Illinois, Inc.</w:t>
            </w:r>
          </w:p>
        </w:tc>
        <w:tc>
          <w:tcPr>
            <w:tcW w:w="7260" w:type="dxa"/>
            <w:vAlign w:val="bottom"/>
            <w:shd w:val="clear" w:color="auto" w:fill="CCEEFF"/>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EZPAWN Indiana, Inc.</w:t>
            </w:r>
          </w:p>
        </w:tc>
        <w:tc>
          <w:tcPr>
            <w:tcW w:w="7260" w:type="dxa"/>
            <w:vAlign w:val="bottom"/>
          </w:tcPr>
          <w:p>
            <w:pPr>
              <w:jc w:val="center"/>
              <w:ind w:left="4811"/>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Borders>
              <w:bottom w:val="single" w:sz="8" w:color="auto"/>
            </w:tcBorders>
          </w:tcPr>
          <w:p>
            <w:pPr>
              <w:spacing w:after="0"/>
              <w:rPr>
                <w:sz w:val="16"/>
                <w:szCs w:val="16"/>
                <w:color w:val="auto"/>
              </w:rPr>
            </w:pPr>
          </w:p>
        </w:tc>
        <w:tc>
          <w:tcPr>
            <w:tcW w:w="71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SUBSIDIARIES OF EZCORP, INC.</w:t>
            </w:r>
          </w:p>
        </w:tc>
      </w:tr>
      <w:tr>
        <w:trPr>
          <w:trHeight w:val="18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w:t>
            </w:r>
          </w:p>
        </w:tc>
        <w:tc>
          <w:tcPr>
            <w:tcW w:w="4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24"/>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Iowa,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EZPAWN Management Mexico, S. de R.L. de C.V.</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Mexico Holdings, LLC.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EZPAWN Mexico Ltd., LLC.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Minnesota,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EZPAWN Nevada,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Oklahoma,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EZPAWN Oregon,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Services Mexico, S. de R.L. de C.V.</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EZPAWN Tennessee,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Utah,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Mister Money Holdings,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3"/>
              </w:rPr>
              <w:t>Colorado</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Parkway Insurance,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Payday Loan Management,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Renueva Comercial, S.A.P.I. de C.V.</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Rich Data Corporation (S) PTE. LTD.</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EZMONEY, L.P.</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Texas EZPAWN Management,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EZPAWN, L.P.</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Texas PRA Management, L.P.</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 Pawn &amp; Jewelry Co. XI, LLC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Nevada</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USA Pawn &amp; Jewelry Co. 19, LLC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30"/>
        </w:trPr>
        <w:tc>
          <w:tcPr>
            <w:tcW w:w="4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10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70"/>
        </w:trPr>
        <w:tc>
          <w:tcPr>
            <w:tcW w:w="410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30"/>
        </w:trPr>
        <w:tc>
          <w:tcPr>
            <w:tcW w:w="410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bl>
    <w:p>
      <w:pPr>
        <w:sectPr>
          <w:pgSz w:w="11900" w:h="16838" w:orient="portrait"/>
          <w:cols w:equalWidth="0" w:num="1">
            <w:col w:w="11220"/>
          </w:cols>
          <w:pgMar w:left="320" w:top="1021" w:right="3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1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hereby consent to the incorporation by reference in the Registration Statements on Form S3 S-3 (No. 333-202626), Form S-8 (No. 333-221996) Form S-8 (No. 333-215294), Form S-8 (No. 333-210647), Form S-8 (No. 333-209088), Form S-8 (No. 333-202628), Form S-8 (No. 333-191677), and Form S-8 (No. 333-228618) of our reports dated November 17, 2021, relating to the consolidated financial statements, and the effectiveness of EZCORP, Inc.’s internal control over financial reporting, which appears in this Annual Report on Form 10-K.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2021</w:t>
      </w:r>
    </w:p>
    <w:p>
      <w:pPr>
        <w:sectPr>
          <w:pgSz w:w="11900" w:h="16838" w:orient="portrait"/>
          <w:cols w:equalWidth="0" w:num="1">
            <w:col w:w="11240"/>
          </w:cols>
          <w:pgMar w:left="320" w:top="110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Jason A. Kulas,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Jason A. Kulas, certify that:</w:t>
      </w:r>
    </w:p>
    <w:p>
      <w:pPr>
        <w:spacing w:after="0" w:line="63"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2021</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ind w:left="1580" w:right="1520" w:hanging="48"/>
        <w:spacing w:after="0" w:line="417" w:lineRule="auto"/>
        <w:rPr>
          <w:sz w:val="20"/>
          <w:szCs w:val="20"/>
          <w:color w:val="auto"/>
        </w:rPr>
      </w:pPr>
      <w:r>
        <w:rPr>
          <w:rFonts w:ascii="Arial" w:cs="Arial" w:eastAsia="Arial" w:hAnsi="Arial"/>
          <w:sz w:val="16"/>
          <w:szCs w:val="16"/>
          <w:b w:val="1"/>
          <w:bCs w:val="1"/>
          <w:color w:val="auto"/>
        </w:rPr>
        <w:t>Certification of Jason A. Kulas, Chief Executive Officer, and Timothy K. Jugmans, Chief Financial Officer, pursuant to 18 U.S.C. Section 1350, as adopted pursuant to Section 906 of the Sarbanes-Oxley Act of 2002</w:t>
      </w:r>
    </w:p>
    <w:p>
      <w:pPr>
        <w:spacing w:after="0" w:line="31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undersigned officer of EZCORP, Inc. hereby certifies that (a) EZCORP’s Annual Report on Form 10-K for the year ended September 30, 2021,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decimal"/>
      <w:start w:val="82"/>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lvl w:ilvl="1">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5"/>
    </w:lvl>
  </w:abstractNum>
  <w:abstractNum w:abstractNumId="22">
    <w:nsid w:val="275AC794"/>
    <w:multiLevelType w:val="hybridMultilevel"/>
    <w:lvl w:ilvl="0">
      <w:lvlJc w:val="left"/>
      <w:lvlText w:val="\emdash "/>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lowerLetter"/>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decimal"/>
      <w:start w:val="2"/>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amp;"/>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3"/>
    </w:lvl>
  </w:abstractNum>
  <w:abstractNum w:abstractNumId="69">
    <w:nsid w:val="3B0FD379"/>
    <w:multiLevelType w:val="hybridMultilevel"/>
    <w:lvl w:ilvl="0">
      <w:lvlJc w:val="left"/>
      <w:lvlText w:val="(%1)"/>
      <w:numFmt w:val="decimal"/>
      <w:start w:val="4"/>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decimal"/>
      <w:start w:val="1"/>
    </w:lvl>
    <w:lvl w:ilvl="1">
      <w:lvlJc w:val="left"/>
      <w:lvlText w:val="•"/>
      <w:numFmt w:val="bullet"/>
      <w:start w:val="1"/>
    </w:lvl>
  </w:abstractNum>
  <w:abstractNum w:abstractNumId="84">
    <w:nsid w:val="76272110"/>
    <w:multiLevelType w:val="hybridMultilevel"/>
    <w:lvl w:ilvl="0">
      <w:lvlJc w:val="left"/>
      <w:lvlText w:val="%1"/>
      <w:numFmt w:val="decimal"/>
      <w:start w:val="104"/>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31" Type="http://schemas.openxmlformats.org/officeDocument/2006/relationships/hyperlink" Target="http://www.sec.gov/Archives/edgar/data/876523/000087652313000045/a31ezmergecoincarcertifica.htm" TargetMode="External"/><Relationship Id="rId132" Type="http://schemas.openxmlformats.org/officeDocument/2006/relationships/hyperlink" Target="http://www.sec.gov/Archives/edgar/data/876523/000087652314000035/certificateofamendmentdate.htm" TargetMode="External"/><Relationship Id="rId133" Type="http://schemas.openxmlformats.org/officeDocument/2006/relationships/hyperlink" Target="http://www.sec.gov/Archives/edgar/data/876523/000087652314000072/ex32-amendedandrestatedbyl.htm" TargetMode="External"/><Relationship Id="rId134" Type="http://schemas.openxmlformats.org/officeDocument/2006/relationships/hyperlink" Target="http://www.sec.gov/Archives/edgar/data/876523/000087652313000045/a41descriptionofcapitalsto.htm" TargetMode="External"/><Relationship Id="rId135" Type="http://schemas.openxmlformats.org/officeDocument/2006/relationships/hyperlink" Target="http://www.sec.gov/Archives/edgar/data/876523/000087652317000082/a2017-q4projecteaglexinden.htm" TargetMode="External"/><Relationship Id="rId136" Type="http://schemas.openxmlformats.org/officeDocument/2006/relationships/hyperlink" Target="http://www.sec.gov/Archives/edgar/data/876523/000087652318000033/a2018-q3projectcowboyxinde.htm" TargetMode="External"/><Relationship Id="rId137" Type="http://schemas.openxmlformats.org/officeDocument/2006/relationships/hyperlink" Target="http://www.sec.gov/Archives/edgar/data/876523/000087652319000055/a2020-q1successortrusteeag.htm" TargetMode="External"/><Relationship Id="rId138" Type="http://schemas.openxmlformats.org/officeDocument/2006/relationships/hyperlink" Target="http://www.sec.gov/Archives/edgar/data/876523/000095013405022476/d30926exv10w94.txt" TargetMode="External"/><Relationship Id="rId139" Type="http://schemas.openxmlformats.org/officeDocument/2006/relationships/hyperlink" Target="http://www.sec.gov/Archives/edgar/data/876523/000087652318000062/a2019-q1exx101ltipamendmen.htm" TargetMode="External"/><Relationship Id="rId140" Type="http://schemas.openxmlformats.org/officeDocument/2006/relationships/hyperlink" Target="http://www.sec.gov/Archives/edgar/data/876523/000095012310108591/d77971exv10w15.htm" TargetMode="External"/><Relationship Id="rId141" Type="http://schemas.openxmlformats.org/officeDocument/2006/relationships/hyperlink" Target="http://www.sec.gov/Archives/edgar/data/876523/000095012310108591/d77971exv10w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2021-11-17T15:43:42Z</dcterms:created>
  <dcterms:modified xsi:type="dcterms:W3CDTF">2021-11-17T15:43:42Z</dcterms:modified>
</cp:coreProperties>
</file>