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4, 2013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333-170972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POST-EFFECTIVE AMENDMENT NO. 1</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TO</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S-4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 UNDER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ACT OF 1933</w:t>
      </w:r>
    </w:p>
    <w:p>
      <w:pPr>
        <w:spacing w:after="0" w:line="272" w:lineRule="exact"/>
        <w:rPr>
          <w:sz w:val="24"/>
          <w:szCs w:val="24"/>
          <w:color w:val="auto"/>
        </w:rPr>
      </w:pPr>
    </w:p>
    <w:tbl>
      <w:tblPr>
        <w:tblLayout w:type="fixed"/>
        <w:tblInd w:w="1200" w:type="dxa"/>
        <w:tblCellMar>
          <w:top w:w="0" w:type="dxa"/>
          <w:left w:w="0" w:type="dxa"/>
          <w:bottom w:w="0" w:type="dxa"/>
          <w:right w:w="0" w:type="dxa"/>
        </w:tblCellMar>
      </w:tblPr>
      <w:tr>
        <w:trPr>
          <w:trHeight w:val="529"/>
        </w:trPr>
        <w:tc>
          <w:tcPr>
            <w:tcW w:w="10180" w:type="dxa"/>
            <w:vAlign w:val="bottom"/>
            <w:gridSpan w:val="2"/>
          </w:tcPr>
          <w:p>
            <w:pPr>
              <w:jc w:val="center"/>
              <w:ind w:right="1068"/>
              <w:spacing w:after="0"/>
              <w:rPr>
                <w:sz w:val="20"/>
                <w:szCs w:val="20"/>
                <w:color w:val="auto"/>
              </w:rPr>
            </w:pPr>
            <w:r>
              <w:rPr>
                <w:rFonts w:ascii="Arial" w:cs="Arial" w:eastAsia="Arial" w:hAnsi="Arial"/>
                <w:sz w:val="43"/>
                <w:szCs w:val="43"/>
                <w:b w:val="1"/>
                <w:bCs w:val="1"/>
                <w:color w:val="auto"/>
                <w:w w:val="99"/>
              </w:rPr>
              <w:t>EZCORP, INC.</w:t>
            </w:r>
          </w:p>
        </w:tc>
        <w:tc>
          <w:tcPr>
            <w:tcW w:w="0" w:type="dxa"/>
            <w:vAlign w:val="bottom"/>
          </w:tcPr>
          <w:p>
            <w:pPr>
              <w:spacing w:after="0"/>
              <w:rPr>
                <w:sz w:val="1"/>
                <w:szCs w:val="1"/>
                <w:color w:val="auto"/>
              </w:rPr>
            </w:pPr>
          </w:p>
        </w:tc>
      </w:tr>
      <w:tr>
        <w:trPr>
          <w:trHeight w:val="230"/>
        </w:trPr>
        <w:tc>
          <w:tcPr>
            <w:tcW w:w="10180" w:type="dxa"/>
            <w:vAlign w:val="bottom"/>
            <w:gridSpan w:val="2"/>
          </w:tcPr>
          <w:p>
            <w:pPr>
              <w:jc w:val="center"/>
              <w:ind w:right="1068"/>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724"/>
        </w:trPr>
        <w:tc>
          <w:tcPr>
            <w:tcW w:w="3940" w:type="dxa"/>
            <w:vAlign w:val="bottom"/>
          </w:tcPr>
          <w:p>
            <w:pPr>
              <w:jc w:val="center"/>
              <w:ind w:right="518"/>
              <w:spacing w:after="0"/>
              <w:rPr>
                <w:sz w:val="20"/>
                <w:szCs w:val="20"/>
                <w:color w:val="auto"/>
              </w:rPr>
            </w:pPr>
            <w:r>
              <w:rPr>
                <w:rFonts w:ascii="Arial" w:cs="Arial" w:eastAsia="Arial" w:hAnsi="Arial"/>
                <w:sz w:val="14"/>
                <w:szCs w:val="14"/>
                <w:b w:val="1"/>
                <w:bCs w:val="1"/>
                <w:color w:val="auto"/>
                <w:w w:val="94"/>
              </w:rPr>
              <w:t>Delaware</w:t>
            </w:r>
          </w:p>
        </w:tc>
        <w:tc>
          <w:tcPr>
            <w:tcW w:w="6240" w:type="dxa"/>
            <w:vAlign w:val="bottom"/>
          </w:tcPr>
          <w:p>
            <w:pPr>
              <w:jc w:val="center"/>
              <w:ind w:left="548"/>
              <w:spacing w:after="0"/>
              <w:rPr>
                <w:sz w:val="20"/>
                <w:szCs w:val="20"/>
                <w:color w:val="auto"/>
              </w:rPr>
            </w:pPr>
            <w:r>
              <w:rPr>
                <w:rFonts w:ascii="Arial" w:cs="Arial" w:eastAsia="Arial" w:hAnsi="Arial"/>
                <w:sz w:val="14"/>
                <w:szCs w:val="14"/>
                <w:b w:val="1"/>
                <w:bCs w:val="1"/>
                <w:color w:val="auto"/>
                <w:w w:val="96"/>
              </w:rPr>
              <w:t>5900</w:t>
            </w:r>
          </w:p>
        </w:tc>
        <w:tc>
          <w:tcPr>
            <w:tcW w:w="0" w:type="dxa"/>
            <w:vAlign w:val="bottom"/>
          </w:tcPr>
          <w:p>
            <w:pPr>
              <w:spacing w:after="0"/>
              <w:rPr>
                <w:sz w:val="1"/>
                <w:szCs w:val="1"/>
                <w:color w:val="auto"/>
              </w:rPr>
            </w:pPr>
          </w:p>
        </w:tc>
      </w:tr>
      <w:tr>
        <w:trPr>
          <w:trHeight w:val="149"/>
        </w:trPr>
        <w:tc>
          <w:tcPr>
            <w:tcW w:w="3940" w:type="dxa"/>
            <w:vAlign w:val="bottom"/>
          </w:tcPr>
          <w:p>
            <w:pPr>
              <w:jc w:val="center"/>
              <w:ind w:right="538"/>
              <w:spacing w:after="0" w:line="149" w:lineRule="exact"/>
              <w:rPr>
                <w:sz w:val="20"/>
                <w:szCs w:val="20"/>
                <w:color w:val="auto"/>
              </w:rPr>
            </w:pPr>
            <w:r>
              <w:rPr>
                <w:rFonts w:ascii="Arial" w:cs="Arial" w:eastAsia="Arial" w:hAnsi="Arial"/>
                <w:sz w:val="14"/>
                <w:szCs w:val="14"/>
                <w:color w:val="auto"/>
                <w:w w:val="95"/>
              </w:rPr>
              <w:t>(State or other jurisdiction</w:t>
            </w:r>
          </w:p>
        </w:tc>
        <w:tc>
          <w:tcPr>
            <w:tcW w:w="624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95"/>
              </w:rPr>
              <w:t>(Primary Standard Industrial</w:t>
            </w:r>
          </w:p>
        </w:tc>
        <w:tc>
          <w:tcPr>
            <w:tcW w:w="0" w:type="dxa"/>
            <w:vAlign w:val="bottom"/>
          </w:tcPr>
          <w:p>
            <w:pPr>
              <w:spacing w:after="0"/>
              <w:rPr>
                <w:sz w:val="1"/>
                <w:szCs w:val="1"/>
                <w:color w:val="auto"/>
              </w:rPr>
            </w:pPr>
          </w:p>
        </w:tc>
      </w:tr>
      <w:tr>
        <w:trPr>
          <w:trHeight w:val="182"/>
        </w:trPr>
        <w:tc>
          <w:tcPr>
            <w:tcW w:w="3940" w:type="dxa"/>
            <w:vAlign w:val="bottom"/>
          </w:tcPr>
          <w:p>
            <w:pPr>
              <w:jc w:val="center"/>
              <w:ind w:right="538"/>
              <w:spacing w:after="0"/>
              <w:rPr>
                <w:sz w:val="20"/>
                <w:szCs w:val="20"/>
                <w:color w:val="auto"/>
              </w:rPr>
            </w:pPr>
            <w:r>
              <w:rPr>
                <w:rFonts w:ascii="Arial" w:cs="Arial" w:eastAsia="Arial" w:hAnsi="Arial"/>
                <w:sz w:val="14"/>
                <w:szCs w:val="14"/>
                <w:color w:val="auto"/>
                <w:w w:val="95"/>
              </w:rPr>
              <w:t>of incorporation or organization)</w:t>
            </w:r>
          </w:p>
        </w:tc>
        <w:tc>
          <w:tcPr>
            <w:tcW w:w="6240" w:type="dxa"/>
            <w:vAlign w:val="bottom"/>
          </w:tcPr>
          <w:p>
            <w:pPr>
              <w:jc w:val="center"/>
              <w:ind w:left="548"/>
              <w:spacing w:after="0"/>
              <w:rPr>
                <w:sz w:val="20"/>
                <w:szCs w:val="20"/>
                <w:color w:val="auto"/>
              </w:rPr>
            </w:pPr>
            <w:r>
              <w:rPr>
                <w:rFonts w:ascii="Arial" w:cs="Arial" w:eastAsia="Arial" w:hAnsi="Arial"/>
                <w:sz w:val="14"/>
                <w:szCs w:val="14"/>
                <w:color w:val="auto"/>
                <w:w w:val="95"/>
              </w:rPr>
              <w:t>Classification Code Number)</w:t>
            </w:r>
          </w:p>
        </w:tc>
        <w:tc>
          <w:tcPr>
            <w:tcW w:w="0" w:type="dxa"/>
            <w:vAlign w:val="bottom"/>
          </w:tcPr>
          <w:p>
            <w:pPr>
              <w:spacing w:after="0"/>
              <w:rPr>
                <w:sz w:val="1"/>
                <w:szCs w:val="1"/>
                <w:color w:val="auto"/>
              </w:rPr>
            </w:pPr>
          </w:p>
        </w:tc>
      </w:tr>
      <w:tr>
        <w:trPr>
          <w:trHeight w:val="462"/>
        </w:trPr>
        <w:tc>
          <w:tcPr>
            <w:tcW w:w="3940" w:type="dxa"/>
            <w:vAlign w:val="bottom"/>
          </w:tcPr>
          <w:p>
            <w:pPr>
              <w:spacing w:after="0"/>
              <w:rPr>
                <w:sz w:val="24"/>
                <w:szCs w:val="24"/>
                <w:color w:val="auto"/>
              </w:rPr>
            </w:pPr>
          </w:p>
        </w:tc>
        <w:tc>
          <w:tcPr>
            <w:tcW w:w="6240" w:type="dxa"/>
            <w:vAlign w:val="bottom"/>
          </w:tcPr>
          <w:p>
            <w:pPr>
              <w:jc w:val="center"/>
              <w:ind w:left="548"/>
              <w:spacing w:after="0"/>
              <w:rPr>
                <w:sz w:val="20"/>
                <w:szCs w:val="20"/>
                <w:color w:val="auto"/>
              </w:rPr>
            </w:pPr>
            <w:r>
              <w:rPr>
                <w:rFonts w:ascii="Arial" w:cs="Arial" w:eastAsia="Arial" w:hAnsi="Arial"/>
                <w:sz w:val="14"/>
                <w:szCs w:val="14"/>
                <w:b w:val="1"/>
                <w:bCs w:val="1"/>
                <w:color w:val="auto"/>
                <w:w w:val="96"/>
              </w:rPr>
              <w:t>1901 Capital Parkway</w:t>
            </w:r>
          </w:p>
        </w:tc>
        <w:tc>
          <w:tcPr>
            <w:tcW w:w="0" w:type="dxa"/>
            <w:vAlign w:val="bottom"/>
          </w:tcPr>
          <w:p>
            <w:pPr>
              <w:spacing w:after="0"/>
              <w:rPr>
                <w:sz w:val="1"/>
                <w:szCs w:val="1"/>
                <w:color w:val="auto"/>
              </w:rPr>
            </w:pPr>
          </w:p>
        </w:tc>
      </w:tr>
      <w:tr>
        <w:trPr>
          <w:trHeight w:val="149"/>
        </w:trPr>
        <w:tc>
          <w:tcPr>
            <w:tcW w:w="3940" w:type="dxa"/>
            <w:vAlign w:val="bottom"/>
            <w:vMerge w:val="restart"/>
          </w:tcPr>
          <w:p>
            <w:pPr>
              <w:jc w:val="right"/>
              <w:ind w:right="1838"/>
              <w:spacing w:after="0"/>
              <w:rPr>
                <w:sz w:val="20"/>
                <w:szCs w:val="20"/>
                <w:color w:val="auto"/>
              </w:rPr>
            </w:pPr>
            <w:r>
              <w:rPr>
                <w:rFonts w:ascii="Arial" w:cs="Arial" w:eastAsia="Arial" w:hAnsi="Arial"/>
                <w:sz w:val="14"/>
                <w:szCs w:val="14"/>
                <w:b w:val="1"/>
                <w:bCs w:val="1"/>
                <w:color w:val="auto"/>
              </w:rPr>
              <w:t>74-2540145</w:t>
            </w:r>
          </w:p>
        </w:tc>
        <w:tc>
          <w:tcPr>
            <w:tcW w:w="62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1"/>
              </w:rPr>
              <w:t>Austin, Texas 78746</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6240" w:type="dxa"/>
            <w:vAlign w:val="bottom"/>
          </w:tcPr>
          <w:p>
            <w:pPr>
              <w:jc w:val="center"/>
              <w:ind w:left="548"/>
              <w:spacing w:after="0" w:line="153" w:lineRule="exact"/>
              <w:rPr>
                <w:sz w:val="20"/>
                <w:szCs w:val="20"/>
                <w:color w:val="auto"/>
              </w:rPr>
            </w:pPr>
            <w:r>
              <w:rPr>
                <w:rFonts w:ascii="Arial" w:cs="Arial" w:eastAsia="Arial" w:hAnsi="Arial"/>
                <w:sz w:val="14"/>
                <w:szCs w:val="14"/>
                <w:b w:val="1"/>
                <w:bCs w:val="1"/>
                <w:color w:val="auto"/>
                <w:w w:val="93"/>
              </w:rPr>
              <w:t>(512) 314-3400</w:t>
            </w:r>
          </w:p>
        </w:tc>
        <w:tc>
          <w:tcPr>
            <w:tcW w:w="0" w:type="dxa"/>
            <w:vAlign w:val="bottom"/>
          </w:tcPr>
          <w:p>
            <w:pPr>
              <w:spacing w:after="0"/>
              <w:rPr>
                <w:sz w:val="1"/>
                <w:szCs w:val="1"/>
                <w:color w:val="auto"/>
              </w:rPr>
            </w:pPr>
          </w:p>
        </w:tc>
      </w:tr>
      <w:tr>
        <w:trPr>
          <w:trHeight w:val="149"/>
        </w:trPr>
        <w:tc>
          <w:tcPr>
            <w:tcW w:w="3940" w:type="dxa"/>
            <w:vAlign w:val="bottom"/>
          </w:tcPr>
          <w:p>
            <w:pPr>
              <w:jc w:val="center"/>
              <w:ind w:right="478"/>
              <w:spacing w:after="0" w:line="149" w:lineRule="exact"/>
              <w:rPr>
                <w:sz w:val="20"/>
                <w:szCs w:val="20"/>
                <w:color w:val="auto"/>
              </w:rPr>
            </w:pPr>
            <w:r>
              <w:rPr>
                <w:rFonts w:ascii="Arial" w:cs="Arial" w:eastAsia="Arial" w:hAnsi="Arial"/>
                <w:sz w:val="14"/>
                <w:szCs w:val="14"/>
                <w:color w:val="auto"/>
                <w:w w:val="95"/>
              </w:rPr>
              <w:t>(I.R.S. Employer</w:t>
            </w:r>
          </w:p>
        </w:tc>
        <w:tc>
          <w:tcPr>
            <w:tcW w:w="624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93"/>
              </w:rPr>
              <w:t>(Address, including zip code, and telephone number, including area code, of registrant’s principal</w:t>
            </w:r>
          </w:p>
        </w:tc>
        <w:tc>
          <w:tcPr>
            <w:tcW w:w="0" w:type="dxa"/>
            <w:vAlign w:val="bottom"/>
          </w:tcPr>
          <w:p>
            <w:pPr>
              <w:spacing w:after="0"/>
              <w:rPr>
                <w:sz w:val="1"/>
                <w:szCs w:val="1"/>
                <w:color w:val="auto"/>
              </w:rPr>
            </w:pPr>
          </w:p>
        </w:tc>
      </w:tr>
      <w:tr>
        <w:trPr>
          <w:trHeight w:val="182"/>
        </w:trPr>
        <w:tc>
          <w:tcPr>
            <w:tcW w:w="3940" w:type="dxa"/>
            <w:vAlign w:val="bottom"/>
          </w:tcPr>
          <w:p>
            <w:pPr>
              <w:jc w:val="center"/>
              <w:ind w:right="538"/>
              <w:spacing w:after="0"/>
              <w:rPr>
                <w:sz w:val="20"/>
                <w:szCs w:val="20"/>
                <w:color w:val="auto"/>
              </w:rPr>
            </w:pPr>
            <w:r>
              <w:rPr>
                <w:rFonts w:ascii="Arial" w:cs="Arial" w:eastAsia="Arial" w:hAnsi="Arial"/>
                <w:sz w:val="14"/>
                <w:szCs w:val="14"/>
                <w:color w:val="auto"/>
                <w:w w:val="96"/>
              </w:rPr>
              <w:t>Identification Number)</w:t>
            </w:r>
          </w:p>
        </w:tc>
        <w:tc>
          <w:tcPr>
            <w:tcW w:w="6240" w:type="dxa"/>
            <w:vAlign w:val="bottom"/>
          </w:tcPr>
          <w:p>
            <w:pPr>
              <w:jc w:val="center"/>
              <w:ind w:left="548"/>
              <w:spacing w:after="0"/>
              <w:rPr>
                <w:sz w:val="20"/>
                <w:szCs w:val="20"/>
                <w:color w:val="auto"/>
              </w:rPr>
            </w:pPr>
            <w:r>
              <w:rPr>
                <w:rFonts w:ascii="Arial" w:cs="Arial" w:eastAsia="Arial" w:hAnsi="Arial"/>
                <w:sz w:val="14"/>
                <w:szCs w:val="14"/>
                <w:color w:val="auto"/>
                <w:w w:val="94"/>
              </w:rPr>
              <w:t>executive offices)</w:t>
            </w:r>
          </w:p>
        </w:tc>
        <w:tc>
          <w:tcPr>
            <w:tcW w:w="0" w:type="dxa"/>
            <w:vAlign w:val="bottom"/>
          </w:tcPr>
          <w:p>
            <w:pPr>
              <w:spacing w:after="0"/>
              <w:rPr>
                <w:sz w:val="1"/>
                <w:szCs w:val="1"/>
                <w:color w:val="auto"/>
              </w:rPr>
            </w:pPr>
          </w:p>
        </w:tc>
      </w:tr>
      <w:tr>
        <w:trPr>
          <w:trHeight w:val="466"/>
        </w:trPr>
        <w:tc>
          <w:tcPr>
            <w:tcW w:w="3940" w:type="dxa"/>
            <w:vAlign w:val="bottom"/>
          </w:tcPr>
          <w:p>
            <w:pPr>
              <w:jc w:val="center"/>
              <w:ind w:right="538"/>
              <w:spacing w:after="0"/>
              <w:rPr>
                <w:sz w:val="20"/>
                <w:szCs w:val="20"/>
                <w:color w:val="auto"/>
              </w:rPr>
            </w:pPr>
            <w:r>
              <w:rPr>
                <w:rFonts w:ascii="Arial" w:cs="Arial" w:eastAsia="Arial" w:hAnsi="Arial"/>
                <w:sz w:val="14"/>
                <w:szCs w:val="14"/>
                <w:color w:val="auto"/>
                <w:w w:val="89"/>
              </w:rPr>
              <w:t>Name, address and telephone</w:t>
            </w:r>
          </w:p>
        </w:tc>
        <w:tc>
          <w:tcPr>
            <w:tcW w:w="6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40" w:type="dxa"/>
            <w:vAlign w:val="bottom"/>
          </w:tcPr>
          <w:p>
            <w:pPr>
              <w:jc w:val="center"/>
              <w:ind w:right="538"/>
              <w:spacing w:after="0"/>
              <w:rPr>
                <w:sz w:val="20"/>
                <w:szCs w:val="20"/>
                <w:color w:val="auto"/>
              </w:rPr>
            </w:pPr>
            <w:r>
              <w:rPr>
                <w:rFonts w:ascii="Arial" w:cs="Arial" w:eastAsia="Arial" w:hAnsi="Arial"/>
                <w:sz w:val="14"/>
                <w:szCs w:val="14"/>
                <w:color w:val="auto"/>
                <w:w w:val="94"/>
              </w:rPr>
              <w:t>number of agent for service:</w:t>
            </w:r>
          </w:p>
        </w:tc>
        <w:tc>
          <w:tcPr>
            <w:tcW w:w="6240" w:type="dxa"/>
            <w:vAlign w:val="bottom"/>
          </w:tcPr>
          <w:p>
            <w:pPr>
              <w:jc w:val="center"/>
              <w:ind w:left="548"/>
              <w:spacing w:after="0"/>
              <w:rPr>
                <w:sz w:val="20"/>
                <w:szCs w:val="20"/>
                <w:color w:val="auto"/>
              </w:rPr>
            </w:pPr>
            <w:r>
              <w:rPr>
                <w:rFonts w:ascii="Arial" w:cs="Arial" w:eastAsia="Arial" w:hAnsi="Arial"/>
                <w:sz w:val="14"/>
                <w:szCs w:val="14"/>
                <w:color w:val="auto"/>
                <w:w w:val="96"/>
              </w:rPr>
              <w:t>Copy of communications to:</w:t>
            </w:r>
          </w:p>
        </w:tc>
        <w:tc>
          <w:tcPr>
            <w:tcW w:w="0" w:type="dxa"/>
            <w:vAlign w:val="bottom"/>
          </w:tcPr>
          <w:p>
            <w:pPr>
              <w:spacing w:after="0"/>
              <w:rPr>
                <w:sz w:val="1"/>
                <w:szCs w:val="1"/>
                <w:color w:val="auto"/>
              </w:rPr>
            </w:pPr>
          </w:p>
        </w:tc>
      </w:tr>
      <w:tr>
        <w:trPr>
          <w:trHeight w:val="462"/>
        </w:trPr>
        <w:tc>
          <w:tcPr>
            <w:tcW w:w="3940" w:type="dxa"/>
            <w:vAlign w:val="bottom"/>
          </w:tcPr>
          <w:p>
            <w:pPr>
              <w:jc w:val="center"/>
              <w:ind w:right="538"/>
              <w:spacing w:after="0"/>
              <w:rPr>
                <w:sz w:val="20"/>
                <w:szCs w:val="20"/>
                <w:color w:val="auto"/>
              </w:rPr>
            </w:pPr>
            <w:r>
              <w:rPr>
                <w:rFonts w:ascii="Arial" w:cs="Arial" w:eastAsia="Arial" w:hAnsi="Arial"/>
                <w:sz w:val="14"/>
                <w:szCs w:val="14"/>
                <w:b w:val="1"/>
                <w:bCs w:val="1"/>
                <w:color w:val="auto"/>
                <w:w w:val="93"/>
              </w:rPr>
              <w:t>Thomas H. Welch, Jr.</w:t>
            </w:r>
          </w:p>
        </w:tc>
        <w:tc>
          <w:tcPr>
            <w:tcW w:w="6240" w:type="dxa"/>
            <w:vAlign w:val="bottom"/>
          </w:tcPr>
          <w:p>
            <w:pPr>
              <w:jc w:val="center"/>
              <w:ind w:left="548"/>
              <w:spacing w:after="0"/>
              <w:rPr>
                <w:sz w:val="20"/>
                <w:szCs w:val="20"/>
                <w:color w:val="auto"/>
              </w:rPr>
            </w:pPr>
            <w:r>
              <w:rPr>
                <w:rFonts w:ascii="Arial" w:cs="Arial" w:eastAsia="Arial" w:hAnsi="Arial"/>
                <w:sz w:val="14"/>
                <w:szCs w:val="14"/>
                <w:b w:val="1"/>
                <w:bCs w:val="1"/>
                <w:color w:val="auto"/>
                <w:w w:val="96"/>
              </w:rPr>
              <w:t>Christine A. Hathaway</w:t>
            </w:r>
          </w:p>
        </w:tc>
        <w:tc>
          <w:tcPr>
            <w:tcW w:w="0" w:type="dxa"/>
            <w:vAlign w:val="bottom"/>
          </w:tcPr>
          <w:p>
            <w:pPr>
              <w:spacing w:after="0"/>
              <w:rPr>
                <w:sz w:val="1"/>
                <w:szCs w:val="1"/>
                <w:color w:val="auto"/>
              </w:rPr>
            </w:pPr>
          </w:p>
        </w:tc>
      </w:tr>
      <w:tr>
        <w:trPr>
          <w:trHeight w:val="149"/>
        </w:trPr>
        <w:tc>
          <w:tcPr>
            <w:tcW w:w="3940" w:type="dxa"/>
            <w:vAlign w:val="bottom"/>
          </w:tcPr>
          <w:p>
            <w:pPr>
              <w:jc w:val="center"/>
              <w:ind w:right="538"/>
              <w:spacing w:after="0" w:line="149" w:lineRule="exact"/>
              <w:rPr>
                <w:sz w:val="20"/>
                <w:szCs w:val="20"/>
                <w:color w:val="auto"/>
              </w:rPr>
            </w:pPr>
            <w:r>
              <w:rPr>
                <w:rFonts w:ascii="Arial" w:cs="Arial" w:eastAsia="Arial" w:hAnsi="Arial"/>
                <w:sz w:val="14"/>
                <w:szCs w:val="14"/>
                <w:b w:val="1"/>
                <w:bCs w:val="1"/>
                <w:color w:val="auto"/>
                <w:w w:val="92"/>
              </w:rPr>
              <w:t>Senior Vice President, General Counsel and Secretary</w:t>
            </w:r>
          </w:p>
        </w:tc>
        <w:tc>
          <w:tcPr>
            <w:tcW w:w="62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6"/>
              </w:rPr>
              <w:t>Vinson &amp; Elkins L.L.P.</w:t>
            </w:r>
          </w:p>
        </w:tc>
        <w:tc>
          <w:tcPr>
            <w:tcW w:w="0" w:type="dxa"/>
            <w:vAlign w:val="bottom"/>
          </w:tcPr>
          <w:p>
            <w:pPr>
              <w:spacing w:after="0"/>
              <w:rPr>
                <w:sz w:val="1"/>
                <w:szCs w:val="1"/>
                <w:color w:val="auto"/>
              </w:rPr>
            </w:pPr>
          </w:p>
        </w:tc>
      </w:tr>
      <w:tr>
        <w:trPr>
          <w:trHeight w:val="149"/>
        </w:trPr>
        <w:tc>
          <w:tcPr>
            <w:tcW w:w="3940" w:type="dxa"/>
            <w:vAlign w:val="bottom"/>
          </w:tcPr>
          <w:p>
            <w:pPr>
              <w:jc w:val="center"/>
              <w:ind w:right="518"/>
              <w:spacing w:after="0" w:line="149" w:lineRule="exact"/>
              <w:rPr>
                <w:sz w:val="20"/>
                <w:szCs w:val="20"/>
                <w:color w:val="auto"/>
              </w:rPr>
            </w:pPr>
            <w:r>
              <w:rPr>
                <w:rFonts w:ascii="Arial" w:cs="Arial" w:eastAsia="Arial" w:hAnsi="Arial"/>
                <w:sz w:val="14"/>
                <w:szCs w:val="14"/>
                <w:b w:val="1"/>
                <w:bCs w:val="1"/>
                <w:color w:val="auto"/>
                <w:w w:val="99"/>
              </w:rPr>
              <w:t>EZCORP, Inc.</w:t>
            </w:r>
          </w:p>
        </w:tc>
        <w:tc>
          <w:tcPr>
            <w:tcW w:w="62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0"/>
              </w:rPr>
              <w:t>2001 Ross Avenue, Suite 3700</w:t>
            </w:r>
          </w:p>
        </w:tc>
        <w:tc>
          <w:tcPr>
            <w:tcW w:w="0" w:type="dxa"/>
            <w:vAlign w:val="bottom"/>
          </w:tcPr>
          <w:p>
            <w:pPr>
              <w:spacing w:after="0"/>
              <w:rPr>
                <w:sz w:val="1"/>
                <w:szCs w:val="1"/>
                <w:color w:val="auto"/>
              </w:rPr>
            </w:pPr>
          </w:p>
        </w:tc>
      </w:tr>
      <w:tr>
        <w:trPr>
          <w:trHeight w:val="149"/>
        </w:trPr>
        <w:tc>
          <w:tcPr>
            <w:tcW w:w="3940" w:type="dxa"/>
            <w:vAlign w:val="bottom"/>
          </w:tcPr>
          <w:p>
            <w:pPr>
              <w:jc w:val="center"/>
              <w:ind w:right="538"/>
              <w:spacing w:after="0" w:line="149" w:lineRule="exact"/>
              <w:rPr>
                <w:sz w:val="20"/>
                <w:szCs w:val="20"/>
                <w:color w:val="auto"/>
              </w:rPr>
            </w:pPr>
            <w:r>
              <w:rPr>
                <w:rFonts w:ascii="Arial" w:cs="Arial" w:eastAsia="Arial" w:hAnsi="Arial"/>
                <w:sz w:val="14"/>
                <w:szCs w:val="14"/>
                <w:b w:val="1"/>
                <w:bCs w:val="1"/>
                <w:color w:val="auto"/>
                <w:w w:val="95"/>
              </w:rPr>
              <w:t>1901 Capital Parkway</w:t>
            </w:r>
          </w:p>
        </w:tc>
        <w:tc>
          <w:tcPr>
            <w:tcW w:w="62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Dallas, Texas 75201-2975</w:t>
            </w:r>
          </w:p>
        </w:tc>
        <w:tc>
          <w:tcPr>
            <w:tcW w:w="0" w:type="dxa"/>
            <w:vAlign w:val="bottom"/>
          </w:tcPr>
          <w:p>
            <w:pPr>
              <w:spacing w:after="0"/>
              <w:rPr>
                <w:sz w:val="1"/>
                <w:szCs w:val="1"/>
                <w:color w:val="auto"/>
              </w:rPr>
            </w:pPr>
          </w:p>
        </w:tc>
      </w:tr>
      <w:tr>
        <w:trPr>
          <w:trHeight w:val="149"/>
        </w:trPr>
        <w:tc>
          <w:tcPr>
            <w:tcW w:w="3940" w:type="dxa"/>
            <w:vAlign w:val="bottom"/>
          </w:tcPr>
          <w:p>
            <w:pPr>
              <w:jc w:val="center"/>
              <w:ind w:right="558"/>
              <w:spacing w:after="0" w:line="149" w:lineRule="exact"/>
              <w:rPr>
                <w:sz w:val="20"/>
                <w:szCs w:val="20"/>
                <w:color w:val="auto"/>
              </w:rPr>
            </w:pPr>
            <w:r>
              <w:rPr>
                <w:rFonts w:ascii="Arial" w:cs="Arial" w:eastAsia="Arial" w:hAnsi="Arial"/>
                <w:sz w:val="14"/>
                <w:szCs w:val="14"/>
                <w:b w:val="1"/>
                <w:bCs w:val="1"/>
                <w:color w:val="auto"/>
                <w:w w:val="91"/>
              </w:rPr>
              <w:t>Austin, Texas 78746</w:t>
            </w:r>
          </w:p>
        </w:tc>
        <w:tc>
          <w:tcPr>
            <w:tcW w:w="62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4"/>
              </w:rPr>
              <w:t>214-220-7700</w:t>
            </w:r>
          </w:p>
        </w:tc>
        <w:tc>
          <w:tcPr>
            <w:tcW w:w="0" w:type="dxa"/>
            <w:vAlign w:val="bottom"/>
          </w:tcPr>
          <w:p>
            <w:pPr>
              <w:spacing w:after="0"/>
              <w:rPr>
                <w:sz w:val="1"/>
                <w:szCs w:val="1"/>
                <w:color w:val="auto"/>
              </w:rPr>
            </w:pPr>
          </w:p>
        </w:tc>
      </w:tr>
      <w:tr>
        <w:trPr>
          <w:trHeight w:val="186"/>
        </w:trPr>
        <w:tc>
          <w:tcPr>
            <w:tcW w:w="3940" w:type="dxa"/>
            <w:vAlign w:val="bottom"/>
          </w:tcPr>
          <w:p>
            <w:pPr>
              <w:jc w:val="right"/>
              <w:ind w:right="1738"/>
              <w:spacing w:after="0"/>
              <w:rPr>
                <w:sz w:val="20"/>
                <w:szCs w:val="20"/>
                <w:color w:val="auto"/>
              </w:rPr>
            </w:pPr>
            <w:r>
              <w:rPr>
                <w:rFonts w:ascii="Arial" w:cs="Arial" w:eastAsia="Arial" w:hAnsi="Arial"/>
                <w:sz w:val="14"/>
                <w:szCs w:val="14"/>
                <w:b w:val="1"/>
                <w:bCs w:val="1"/>
                <w:color w:val="auto"/>
              </w:rPr>
              <w:t>(512) 314-3400</w:t>
            </w: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1" w:lineRule="exact"/>
        <w:rPr>
          <w:sz w:val="24"/>
          <w:szCs w:val="24"/>
          <w:color w:val="auto"/>
        </w:rPr>
      </w:pPr>
    </w:p>
    <w:p>
      <w:pPr>
        <w:ind w:right="440" w:firstLine="446"/>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Not applicable. Removal from registration of securities that were not sold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registration statement.</w:t>
      </w:r>
    </w:p>
    <w:p>
      <w:pPr>
        <w:spacing w:after="0" w:line="5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130"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378" w:lineRule="exact"/>
        <w:rPr>
          <w:sz w:val="24"/>
          <w:szCs w:val="24"/>
          <w:color w:val="auto"/>
        </w:rPr>
      </w:pPr>
    </w:p>
    <w:p>
      <w:pPr>
        <w:ind w:left="420"/>
        <w:spacing w:after="0"/>
        <w:rPr>
          <w:sz w:val="20"/>
          <w:szCs w:val="20"/>
          <w:color w:val="auto"/>
        </w:rPr>
      </w:pPr>
      <w:r>
        <w:rPr>
          <w:rFonts w:ascii="Arial" w:cs="Arial" w:eastAsia="Arial" w:hAnsi="Arial"/>
          <w:sz w:val="16"/>
          <w:szCs w:val="16"/>
          <w:color w:val="auto"/>
        </w:rPr>
        <w:t>US 2104707v.9</w:t>
      </w:r>
    </w:p>
    <w:p>
      <w:pPr>
        <w:sectPr>
          <w:pgSz w:w="11900" w:h="16838" w:orient="portrait"/>
          <w:cols w:equalWidth="0" w:num="1">
            <w:col w:w="11420"/>
          </w:cols>
          <w:pgMar w:left="240" w:top="472" w:right="239" w:bottom="1440" w:gutter="0" w:footer="0" w:header="0"/>
        </w:sectPr>
      </w:pPr>
    </w:p>
    <w:bookmarkStart w:id="1" w:name="page2"/>
    <w:bookmarkEnd w:id="1"/>
    <w:p>
      <w:pPr>
        <w:ind w:right="560"/>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2" w:lineRule="exact"/>
        <w:rPr>
          <w:sz w:val="20"/>
          <w:szCs w:val="20"/>
          <w:color w:val="auto"/>
        </w:rPr>
      </w:pPr>
    </w:p>
    <w:p>
      <w:pPr>
        <w:spacing w:after="0"/>
        <w:tabs>
          <w:tab w:leader="none" w:pos="1420" w:val="left"/>
          <w:tab w:leader="none" w:pos="1640" w:val="left"/>
          <w:tab w:leader="none" w:pos="2740" w:val="left"/>
          <w:tab w:leader="none" w:pos="2960" w:val="left"/>
          <w:tab w:leader="none" w:pos="4320" w:val="left"/>
          <w:tab w:leader="none" w:pos="4540" w:val="left"/>
          <w:tab w:leader="none" w:pos="6260" w:val="left"/>
        </w:tabs>
        <w:rPr>
          <w:sz w:val="20"/>
          <w:szCs w:val="20"/>
          <w:color w:val="auto"/>
        </w:rPr>
      </w:pPr>
      <w:r>
        <w:rPr>
          <w:rFonts w:ascii="Arial" w:cs="Arial" w:eastAsia="Arial" w:hAnsi="Arial"/>
          <w:sz w:val="14"/>
          <w:szCs w:val="14"/>
          <w:color w:val="auto"/>
        </w:rPr>
        <w:t>Large accelerated filer</w:t>
        <w:tab/>
        <w:t>x</w:t>
        <w:tab/>
        <w:t>Accelerated filer</w:t>
        <w:tab/>
        <w:t>o</w:t>
        <w:tab/>
        <w:t>Non-accelerated filer</w:t>
        <w:tab/>
        <w:t>o</w:t>
        <w:tab/>
        <w:t>Smaller reporting company</w:t>
      </w:r>
      <w:r>
        <w:rPr>
          <w:sz w:val="20"/>
          <w:szCs w:val="20"/>
          <w:color w:val="auto"/>
        </w:rPr>
        <w:tab/>
      </w:r>
      <w:r>
        <w:rPr>
          <w:rFonts w:ascii="Arial" w:cs="Arial" w:eastAsia="Arial" w:hAnsi="Arial"/>
          <w:sz w:val="10"/>
          <w:szCs w:val="10"/>
          <w:color w:val="auto"/>
        </w:rPr>
        <w:t>o</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(Do not check if a smaller reporting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Exchange Act Rule 13e-4(i) (Cross-Border Issuer Tender Offer) o</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Exchange Act Rule 14d-1(d) (Cross-Border Third Party Tender Offer) o</w:t>
      </w:r>
    </w:p>
    <w:p>
      <w:pPr>
        <w:sectPr>
          <w:pgSz w:w="11900" w:h="16838" w:orient="portrait"/>
          <w:cols w:equalWidth="0" w:num="1">
            <w:col w:w="11280"/>
          </w:cols>
          <w:pgMar w:left="240" w:top="368"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DEREGISTRATION OF SECURITIES</w:t>
      </w:r>
    </w:p>
    <w:p>
      <w:pPr>
        <w:spacing w:after="0" w:line="18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This Post-Effective Amendment No. 1 to the Registration Statement on Form S-4 (File No. 333-170972)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EZCORP, Inc., a Delaware corporation (“</w:t>
      </w:r>
      <w:r>
        <w:rPr>
          <w:rFonts w:ascii="Arial" w:cs="Arial" w:eastAsia="Arial" w:hAnsi="Arial"/>
          <w:sz w:val="18"/>
          <w:szCs w:val="18"/>
          <w:u w:val="single" w:color="auto"/>
          <w:color w:val="auto"/>
        </w:rPr>
        <w:t>Registrant</w:t>
      </w:r>
      <w:r>
        <w:rPr>
          <w:rFonts w:ascii="Arial" w:cs="Arial" w:eastAsia="Arial" w:hAnsi="Arial"/>
          <w:sz w:val="18"/>
          <w:szCs w:val="18"/>
          <w:color w:val="auto"/>
        </w:rPr>
        <w:t>”), with the Securities and Exchange Commission on December 3, 2010, which registered 2,000,000 shares of Registrant’s Class A Non-Voting Common Stock, par value $0.01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being filed to deregister any securities registered pursuant to the Registration Statement and not otherwise sold thereunder.</w:t>
      </w:r>
    </w:p>
    <w:p>
      <w:pPr>
        <w:spacing w:after="0" w:line="14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October 2, 2013, pursuant to the Agreement and Plan of Merger, dated as of October 1, 2013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between Registrant and EZMergeco, Inc., a Delaware corporation and a newly formed direct wholly owned subsidiary of Registrant (“</w:t>
      </w:r>
      <w:r>
        <w:rPr>
          <w:rFonts w:ascii="Arial" w:cs="Arial" w:eastAsia="Arial" w:hAnsi="Arial"/>
          <w:sz w:val="18"/>
          <w:szCs w:val="18"/>
          <w:u w:val="single" w:color="auto"/>
          <w:color w:val="auto"/>
        </w:rPr>
        <w:t>MergeCo</w:t>
      </w:r>
      <w:r>
        <w:rPr>
          <w:rFonts w:ascii="Arial" w:cs="Arial" w:eastAsia="Arial" w:hAnsi="Arial"/>
          <w:sz w:val="18"/>
          <w:szCs w:val="18"/>
          <w:color w:val="auto"/>
        </w:rPr>
        <w:t>”), in an internal reorganization transaction structured as a merger, Registrant merged with and into MergeCo, with MergeCo continuing as the surviving corporation (the “</w:t>
      </w:r>
      <w:r>
        <w:rPr>
          <w:rFonts w:ascii="Arial" w:cs="Arial" w:eastAsia="Arial" w:hAnsi="Arial"/>
          <w:sz w:val="18"/>
          <w:szCs w:val="18"/>
          <w:u w:val="single" w:color="auto"/>
          <w:color w:val="auto"/>
        </w:rPr>
        <w:t>Reorganization</w:t>
      </w:r>
      <w:r>
        <w:rPr>
          <w:rFonts w:ascii="Arial" w:cs="Arial" w:eastAsia="Arial" w:hAnsi="Arial"/>
          <w:sz w:val="18"/>
          <w:szCs w:val="18"/>
          <w:color w:val="auto"/>
        </w:rPr>
        <w:t>”). At the effective time of the Reorganization, MergeCo changed its name to “EZCORP, Inc.” (referred to herein as “</w:t>
      </w:r>
      <w:r>
        <w:rPr>
          <w:rFonts w:ascii="Arial" w:cs="Arial" w:eastAsia="Arial" w:hAnsi="Arial"/>
          <w:sz w:val="18"/>
          <w:szCs w:val="18"/>
          <w:u w:val="single" w:color="auto"/>
          <w:color w:val="auto"/>
        </w:rPr>
        <w:t>EZCORP</w:t>
      </w:r>
      <w:r>
        <w:rPr>
          <w:rFonts w:ascii="Arial" w:cs="Arial" w:eastAsia="Arial" w:hAnsi="Arial"/>
          <w:sz w:val="18"/>
          <w:szCs w:val="18"/>
          <w:color w:val="auto"/>
        </w:rPr>
        <w:t>”) and succeeded to all of the assets and liabilities of Registrant. EZCORP has conducted and will continue to conduct the same business and operations as Registrant immediately prior to the Reorganization.</w:t>
      </w:r>
    </w:p>
    <w:p>
      <w:pPr>
        <w:spacing w:after="0" w:line="15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 result of the Reorganization, Registrant has terminated any and all offerings of its securities pursuant to its existing registration statements, including the Registration Statement. Accordingly, Registrant hereby terminates the effectiveness of the Registration Statement and, in accordance with an undertaking made by Registrant in Part II of the Registration Statement to remove from registration by means of a post-effective amendment any of the securities being registered which remain unsold at the termination of the offering, removes from registration any and all Class A Common Stock registered but unsold under the Registration Statement as of the date hereof.</w:t>
      </w:r>
    </w:p>
    <w:p>
      <w:pPr>
        <w:sectPr>
          <w:pgSz w:w="11900" w:h="16838" w:orient="portrait"/>
          <w:cols w:equalWidth="0" w:num="1">
            <w:col w:w="11420"/>
          </w:cols>
          <w:pgMar w:left="240" w:top="364"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Pursuant to the requirements of the Securities Act of 1933 and Rule 478 thereunder, the registrant has duly caused this Post-Effective Amendment No. 1 to the Registration Statement to be signed on its behalf by the undersigned, thereunto duly authorized, in the City of Austin, State of Texas, on this 4th day of October, 2013.</w:t>
      </w:r>
    </w:p>
    <w:p>
      <w:pPr>
        <w:spacing w:after="0" w:line="299"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EZCORP, INC.</w:t>
      </w:r>
    </w:p>
    <w:p>
      <w:pPr>
        <w:spacing w:after="0" w:line="297" w:lineRule="exact"/>
        <w:rPr>
          <w:sz w:val="20"/>
          <w:szCs w:val="20"/>
          <w:color w:val="auto"/>
        </w:rPr>
      </w:pPr>
    </w:p>
    <w:p>
      <w:pPr>
        <w:ind w:left="6000"/>
        <w:spacing w:after="0"/>
        <w:tabs>
          <w:tab w:leader="none" w:pos="6420" w:val="left"/>
        </w:tabs>
        <w:rPr>
          <w:sz w:val="20"/>
          <w:szCs w:val="20"/>
          <w:color w:val="auto"/>
        </w:rPr>
      </w:pPr>
      <w:r>
        <w:rPr>
          <w:rFonts w:ascii="Arial" w:cs="Arial" w:eastAsia="Arial" w:hAnsi="Arial"/>
          <w:sz w:val="18"/>
          <w:szCs w:val="18"/>
          <w:color w:val="auto"/>
        </w:rPr>
        <w:t>By:</w:t>
        <w:tab/>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2315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Thomas H. Welch, Jr.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Agent for Service</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No other person is required to sign this Post-Effective Amendment No. 1 to the Registration Statement in reliance on Rule 478 of the Securities Act of 1933.</w:t>
      </w: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2020-01-30T14:58:59Z</dcterms:created>
  <dcterms:modified xsi:type="dcterms:W3CDTF">2020-01-30T14:58:59Z</dcterms:modified>
</cp:coreProperties>
</file>