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3"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93"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14, 2020</w:t>
      </w:r>
    </w:p>
    <w:p>
      <w:pPr>
        <w:spacing w:after="0" w:line="7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8"/>
                <w:szCs w:val="18"/>
                <w:b w:val="1"/>
                <w:bCs w:val="1"/>
                <w:color w:val="auto"/>
                <w:w w:val="98"/>
              </w:rPr>
              <w:t>74-2540145</w:t>
            </w:r>
          </w:p>
        </w:tc>
      </w:tr>
      <w:tr>
        <w:trPr>
          <w:trHeight w:val="146"/>
        </w:trPr>
        <w:tc>
          <w:tcPr>
            <w:tcW w:w="1820" w:type="dxa"/>
            <w:vAlign w:val="bottom"/>
          </w:tcPr>
          <w:p>
            <w:pPr>
              <w:jc w:val="center"/>
              <w:ind w:right="10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0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2500 Bee Cave Road, Bldg One, Suite 200, Rollingwood, Texas 78746</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r>
      <w:tr>
        <w:trPr>
          <w:trHeight w:val="375"/>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1420" w:type="dxa"/>
            <w:vAlign w:val="bottom"/>
          </w:tcPr>
          <w:p>
            <w:pPr>
              <w:spacing w:after="0"/>
              <w:rPr>
                <w:sz w:val="24"/>
                <w:szCs w:val="24"/>
                <w:color w:val="auto"/>
              </w:rPr>
            </w:pPr>
          </w:p>
        </w:tc>
      </w:tr>
    </w:tbl>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20" w:type="dxa"/>
            <w:vAlign w:val="bottom"/>
          </w:tcPr>
          <w:p>
            <w:pPr>
              <w:spacing w:after="0"/>
              <w:rPr>
                <w:sz w:val="20"/>
                <w:szCs w:val="20"/>
                <w:color w:val="auto"/>
              </w:rPr>
            </w:pPr>
          </w:p>
        </w:tc>
        <w:tc>
          <w:tcPr>
            <w:tcW w:w="4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EZPW</w:t>
            </w:r>
          </w:p>
        </w:tc>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NASDAQ Stock Market</w:t>
            </w:r>
          </w:p>
        </w:tc>
        <w:tc>
          <w:tcPr>
            <w:tcW w:w="28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8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8"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2"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699770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December 14, 2020, EZCORP, Inc. ("EZCORP") issued a press release announcing its results of operations and financial condition for the year ended September 30, 2020. A copy of that press release is attached as Exhibit 99.1.</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Guatemalan quetzals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2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20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copy of the presentation materials that management will review during the Company’s fiscal 2020 earnings conference call (to be held on December 15, 2020) will be posted in the Investor Relations section of the company’s website at www.ezcorp.com.</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29"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17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(d)   Exhibits.</w:t>
            </w:r>
          </w:p>
        </w:tc>
        <w:tc>
          <w:tcPr>
            <w:tcW w:w="264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1780" w:type="dxa"/>
            <w:vAlign w:val="bottom"/>
          </w:tcPr>
          <w:p>
            <w:pPr>
              <w:jc w:val="right"/>
              <w:ind w:right="59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99.1</w:t>
              </w:r>
            </w:hyperlink>
          </w:p>
        </w:tc>
        <w:tc>
          <w:tcPr>
            <w:tcW w:w="9100" w:type="dxa"/>
            <w:vAlign w:val="bottom"/>
            <w:gridSpan w:val="3"/>
          </w:tcPr>
          <w:p>
            <w:pPr>
              <w:ind w:left="20"/>
              <w:spacing w:after="0"/>
              <w:rPr>
                <w:rFonts w:ascii="Times New Roman" w:cs="Times New Roman" w:eastAsia="Times New Roman" w:hAnsi="Times New Roman"/>
                <w:sz w:val="18"/>
                <w:szCs w:val="18"/>
                <w:color w:val="0000FF"/>
                <w:w w:val="99"/>
              </w:rPr>
            </w:pPr>
            <w:hyperlink w:anchor="page3">
              <w:r>
                <w:rPr>
                  <w:rFonts w:ascii="Times New Roman" w:cs="Times New Roman" w:eastAsia="Times New Roman" w:hAnsi="Times New Roman"/>
                  <w:sz w:val="18"/>
                  <w:szCs w:val="18"/>
                  <w:color w:val="0000FF"/>
                  <w:w w:val="99"/>
                </w:rPr>
                <w:t>Press Release, dated December 14, 2020, announcing EZCORP, Inc.’s results of operations and financial condition for quarter</w:t>
              </w:r>
            </w:hyperlink>
          </w:p>
        </w:tc>
      </w:tr>
      <w:tr>
        <w:trPr>
          <w:trHeight w:val="155"/>
        </w:trPr>
        <w:tc>
          <w:tcPr>
            <w:tcW w:w="1780" w:type="dxa"/>
            <w:vAlign w:val="bottom"/>
          </w:tcPr>
          <w:p>
            <w:pPr>
              <w:spacing w:after="0"/>
              <w:rPr>
                <w:sz w:val="13"/>
                <w:szCs w:val="13"/>
                <w:color w:val="auto"/>
              </w:rPr>
            </w:pPr>
          </w:p>
        </w:tc>
        <w:tc>
          <w:tcPr>
            <w:tcW w:w="2640" w:type="dxa"/>
            <w:vAlign w:val="bottom"/>
            <w:tcBorders>
              <w:top w:val="single" w:sz="8" w:color="0000FF"/>
              <w:bottom w:val="single" w:sz="8" w:color="0000FF"/>
            </w:tcBorders>
          </w:tcPr>
          <w:p>
            <w:pPr>
              <w:ind w:left="20"/>
              <w:spacing w:after="0" w:line="156" w:lineRule="exact"/>
              <w:rPr>
                <w:rFonts w:ascii="Times New Roman" w:cs="Times New Roman" w:eastAsia="Times New Roman" w:hAnsi="Times New Roman"/>
                <w:sz w:val="18"/>
                <w:szCs w:val="18"/>
                <w:color w:val="0000FF"/>
                <w:w w:val="99"/>
              </w:rPr>
            </w:pPr>
            <w:hyperlink w:anchor="page3">
              <w:r>
                <w:rPr>
                  <w:rFonts w:ascii="Times New Roman" w:cs="Times New Roman" w:eastAsia="Times New Roman" w:hAnsi="Times New Roman"/>
                  <w:sz w:val="18"/>
                  <w:szCs w:val="18"/>
                  <w:color w:val="0000FF"/>
                  <w:w w:val="99"/>
                </w:rPr>
                <w:t>and year ended September 30, 2020.</w:t>
              </w:r>
            </w:hyperlink>
          </w:p>
        </w:tc>
        <w:tc>
          <w:tcPr>
            <w:tcW w:w="64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50"/>
        </w:trPr>
        <w:tc>
          <w:tcPr>
            <w:tcW w:w="1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104</w:t>
            </w:r>
          </w:p>
        </w:tc>
        <w:tc>
          <w:tcPr>
            <w:tcW w:w="9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712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EZCORP, INC.</w:t>
            </w:r>
          </w:p>
        </w:tc>
      </w:tr>
      <w:tr>
        <w:trPr>
          <w:trHeight w:val="28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14, 2020</w:t>
            </w:r>
          </w:p>
        </w:tc>
        <w:tc>
          <w:tcPr>
            <w:tcW w:w="28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Jason A. Kulas</w:t>
            </w:r>
          </w:p>
        </w:tc>
      </w:tr>
      <w:tr>
        <w:trPr>
          <w:trHeight w:val="218"/>
        </w:trPr>
        <w:tc>
          <w:tcPr>
            <w:tcW w:w="4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Jason A. Kulas,</w:t>
            </w:r>
          </w:p>
        </w:tc>
      </w:tr>
      <w:tr>
        <w:trPr>
          <w:trHeight w:val="234"/>
        </w:trPr>
        <w:tc>
          <w:tcPr>
            <w:tcW w:w="40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20"/>
          </w:cols>
          <w:pgMar w:left="320" w:top="1062" w:right="359" w:bottom="1440" w:gutter="0" w:footer="0" w:header="0"/>
        </w:sectPr>
      </w:pPr>
    </w:p>
    <w:bookmarkStart w:id="2" w:name="page3"/>
    <w:bookmarkEnd w:id="2"/>
    <w:p>
      <w:pPr>
        <w:spacing w:after="0" w:line="2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2771140</wp:posOffset>
            </wp:positionH>
            <wp:positionV relativeFrom="page">
              <wp:posOffset>577215</wp:posOffset>
            </wp:positionV>
            <wp:extent cx="2005965" cy="3511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5965" cy="3511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EZCORP Reports Fourth Quarter Fiscal Year 2020 Results</w:t>
      </w:r>
    </w:p>
    <w:p>
      <w:pPr>
        <w:spacing w:after="0" w:line="178"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Austin, Texas (December 14, 2020) — </w:t>
      </w:r>
      <w:r>
        <w:rPr>
          <w:rFonts w:ascii="Times New Roman" w:cs="Times New Roman" w:eastAsia="Times New Roman" w:hAnsi="Times New Roman"/>
          <w:sz w:val="18"/>
          <w:szCs w:val="18"/>
          <w:color w:val="auto"/>
        </w:rPr>
        <w:t>EZCORP, Inc. (NASDAQ: EZPW) today announced results for its fourth quarter and fiscal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2020.</w:t>
      </w:r>
    </w:p>
    <w:p>
      <w:pPr>
        <w:spacing w:after="0" w:line="107"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16"/>
          <w:szCs w:val="16"/>
          <w:i w:val="1"/>
          <w:iCs w:val="1"/>
          <w:color w:val="auto"/>
        </w:rPr>
        <w:t>All amounts in this release are from EZCORP continuing operations and in conformity with U.S. generally accepted accounting principles ("GAAP") unless otherwise noted. Comparisons shown in this release are to the same period in the prior year unless otherwise noted.</w:t>
      </w:r>
    </w:p>
    <w:p>
      <w:pPr>
        <w:spacing w:after="0" w:line="10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Results for the fourth quarter of fiscal 2020 were impacted by lower pawn service charges related to stimulus payments and ongoing COVID-19 headwinds, as well as charges and non-cash write-downs associated with the Company's efforts to simplify and streamline its business and other COVID-19 impacts. Given the typical delay between growth in pawn loan originations and pawn service charges, near-term pawn service charge revenue trends will continue to lag the recent stabilization and rebound in new loans made and pawn loans outstanding.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COMMENTARY AND OUTLOOK</w:t>
      </w:r>
    </w:p>
    <w:p>
      <w:pPr>
        <w:spacing w:after="0" w:line="16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Chief Executive Officer Jason Kulas stated, "We continue to make progress on key strategic initiatives. First, we implemented a number of initiatives that will result in a reduction of annual corporate expenses of more than $12 million beginning in fiscal 2021. We have also lowered store-level operating costs by $14 million on an annualized basis. While a majority of those store-level savings will be added back as transaction activity continues to grow, we are realizing significant expense reductions, with an ongoing focus on extracting further operating efficiencies. Second, we continue to strengthen our core pawn business by increasingly leveraging data analytics across geographies to optimize pricing, productivity and returns. Third, recent efforts to rationalize non-core activities have included closing our CASHMAX business in Canada. Finally, we remain focused on innovation to broaden customer engagement across channels, improve the customer experience and capture new business. Our digital pawn servicing platform, Lana, and our other digital efforts have been refocused on achieving these goals.</w:t>
      </w:r>
    </w:p>
    <w:p>
      <w:pPr>
        <w:spacing w:after="0" w:line="13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"At EZCORP, we are focused on optimizing the unique and essential elements of our core pawn business to address customers’ short-term cash needs. We have implemented a culture of continuous operational improvements that will drive operating leverage as we grow and will improve earnings power and shareholder value over time. As we sharpen our focus on continuous improvement in our pawn business, our team is viewing all initiatives through the lens of whether they benefit our core business. We look forward to providing updates on these initiatives in future quarters."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FOR FOURTH QUARTER OF FISCAL 2020</w:t>
      </w:r>
    </w:p>
    <w:p>
      <w:pPr>
        <w:spacing w:after="0" w:line="162" w:lineRule="exact"/>
        <w:rPr>
          <w:sz w:val="20"/>
          <w:szCs w:val="20"/>
          <w:color w:val="auto"/>
        </w:rPr>
      </w:pPr>
    </w:p>
    <w:p>
      <w:pPr>
        <w:jc w:val="both"/>
        <w:ind w:left="660" w:right="38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declined 22% to $166.9 million, and net revenues declined 26% to $89.6 million. These declines were driven by a reduction in revenue from pawn service charges (PSC), which was down 34% to $55.2 million as a result of lower average pawn loans outstanding (PLO) during the quarter.</w:t>
      </w:r>
    </w:p>
    <w:p>
      <w:pPr>
        <w:spacing w:after="0" w:line="121"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PLO balance at the end of the quarter was $131.3 million, 34% below the prior-year quarter. Pawn loan demand was significantly reduced in the third quarter and into the fourth quarter following economic stimulus actions in the U.S. and constrained traffic in Latin America. Activity levels have started to normalize, with PLO increasing $18.0 million during the quarter as compared to the third quarter of fiscal 2020.</w:t>
      </w:r>
    </w:p>
    <w:p>
      <w:pPr>
        <w:spacing w:after="0" w:line="12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expenses were $78.2 million, down $13.3 million, or 15%, $3.9 million of which is due to a reduction in accrued short-term and long-term incentive compensation. Administrative expenses decreased by $11.1 million due to a $17.0 million reduction in accrued short-term and long-term incentive compensation, offset by $4.9 million in increased labor costs.</w:t>
      </w:r>
    </w:p>
    <w:p>
      <w:pPr>
        <w:spacing w:after="0" w:line="12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implemented strategic initiatives to remove over $12 million in annual corporate expenses beginning in fiscal 2021 and $14 million related to store-level operating costs, a majority of which will be added back as transaction activity continues to increase.</w:t>
      </w:r>
    </w:p>
    <w:p>
      <w:pPr>
        <w:spacing w:after="0" w:line="107" w:lineRule="exact"/>
        <w:rPr>
          <w:rFonts w:ascii="Times New Roman" w:cs="Times New Roman" w:eastAsia="Times New Roman" w:hAnsi="Times New Roman"/>
          <w:sz w:val="18"/>
          <w:szCs w:val="18"/>
          <w:color w:val="auto"/>
        </w:rPr>
      </w:pPr>
    </w:p>
    <w:p>
      <w:pPr>
        <w:ind w:left="660" w:right="120" w:hanging="328"/>
        <w:spacing w:after="0" w:line="235"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before taxes was $28.7 million and diluted loss per share was $0.42, compared to income before taxes of $0.4 million and diluted loss per share of $0.01, respectively, in the prior-year quarter. On an adjusted basis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loss before taxes was $2.9 million and diluted earnings per share was $0.07, compared to profit before taxes of $10.0 million and diluted earnings per share of $0.13, respectively, in the prior-year quarter.</w:t>
      </w:r>
    </w:p>
    <w:p>
      <w:pPr>
        <w:sectPr>
          <w:pgSz w:w="11900" w:h="16838" w:orient="portrait"/>
          <w:cols w:equalWidth="0" w:num="1">
            <w:col w:w="11240"/>
          </w:cols>
          <w:pgMar w:left="320" w:top="1440" w:right="339" w:bottom="1440" w:gutter="0" w:footer="0" w:header="0"/>
        </w:sectPr>
      </w:pPr>
    </w:p>
    <w:bookmarkStart w:id="3" w:name="page4"/>
    <w:bookmarkEnd w:id="3"/>
    <w:p>
      <w:pPr>
        <w:ind w:left="328" w:right="480" w:hanging="328"/>
        <w:spacing w:after="0" w:line="266"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inventory of $95.9 million decreased 47%, reflecting annualized inventory turnover of 2.8x. Merchandise sales gross margin of 31% decreased 200 bps, but when excluding a $2.6 million increase in reserves resulting from the impact of COVID-19, merchandise sales gross margin was flat at 33%.</w:t>
      </w:r>
    </w:p>
    <w:p>
      <w:pPr>
        <w:spacing w:after="0" w:line="121" w:lineRule="exact"/>
        <w:rPr>
          <w:rFonts w:ascii="Times New Roman" w:cs="Times New Roman" w:eastAsia="Times New Roman" w:hAnsi="Times New Roman"/>
          <w:sz w:val="18"/>
          <w:szCs w:val="18"/>
          <w:color w:val="auto"/>
        </w:rPr>
      </w:pPr>
    </w:p>
    <w:p>
      <w:pPr>
        <w:ind w:left="328" w:right="360" w:hanging="328"/>
        <w:spacing w:after="0" w:line="282" w:lineRule="auto"/>
        <w:tabs>
          <w:tab w:leader="none" w:pos="323"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increased $147.0 million to $304.5 million as of the end of the quarter, with most of the increase attributable to the decline in PLO.</w:t>
      </w:r>
    </w:p>
    <w:p>
      <w:pPr>
        <w:spacing w:after="0" w:line="107" w:lineRule="exact"/>
        <w:rPr>
          <w:rFonts w:ascii="Times New Roman" w:cs="Times New Roman" w:eastAsia="Times New Roman" w:hAnsi="Times New Roman"/>
          <w:sz w:val="18"/>
          <w:szCs w:val="18"/>
          <w:b w:val="1"/>
          <w:bCs w:val="1"/>
          <w:color w:val="auto"/>
        </w:rPr>
      </w:pPr>
    </w:p>
    <w:p>
      <w:pPr>
        <w:ind w:left="328" w:hanging="328"/>
        <w:spacing w:after="0" w:line="266"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management began to implement cost savings and refocus initiatives designed to improve bottom line performance and position the Company for sustainable growth focused on the core pawn business. As a result of these initiatives, we recorded the following pre-tax charges in the quarter:</w:t>
      </w:r>
    </w:p>
    <w:p>
      <w:pPr>
        <w:spacing w:after="0" w:line="121"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million in severance benefits related to the elimination of certain management positions;</w:t>
      </w:r>
    </w:p>
    <w:p>
      <w:pPr>
        <w:spacing w:after="0" w:line="171"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million associated with the closure of the CASHMAX business in Canada and related operations;</w:t>
      </w:r>
    </w:p>
    <w:p>
      <w:pPr>
        <w:spacing w:after="0" w:line="171"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million associated with the closure of four stores in U.S. Pawn and three stores in Latin America Pawn; and</w:t>
      </w:r>
    </w:p>
    <w:p>
      <w:pPr>
        <w:spacing w:after="0" w:line="171"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of other miscellaneous charges.</w:t>
      </w:r>
    </w:p>
    <w:p>
      <w:pPr>
        <w:sectPr>
          <w:pgSz w:w="11900" w:h="16838" w:orient="portrait"/>
          <w:cols w:equalWidth="0" w:num="1">
            <w:col w:w="10868"/>
          </w:cols>
          <w:pgMar w:left="652" w:top="1053" w:right="379" w:bottom="1440" w:gutter="0" w:footer="0" w:header="0"/>
        </w:sectPr>
      </w:pPr>
    </w:p>
    <w:bookmarkStart w:id="4" w:name="page5"/>
    <w:bookmarkEnd w:id="4"/>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6"/>
        </w:trPr>
        <w:tc>
          <w:tcPr>
            <w:tcW w:w="5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1"/>
        </w:trPr>
        <w:tc>
          <w:tcPr>
            <w:tcW w:w="5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8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Adjusted</w:t>
            </w:r>
            <w:r>
              <w:rPr>
                <w:rFonts w:ascii="Times New Roman" w:cs="Times New Roman" w:eastAsia="Times New Roman" w:hAnsi="Times New Roman"/>
                <w:sz w:val="23"/>
                <w:szCs w:val="23"/>
                <w:b w:val="1"/>
                <w:bCs w:val="1"/>
                <w:color w:val="auto"/>
                <w:vertAlign w:val="superscript"/>
              </w:rPr>
              <w:t>1</w:t>
            </w:r>
          </w:p>
        </w:tc>
        <w:tc>
          <w:tcPr>
            <w:tcW w:w="820" w:type="dxa"/>
            <w:vAlign w:val="bottom"/>
          </w:tcPr>
          <w:p>
            <w:pPr>
              <w:spacing w:after="0"/>
              <w:rPr>
                <w:sz w:val="24"/>
                <w:szCs w:val="24"/>
                <w:color w:val="auto"/>
              </w:rPr>
            </w:pPr>
          </w:p>
        </w:tc>
      </w:tr>
      <w:tr>
        <w:trPr>
          <w:trHeight w:val="223"/>
        </w:trPr>
        <w:tc>
          <w:tcPr>
            <w:tcW w:w="57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5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44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4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 Before Tax</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30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4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bl>
    <w:p>
      <w:pPr>
        <w:spacing w:after="0" w:line="156" w:lineRule="exact"/>
        <w:rPr>
          <w:sz w:val="20"/>
          <w:szCs w:val="20"/>
          <w:color w:val="auto"/>
        </w:rPr>
      </w:pPr>
    </w:p>
    <w:p>
      <w:pPr>
        <w:ind w:left="660" w:right="6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decreased 22% to $166.9 million. PSC was down 34% to $55.2 million due to lower average PLO during the quarter. PLO increased 16% from June 30 to September 30, compared to a 5% sequential gain in the same period of the prior year.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Merchandise sales declined 2%, driven primarily by lower inventory levels.</w:t>
      </w:r>
    </w:p>
    <w:p>
      <w:pPr>
        <w:spacing w:after="0" w:line="17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Scrap sales declined 72% due to a lack of diamond scrap sales in the quarter as compared to the prior year. Jewelry scrap activity was lower than the prior year in response to lower inventory levels, but the impact of lower volume was lessened by margin improvement to 28%, as compared to 10% in the prior-year quarter. Gross profit on scrap sales decreased 24% to $1.7 million.</w:t>
      </w:r>
    </w:p>
    <w:p>
      <w:pPr>
        <w:spacing w:after="0" w:line="12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down 26% to $89.6 million. Consolidated merchandise sales gross profit decreased 7% to $32.3 million, while consolidated merchandise sales gross margin was 31%. When excluding a $2.6 million increase in inventory reserves resulting from the impact of COVID-19, consolidated merchandise sales gross margin was 33%.</w:t>
      </w:r>
    </w:p>
    <w:p>
      <w:pPr>
        <w:spacing w:after="0" w:line="121" w:lineRule="exact"/>
        <w:rPr>
          <w:rFonts w:ascii="Times New Roman" w:cs="Times New Roman" w:eastAsia="Times New Roman" w:hAnsi="Times New Roman"/>
          <w:sz w:val="18"/>
          <w:szCs w:val="18"/>
          <w:color w:val="auto"/>
        </w:rPr>
      </w:pPr>
    </w:p>
    <w:p>
      <w:pPr>
        <w:jc w:val="both"/>
        <w:ind w:left="660" w:right="160" w:hanging="328"/>
        <w:spacing w:after="0" w:line="288" w:lineRule="auto"/>
        <w:tabs>
          <w:tab w:leader="none" w:pos="655" w:val="left"/>
        </w:tabs>
        <w:numPr>
          <w:ilvl w:val="0"/>
          <w:numId w:val="4"/>
        </w:numPr>
        <w:rPr>
          <w:rFonts w:ascii="Arial" w:cs="Arial" w:eastAsia="Arial" w:hAnsi="Arial"/>
          <w:sz w:val="17"/>
          <w:szCs w:val="17"/>
          <w:color w:val="595959"/>
        </w:rPr>
      </w:pPr>
      <w:r>
        <w:rPr>
          <w:rFonts w:ascii="Times New Roman" w:cs="Times New Roman" w:eastAsia="Times New Roman" w:hAnsi="Times New Roman"/>
          <w:sz w:val="17"/>
          <w:szCs w:val="17"/>
          <w:color w:val="auto"/>
        </w:rPr>
        <w:t>Consolidated operations expenses decreased 15% primarily due to cost-cutting initiatives at the store level. Total pawn store count increased 1%, consisting of a net 13 stores opened since the end of the prior-year quarter. Administrative expense decreased 78% to $3.1 million, primarily due to a $17.0 million reduction in accrued short-term and long-term incentive compensation, offset by $4.9 million in increased labor costs.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Pawn</w:t>
      </w:r>
    </w:p>
    <w:p>
      <w:pPr>
        <w:spacing w:after="0" w:line="17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down 23%, reflecting the impact of lower average PLO on PSC revenue, which was down 32%.</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PLO decreased 32% to $106.3 million, but increased $19.5 million, or 23%, since the end of June, compared to a 6% sequential increase during the same period of the prior year.</w:t>
      </w:r>
    </w:p>
    <w:p>
      <w:pPr>
        <w:spacing w:after="0" w:line="107"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on merchandise sales grew $0.7 million, or 2%, reflecting expanded sales margins, partially offset by a 3% reduction in merchandise sales volume, driven primarily by lower inventory levels. Merchandise sales gross margin was 37% (39%, when excluding an increase in inventory reserves of $1.4 million resulting from the impact of COVID-19), at the high end of our targeted range. Annualized inventory turns were 2.5x, a 32% increase over the prior year. Aged general merchandise inventory improved to 4% from 6% in the prior year.</w:t>
      </w:r>
    </w:p>
    <w:p>
      <w:pPr>
        <w:spacing w:after="0" w:line="125"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contribution decreased $14.6 million to $7.6 million. This decrease was the result of a $20.5 million reduction in PSC, partially offset by a $8.4 million reduction in operating expenses ($2.4 million of which attributable to a reduction in accrued short-term and long-term incentive compensation).</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Latin America Pawn</w:t>
      </w:r>
    </w:p>
    <w:p>
      <w:pPr>
        <w:spacing w:after="0" w:line="171" w:lineRule="exact"/>
        <w:rPr>
          <w:sz w:val="20"/>
          <w:szCs w:val="20"/>
          <w:color w:val="auto"/>
        </w:rPr>
      </w:pPr>
    </w:p>
    <w:p>
      <w:pPr>
        <w:ind w:left="660" w:right="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Merchandise sales grew 2%, to $27.3 million (11% to $30.0 million on a constant currency basis). Merchandise sales gross margin was 13% (17% when excluding an increase in inventory reserves of $1.2 million resulting from the impact of COVID-19). Aged general merchandise inventory increased to 8% from 6% in the prior year, but declined sequentially from 19% at the end of the prior quarter.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PSC decreased 38% to $12.0 million (down 32% to $13.1 million on a constant currency basis) as a result of lower average PLO for the</w:t>
      </w:r>
    </w:p>
    <w:p>
      <w:pPr>
        <w:spacing w:after="0" w:line="27" w:lineRule="exact"/>
        <w:rPr>
          <w:rFonts w:ascii="Times New Roman" w:cs="Times New Roman" w:eastAsia="Times New Roman" w:hAnsi="Times New Roman"/>
          <w:sz w:val="18"/>
          <w:szCs w:val="18"/>
          <w:color w:val="auto"/>
        </w:rPr>
      </w:pPr>
    </w:p>
    <w:p>
      <w:pPr>
        <w:ind w:left="660"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 and a lower yield on pawn loans, reflecting our commitment to work with customers by negotiating reduced interest payments on a case-by-case basis.</w:t>
      </w:r>
    </w:p>
    <w:p>
      <w:pPr>
        <w:spacing w:after="0" w:line="1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decreased 40% to $16.0 million (down 33% to $17.8 million on a constant currency basis) primarily due to lower PSC.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expense was tightly managed, down 16% to $16.4 million.</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 Pawn added seven de novo stores in the quarter. New store openings typically pressure earnings in the short term as they ramp up, but drive higher profitability over time.</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loss for the quarter was $3.9 million ($4.2 million on a constant currency basis), compared to a contribution of $5.8 million in the prior year quarter, primarily reflecting lower PSC revenues.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EZCORP’s Annual Report on Form 10-K for fiscal 2020 has been filed with the Securities and Exchange Commission. The report is available in the Investor Relations section of the Company’s website at </w:t>
      </w:r>
      <w:r>
        <w:rPr>
          <w:rFonts w:ascii="Times New Roman" w:cs="Times New Roman" w:eastAsia="Times New Roman" w:hAnsi="Times New Roman"/>
          <w:sz w:val="18"/>
          <w:szCs w:val="18"/>
          <w:u w:val="single" w:color="auto"/>
          <w:color w:val="auto"/>
        </w:rPr>
        <w:t>http://investors.ezcorp.com</w:t>
      </w:r>
      <w:r>
        <w:rPr>
          <w:rFonts w:ascii="Times New Roman" w:cs="Times New Roman" w:eastAsia="Times New Roman" w:hAnsi="Times New Roman"/>
          <w:sz w:val="18"/>
          <w:szCs w:val="18"/>
          <w:color w:val="auto"/>
        </w:rPr>
        <w:t>. EZCORP shareholders may obtain a paper copy of the report, free of charge, by sending a request to the investor relations contact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3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 xml:space="preserve">EZCORP will host a conference call on Tuesday, December 15, 2020, at 7:00 am Central Time to discuss fiscal fourth quarter results. Analysts and institutional investors may participate on the conference call by dialing (877) 407-0789, Conference ID: 13713707, or internationally by dialing (201) 689-8562. The conference call will be webcast simultaneously to the public through this link: </w:t>
      </w:r>
      <w:r>
        <w:rPr>
          <w:rFonts w:ascii="Times New Roman" w:cs="Times New Roman" w:eastAsia="Times New Roman" w:hAnsi="Times New Roman"/>
          <w:sz w:val="18"/>
          <w:szCs w:val="18"/>
          <w:u w:val="single" w:color="auto"/>
          <w:color w:val="auto"/>
        </w:rPr>
        <w:t>http://investors.ezcorp.com/</w:t>
      </w:r>
      <w:r>
        <w:rPr>
          <w:rFonts w:ascii="Times New Roman" w:cs="Times New Roman" w:eastAsia="Times New Roman" w:hAnsi="Times New Roman"/>
          <w:sz w:val="18"/>
          <w:szCs w:val="18"/>
          <w:color w:val="auto"/>
        </w:rPr>
        <w:t xml:space="preserve">. A replay of the conference call will be available online at </w:t>
      </w:r>
      <w:r>
        <w:rPr>
          <w:rFonts w:ascii="Times New Roman" w:cs="Times New Roman" w:eastAsia="Times New Roman" w:hAnsi="Times New Roman"/>
          <w:sz w:val="18"/>
          <w:szCs w:val="18"/>
          <w:u w:val="single" w:color="auto"/>
          <w:color w:val="auto"/>
        </w:rPr>
        <w:t>http://investors.ezcorp.com/</w:t>
      </w:r>
      <w:r>
        <w:rPr>
          <w:rFonts w:ascii="Times New Roman" w:cs="Times New Roman" w:eastAsia="Times New Roman" w:hAnsi="Times New Roman"/>
          <w:sz w:val="18"/>
          <w:szCs w:val="18"/>
          <w:color w:val="auto"/>
        </w:rPr>
        <w:t xml:space="preserve"> shortly after the end of the call.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EZCORP</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Formed in 1989, EZCORP has grown into a leading provider of pawn loans in the United States and Latin America. We also sell merchandise, primarily collateral forfeited from pawn lending operations and used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1000 Index and Nasdaq Composite Index.</w:t>
      </w:r>
    </w:p>
    <w:p>
      <w:pPr>
        <w:sectPr>
          <w:pgSz w:w="11900" w:h="16838" w:orient="portrait"/>
          <w:cols w:equalWidth="0" w:num="1">
            <w:col w:w="11220"/>
          </w:cols>
          <w:pgMar w:left="320" w:top="1093"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(512) 314-2220</w:t>
      </w:r>
    </w:p>
    <w:p>
      <w:pPr>
        <w:spacing w:after="0" w:line="200" w:lineRule="exact"/>
        <w:rPr>
          <w:sz w:val="20"/>
          <w:szCs w:val="20"/>
          <w:color w:val="auto"/>
        </w:rPr>
      </w:pPr>
    </w:p>
    <w:p>
      <w:pPr>
        <w:spacing w:after="0" w:line="348" w:lineRule="exact"/>
        <w:rPr>
          <w:sz w:val="20"/>
          <w:szCs w:val="20"/>
          <w:color w:val="auto"/>
        </w:rPr>
      </w:pPr>
    </w:p>
    <w:p>
      <w:pPr>
        <w:ind w:right="280"/>
        <w:spacing w:after="0" w:line="231" w:lineRule="auto"/>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”Adjusted” basis, which is a non-GAAP measure, excludes certain items. “Constant currency” basis, which is a non-GAAP measure, excludes the impact of foreign currency exchange rate fluctuations. “Free cash flow,” which is a non-GAAP measure, includes certain adjustments to cash flow from operating activities.</w:t>
      </w:r>
    </w:p>
    <w:p>
      <w:pPr>
        <w:spacing w:after="0" w:line="216"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4"/>
          <w:szCs w:val="14"/>
          <w:i w:val="1"/>
          <w:iCs w:val="1"/>
          <w:color w:val="auto"/>
        </w:rPr>
        <w:t>For additional information about these calculations, as well as a reconciliation to the most comparable GAAP financial measures, see “Non-GAAP Financial Information” at the end of this release.</w:t>
      </w:r>
    </w:p>
    <w:p>
      <w:pPr>
        <w:sectPr>
          <w:pgSz w:w="11900" w:h="16838" w:orient="portrait"/>
          <w:cols w:equalWidth="0" w:num="1">
            <w:col w:w="11180"/>
          </w:cols>
          <w:pgMar w:left="320" w:top="1089" w:right="39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120" w:type="dxa"/>
            <w:vAlign w:val="bottom"/>
          </w:tcPr>
          <w:p>
            <w:pPr>
              <w:spacing w:after="0"/>
              <w:rPr>
                <w:sz w:val="16"/>
                <w:szCs w:val="16"/>
                <w:color w:val="auto"/>
              </w:rPr>
            </w:pPr>
          </w:p>
        </w:tc>
        <w:tc>
          <w:tcPr>
            <w:tcW w:w="2400" w:type="dxa"/>
            <w:vAlign w:val="bottom"/>
            <w:gridSpan w:val="4"/>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Fiscal Year Ended September 30,</w:t>
            </w:r>
          </w:p>
        </w:tc>
        <w:tc>
          <w:tcPr>
            <w:tcW w:w="0" w:type="dxa"/>
            <w:vAlign w:val="bottom"/>
          </w:tcPr>
          <w:p>
            <w:pPr>
              <w:spacing w:after="0"/>
              <w:rPr>
                <w:sz w:val="1"/>
                <w:szCs w:val="1"/>
                <w:color w:val="auto"/>
              </w:rPr>
            </w:pPr>
          </w:p>
        </w:tc>
      </w:tr>
      <w:tr>
        <w:trPr>
          <w:trHeight w:val="214"/>
        </w:trPr>
        <w:tc>
          <w:tcPr>
            <w:tcW w:w="6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46"/>
        </w:trPr>
        <w:tc>
          <w:tcPr>
            <w:tcW w:w="6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3"/>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720" w:type="dxa"/>
            <w:vAlign w:val="bottom"/>
            <w:gridSpan w:val="7"/>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Merchandise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105,118</w:t>
            </w:r>
          </w:p>
        </w:tc>
        <w:tc>
          <w:tcPr>
            <w:tcW w:w="5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107,189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498,213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453,375</w:t>
            </w:r>
          </w:p>
        </w:tc>
        <w:tc>
          <w:tcPr>
            <w:tcW w:w="0" w:type="dxa"/>
            <w:vAlign w:val="bottom"/>
          </w:tcPr>
          <w:p>
            <w:pPr>
              <w:spacing w:after="0"/>
              <w:rPr>
                <w:sz w:val="1"/>
                <w:szCs w:val="1"/>
                <w:color w:val="auto"/>
              </w:rPr>
            </w:pPr>
          </w:p>
        </w:tc>
      </w:tr>
      <w:tr>
        <w:trPr>
          <w:trHeight w:val="216"/>
        </w:trPr>
        <w:tc>
          <w:tcPr>
            <w:tcW w:w="6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Jewelry scrapping sales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60,445</w:t>
            </w:r>
          </w:p>
        </w:tc>
        <w:tc>
          <w:tcPr>
            <w:tcW w:w="0" w:type="dxa"/>
            <w:vAlign w:val="bottom"/>
          </w:tcPr>
          <w:p>
            <w:pPr>
              <w:spacing w:after="0"/>
              <w:rPr>
                <w:sz w:val="1"/>
                <w:szCs w:val="1"/>
                <w:color w:val="auto"/>
              </w:rPr>
            </w:pPr>
          </w:p>
        </w:tc>
      </w:tr>
      <w:tr>
        <w:trPr>
          <w:trHeight w:val="216"/>
        </w:trPr>
        <w:tc>
          <w:tcPr>
            <w:tcW w:w="6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Pawn service charges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272,638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327,366</w:t>
            </w:r>
          </w:p>
        </w:tc>
        <w:tc>
          <w:tcPr>
            <w:tcW w:w="0" w:type="dxa"/>
            <w:vAlign w:val="bottom"/>
          </w:tcPr>
          <w:p>
            <w:pPr>
              <w:spacing w:after="0"/>
              <w:rPr>
                <w:sz w:val="1"/>
                <w:szCs w:val="1"/>
                <w:color w:val="auto"/>
              </w:rPr>
            </w:pPr>
          </w:p>
        </w:tc>
      </w:tr>
      <w:tr>
        <w:trPr>
          <w:trHeight w:val="216"/>
        </w:trPr>
        <w:tc>
          <w:tcPr>
            <w:tcW w:w="6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revenues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6,043</w:t>
            </w:r>
          </w:p>
        </w:tc>
        <w:tc>
          <w:tcPr>
            <w:tcW w:w="0" w:type="dxa"/>
            <w:vAlign w:val="bottom"/>
          </w:tcPr>
          <w:p>
            <w:pPr>
              <w:spacing w:after="0"/>
              <w:rPr>
                <w:sz w:val="1"/>
                <w:szCs w:val="1"/>
                <w:color w:val="auto"/>
              </w:rPr>
            </w:pPr>
          </w:p>
        </w:tc>
      </w:tr>
      <w:tr>
        <w:trPr>
          <w:trHeight w:val="210"/>
        </w:trPr>
        <w:tc>
          <w:tcPr>
            <w:tcW w:w="60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166,860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822,811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847,229</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Merchandise cost of goods sold</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334,481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297,508</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Jewelry scrapping cost of goods sold</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52,935</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Other cost of revenues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0" w:type="dxa"/>
            <w:vAlign w:val="bottom"/>
          </w:tcPr>
          <w:p>
            <w:pPr>
              <w:spacing w:after="0"/>
              <w:rPr>
                <w:sz w:val="1"/>
                <w:szCs w:val="1"/>
                <w:color w:val="auto"/>
              </w:rPr>
            </w:pPr>
          </w:p>
        </w:tc>
      </w:tr>
      <w:tr>
        <w:trPr>
          <w:trHeight w:val="210"/>
        </w:trPr>
        <w:tc>
          <w:tcPr>
            <w:tcW w:w="60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revenues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449,235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494,448</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Operations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358,253</w:t>
            </w:r>
          </w:p>
        </w:tc>
        <w:tc>
          <w:tcPr>
            <w:tcW w:w="0" w:type="dxa"/>
            <w:vAlign w:val="bottom"/>
          </w:tcPr>
          <w:p>
            <w:pPr>
              <w:spacing w:after="0"/>
              <w:rPr>
                <w:sz w:val="1"/>
                <w:szCs w:val="1"/>
                <w:color w:val="auto"/>
              </w:rPr>
            </w:pPr>
          </w:p>
        </w:tc>
      </w:tr>
      <w:tr>
        <w:trPr>
          <w:trHeight w:val="216"/>
        </w:trPr>
        <w:tc>
          <w:tcPr>
            <w:tcW w:w="6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Administrative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55,990</w:t>
            </w:r>
          </w:p>
        </w:tc>
        <w:tc>
          <w:tcPr>
            <w:tcW w:w="0" w:type="dxa"/>
            <w:vAlign w:val="bottom"/>
          </w:tcPr>
          <w:p>
            <w:pPr>
              <w:spacing w:after="0"/>
              <w:rPr>
                <w:sz w:val="1"/>
                <w:szCs w:val="1"/>
                <w:color w:val="auto"/>
              </w:rPr>
            </w:pPr>
          </w:p>
        </w:tc>
      </w:tr>
      <w:tr>
        <w:trPr>
          <w:trHeight w:val="216"/>
        </w:trPr>
        <w:tc>
          <w:tcPr>
            <w:tcW w:w="6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Impairment of goodwill, intangible and other assets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28,797</w:t>
            </w:r>
          </w:p>
        </w:tc>
        <w:tc>
          <w:tcPr>
            <w:tcW w:w="0" w:type="dxa"/>
            <w:vAlign w:val="bottom"/>
          </w:tcPr>
          <w:p>
            <w:pPr>
              <w:spacing w:after="0"/>
              <w:rPr>
                <w:sz w:val="1"/>
                <w:szCs w:val="1"/>
                <w:color w:val="auto"/>
              </w:rPr>
            </w:pPr>
          </w:p>
        </w:tc>
      </w:tr>
      <w:tr>
        <w:trPr>
          <w:trHeight w:val="216"/>
        </w:trPr>
        <w:tc>
          <w:tcPr>
            <w:tcW w:w="6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sale or disposal of assets and other</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4,399</w:t>
            </w:r>
          </w:p>
        </w:tc>
        <w:tc>
          <w:tcPr>
            <w:tcW w:w="0" w:type="dxa"/>
            <w:vAlign w:val="bottom"/>
          </w:tcPr>
          <w:p>
            <w:pPr>
              <w:spacing w:after="0"/>
              <w:rPr>
                <w:sz w:val="1"/>
                <w:szCs w:val="1"/>
                <w:color w:val="auto"/>
              </w:rPr>
            </w:pPr>
          </w:p>
        </w:tc>
      </w:tr>
      <w:tr>
        <w:trPr>
          <w:trHeight w:val="216"/>
        </w:trPr>
        <w:tc>
          <w:tcPr>
            <w:tcW w:w="6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charges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0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116,493</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114,131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497,619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447,439</w:t>
            </w:r>
          </w:p>
        </w:tc>
        <w:tc>
          <w:tcPr>
            <w:tcW w:w="0" w:type="dxa"/>
            <w:vAlign w:val="bottom"/>
          </w:tcPr>
          <w:p>
            <w:pPr>
              <w:spacing w:after="0"/>
              <w:rPr>
                <w:sz w:val="1"/>
                <w:szCs w:val="1"/>
                <w:color w:val="auto"/>
              </w:rPr>
            </w:pPr>
          </w:p>
        </w:tc>
      </w:tr>
      <w:tr>
        <w:trPr>
          <w:trHeight w:val="210"/>
        </w:trPr>
        <w:tc>
          <w:tcPr>
            <w:tcW w:w="60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Operating (loss) income</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(26,876)</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(48,384)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47,009</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32,637</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(11,086)</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Equity in net loss (income) of unconsolidated affiliates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Impairment of investment in unconsolidated affiliates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19,725</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4,174</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(5,389)</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(Loss) income from continuing operations, net of tax</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(23,340)</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(68,463)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0" w:type="dxa"/>
            <w:vAlign w:val="bottom"/>
          </w:tcPr>
          <w:p>
            <w:pPr>
              <w:spacing w:after="0"/>
              <w:rPr>
                <w:sz w:val="1"/>
                <w:szCs w:val="1"/>
                <w:color w:val="auto"/>
              </w:rPr>
            </w:pPr>
          </w:p>
        </w:tc>
      </w:tr>
      <w:tr>
        <w:trPr>
          <w:trHeight w:val="219"/>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0" w:type="dxa"/>
            <w:vAlign w:val="bottom"/>
          </w:tcPr>
          <w:p>
            <w:pPr>
              <w:spacing w:after="0"/>
              <w:rPr>
                <w:sz w:val="1"/>
                <w:szCs w:val="1"/>
                <w:color w:val="auto"/>
              </w:rPr>
            </w:pPr>
          </w:p>
        </w:tc>
      </w:tr>
      <w:tr>
        <w:trPr>
          <w:trHeight w:val="21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 attributable to EZCORP, Inc.</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(23,340)</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(68,463)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Basic (loss) earnings per share attributable to EZCORP, Inc. — 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5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Diluted (loss) earnings per share attributable to EZCORP, Inc. — 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5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basic shares outstanding</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55,070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55,446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55,313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55,341</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diluted shares outstanding</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55,984</w:t>
            </w:r>
          </w:p>
        </w:tc>
        <w:tc>
          <w:tcPr>
            <w:tcW w:w="0" w:type="dxa"/>
            <w:vAlign w:val="bottom"/>
          </w:tcPr>
          <w:p>
            <w:pPr>
              <w:spacing w:after="0"/>
              <w:rPr>
                <w:sz w:val="1"/>
                <w:szCs w:val="1"/>
                <w:color w:val="auto"/>
              </w:rPr>
            </w:pPr>
          </w:p>
        </w:tc>
      </w:tr>
    </w:tbl>
    <w:p>
      <w:pPr>
        <w:sectPr>
          <w:pgSz w:w="11900" w:h="16838" w:orient="portrait"/>
          <w:cols w:equalWidth="0" w:num="1">
            <w:col w:w="11220"/>
          </w:cols>
          <w:pgMar w:left="340" w:top="1379" w:right="339" w:bottom="1440" w:gutter="0" w:footer="0" w:header="0"/>
        </w:sectPr>
      </w:pPr>
    </w:p>
    <w:bookmarkStart w:id="8" w:name="page9"/>
    <w:bookmarkEnd w:id="8"/>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EZCORP, Inc.</w:t>
      </w:r>
    </w:p>
    <w:p>
      <w:pPr>
        <w:spacing w:after="0" w:line="3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0" w:type="dxa"/>
            <w:vAlign w:val="bottom"/>
          </w:tcPr>
          <w:p>
            <w:pPr>
              <w:spacing w:after="0"/>
              <w:rPr>
                <w:sz w:val="1"/>
                <w:szCs w:val="1"/>
                <w:color w:val="auto"/>
              </w:rPr>
            </w:pPr>
          </w:p>
        </w:tc>
      </w:tr>
      <w:tr>
        <w:trPr>
          <w:trHeight w:val="248"/>
        </w:trPr>
        <w:tc>
          <w:tcPr>
            <w:tcW w:w="7960" w:type="dxa"/>
            <w:vAlign w:val="bottom"/>
          </w:tcPr>
          <w:p>
            <w:pPr>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304,542</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157,567</w:t>
            </w:r>
          </w:p>
        </w:tc>
        <w:tc>
          <w:tcPr>
            <w:tcW w:w="0" w:type="dxa"/>
            <w:vAlign w:val="bottom"/>
          </w:tcPr>
          <w:p>
            <w:pPr>
              <w:spacing w:after="0"/>
              <w:rPr>
                <w:sz w:val="1"/>
                <w:szCs w:val="1"/>
                <w:color w:val="auto"/>
              </w:rPr>
            </w:pPr>
          </w:p>
        </w:tc>
      </w:tr>
      <w:tr>
        <w:trPr>
          <w:trHeight w:val="216"/>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4,875</w:t>
            </w:r>
          </w:p>
        </w:tc>
        <w:tc>
          <w:tcPr>
            <w:tcW w:w="0" w:type="dxa"/>
            <w:vAlign w:val="bottom"/>
          </w:tcPr>
          <w:p>
            <w:pPr>
              <w:spacing w:after="0"/>
              <w:rPr>
                <w:sz w:val="1"/>
                <w:szCs w:val="1"/>
                <w:color w:val="auto"/>
              </w:rPr>
            </w:pPr>
          </w:p>
        </w:tc>
      </w:tr>
      <w:tr>
        <w:trPr>
          <w:trHeight w:val="216"/>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Pawn loans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131,323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199,058</w:t>
            </w:r>
          </w:p>
        </w:tc>
        <w:tc>
          <w:tcPr>
            <w:tcW w:w="0" w:type="dxa"/>
            <w:vAlign w:val="bottom"/>
          </w:tcPr>
          <w:p>
            <w:pPr>
              <w:spacing w:after="0"/>
              <w:rPr>
                <w:sz w:val="1"/>
                <w:szCs w:val="1"/>
                <w:color w:val="auto"/>
              </w:rPr>
            </w:pPr>
          </w:p>
        </w:tc>
      </w:tr>
      <w:tr>
        <w:trPr>
          <w:trHeight w:val="216"/>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Pawn service charges receivable,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31,802</w:t>
            </w:r>
          </w:p>
        </w:tc>
        <w:tc>
          <w:tcPr>
            <w:tcW w:w="0" w:type="dxa"/>
            <w:vAlign w:val="bottom"/>
          </w:tcPr>
          <w:p>
            <w:pPr>
              <w:spacing w:after="0"/>
              <w:rPr>
                <w:sz w:val="1"/>
                <w:szCs w:val="1"/>
                <w:color w:val="auto"/>
              </w:rPr>
            </w:pPr>
          </w:p>
        </w:tc>
      </w:tr>
      <w:tr>
        <w:trPr>
          <w:trHeight w:val="216"/>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Inventory,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95,891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179,355</w:t>
            </w:r>
          </w:p>
        </w:tc>
        <w:tc>
          <w:tcPr>
            <w:tcW w:w="0" w:type="dxa"/>
            <w:vAlign w:val="bottom"/>
          </w:tcPr>
          <w:p>
            <w:pPr>
              <w:spacing w:after="0"/>
              <w:rPr>
                <w:sz w:val="1"/>
                <w:szCs w:val="1"/>
                <w:color w:val="auto"/>
              </w:rPr>
            </w:pPr>
          </w:p>
        </w:tc>
      </w:tr>
      <w:tr>
        <w:trPr>
          <w:trHeight w:val="216"/>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Notes receivable, net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7,182</w:t>
            </w:r>
          </w:p>
        </w:tc>
        <w:tc>
          <w:tcPr>
            <w:tcW w:w="0" w:type="dxa"/>
            <w:vAlign w:val="bottom"/>
          </w:tcPr>
          <w:p>
            <w:pPr>
              <w:spacing w:after="0"/>
              <w:rPr>
                <w:sz w:val="1"/>
                <w:szCs w:val="1"/>
                <w:color w:val="auto"/>
              </w:rPr>
            </w:pPr>
          </w:p>
        </w:tc>
      </w:tr>
      <w:tr>
        <w:trPr>
          <w:trHeight w:val="216"/>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32,903</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25,921</w:t>
            </w:r>
          </w:p>
        </w:tc>
        <w:tc>
          <w:tcPr>
            <w:tcW w:w="0" w:type="dxa"/>
            <w:vAlign w:val="bottom"/>
          </w:tcPr>
          <w:p>
            <w:pPr>
              <w:spacing w:after="0"/>
              <w:rPr>
                <w:sz w:val="1"/>
                <w:szCs w:val="1"/>
                <w:color w:val="auto"/>
              </w:rPr>
            </w:pPr>
          </w:p>
        </w:tc>
      </w:tr>
      <w:tr>
        <w:trPr>
          <w:trHeight w:val="210"/>
        </w:trPr>
        <w:tc>
          <w:tcPr>
            <w:tcW w:w="79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593,250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605,760</w:t>
            </w: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32,458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34,516</w:t>
            </w: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56,986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67,357</w:t>
            </w: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Lease right-of-use asset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183,809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257,582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300,527</w:t>
            </w: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58,638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68,044</w:t>
            </w: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Notes receivable,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tax asset,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0" w:type="dxa"/>
            <w:vAlign w:val="bottom"/>
          </w:tcPr>
          <w:p>
            <w:pPr>
              <w:spacing w:after="0"/>
              <w:rPr>
                <w:sz w:val="1"/>
                <w:szCs w:val="1"/>
                <w:color w:val="auto"/>
              </w:rPr>
            </w:pPr>
          </w:p>
        </w:tc>
      </w:tr>
      <w:tr>
        <w:trPr>
          <w:trHeight w:val="219"/>
        </w:trPr>
        <w:tc>
          <w:tcPr>
            <w:tcW w:w="7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4,221</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0" w:type="dxa"/>
            <w:vAlign w:val="bottom"/>
          </w:tcPr>
          <w:p>
            <w:pPr>
              <w:spacing w:after="0"/>
              <w:rPr>
                <w:sz w:val="1"/>
                <w:szCs w:val="1"/>
                <w:color w:val="auto"/>
              </w:rPr>
            </w:pPr>
          </w:p>
        </w:tc>
      </w:tr>
      <w:tr>
        <w:trPr>
          <w:trHeight w:val="212"/>
        </w:trPr>
        <w:tc>
          <w:tcPr>
            <w:tcW w:w="796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1,197,023</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1,083,702</w:t>
            </w:r>
          </w:p>
        </w:tc>
        <w:tc>
          <w:tcPr>
            <w:tcW w:w="0" w:type="dxa"/>
            <w:vAlign w:val="bottom"/>
          </w:tcPr>
          <w:p>
            <w:pPr>
              <w:spacing w:after="0"/>
              <w:rPr>
                <w:sz w:val="1"/>
                <w:szCs w:val="1"/>
                <w:color w:val="auto"/>
              </w:rPr>
            </w:pPr>
          </w:p>
        </w:tc>
      </w:tr>
      <w:tr>
        <w:trPr>
          <w:trHeight w:val="21"/>
        </w:trPr>
        <w:tc>
          <w:tcPr>
            <w:tcW w:w="79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Liabilities and equity:</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79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Current maturities of long-term debt, net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6"/>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71,504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77,957</w:t>
            </w:r>
          </w:p>
        </w:tc>
        <w:tc>
          <w:tcPr>
            <w:tcW w:w="0" w:type="dxa"/>
            <w:vAlign w:val="bottom"/>
          </w:tcPr>
          <w:p>
            <w:pPr>
              <w:spacing w:after="0"/>
              <w:rPr>
                <w:sz w:val="1"/>
                <w:szCs w:val="1"/>
                <w:color w:val="auto"/>
              </w:rPr>
            </w:pPr>
          </w:p>
        </w:tc>
      </w:tr>
      <w:tr>
        <w:trPr>
          <w:trHeight w:val="216"/>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Customer layaway deposits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12,915</w:t>
            </w:r>
          </w:p>
        </w:tc>
        <w:tc>
          <w:tcPr>
            <w:tcW w:w="0" w:type="dxa"/>
            <w:vAlign w:val="bottom"/>
          </w:tcPr>
          <w:p>
            <w:pPr>
              <w:spacing w:after="0"/>
              <w:rPr>
                <w:sz w:val="1"/>
                <w:szCs w:val="1"/>
                <w:color w:val="auto"/>
              </w:rPr>
            </w:pPr>
          </w:p>
        </w:tc>
      </w:tr>
      <w:tr>
        <w:trPr>
          <w:trHeight w:val="216"/>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Lease liability</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49,742</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9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132,467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91,086</w:t>
            </w: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Long-term debt,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251,016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238,380</w:t>
            </w: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Lease liability</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153,040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10,849</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7,302</w:t>
            </w:r>
          </w:p>
        </w:tc>
        <w:tc>
          <w:tcPr>
            <w:tcW w:w="0" w:type="dxa"/>
            <w:vAlign w:val="bottom"/>
          </w:tcPr>
          <w:p>
            <w:pPr>
              <w:spacing w:after="0"/>
              <w:rPr>
                <w:sz w:val="1"/>
                <w:szCs w:val="1"/>
                <w:color w:val="auto"/>
              </w:rPr>
            </w:pPr>
          </w:p>
        </w:tc>
      </w:tr>
      <w:tr>
        <w:trPr>
          <w:trHeight w:val="210"/>
        </w:trPr>
        <w:tc>
          <w:tcPr>
            <w:tcW w:w="79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547,896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338,753</w:t>
            </w: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960" w:type="dxa"/>
            <w:vAlign w:val="bottom"/>
          </w:tcPr>
          <w:p>
            <w:pPr>
              <w:ind w:left="460"/>
              <w:spacing w:after="0" w:line="168" w:lineRule="exact"/>
              <w:rPr>
                <w:sz w:val="20"/>
                <w:szCs w:val="20"/>
                <w:color w:val="auto"/>
              </w:rPr>
            </w:pPr>
            <w:r>
              <w:rPr>
                <w:rFonts w:ascii="Times New Roman" w:cs="Times New Roman" w:eastAsia="Times New Roman" w:hAnsi="Times New Roman"/>
                <w:sz w:val="16"/>
                <w:szCs w:val="16"/>
                <w:color w:val="auto"/>
              </w:rPr>
              <w:t>Class A Non-Voting Common Stock, par value $0.01 per share; shares authorized: 100 million; issued and</w:t>
            </w: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10"/>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outstanding: 52,332,848 as of September 30, 2020 and 52,565,064 as of September 30, 2019</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960" w:type="dxa"/>
            <w:vAlign w:val="bottom"/>
          </w:tcPr>
          <w:p>
            <w:pPr>
              <w:ind w:left="460"/>
              <w:spacing w:after="0" w:line="168" w:lineRule="exact"/>
              <w:rPr>
                <w:sz w:val="20"/>
                <w:szCs w:val="20"/>
                <w:color w:val="auto"/>
              </w:rPr>
            </w:pPr>
            <w:r>
              <w:rPr>
                <w:rFonts w:ascii="Times New Roman" w:cs="Times New Roman" w:eastAsia="Times New Roman" w:hAnsi="Times New Roman"/>
                <w:sz w:val="16"/>
                <w:szCs w:val="16"/>
                <w:color w:val="auto"/>
              </w:rPr>
              <w:t>Class B Voting Common Stock, convertible, par value $0.01 per share; shares authorized: 3 million; issued and</w:t>
            </w: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0"/>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outstanding: 2,970,171 as of September 30, 2020 and 2019</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398,475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407,628</w:t>
            </w:r>
          </w:p>
        </w:tc>
        <w:tc>
          <w:tcPr>
            <w:tcW w:w="0" w:type="dxa"/>
            <w:vAlign w:val="bottom"/>
          </w:tcPr>
          <w:p>
            <w:pPr>
              <w:spacing w:after="0"/>
              <w:rPr>
                <w:sz w:val="1"/>
                <w:szCs w:val="1"/>
                <w:color w:val="auto"/>
              </w:rPr>
            </w:pPr>
          </w:p>
        </w:tc>
      </w:tr>
      <w:tr>
        <w:trPr>
          <w:trHeight w:val="216"/>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318,169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389,163</w:t>
            </w:r>
          </w:p>
        </w:tc>
        <w:tc>
          <w:tcPr>
            <w:tcW w:w="0" w:type="dxa"/>
            <w:vAlign w:val="bottom"/>
          </w:tcPr>
          <w:p>
            <w:pPr>
              <w:spacing w:after="0"/>
              <w:rPr>
                <w:sz w:val="1"/>
                <w:szCs w:val="1"/>
                <w:color w:val="auto"/>
              </w:rPr>
            </w:pPr>
          </w:p>
        </w:tc>
      </w:tr>
      <w:tr>
        <w:trPr>
          <w:trHeight w:val="216"/>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(68,068)</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(52,398)</w:t>
            </w:r>
          </w:p>
        </w:tc>
        <w:tc>
          <w:tcPr>
            <w:tcW w:w="0" w:type="dxa"/>
            <w:vAlign w:val="bottom"/>
          </w:tcPr>
          <w:p>
            <w:pPr>
              <w:spacing w:after="0"/>
              <w:rPr>
                <w:sz w:val="1"/>
                <w:szCs w:val="1"/>
                <w:color w:val="auto"/>
              </w:rPr>
            </w:pPr>
          </w:p>
        </w:tc>
      </w:tr>
      <w:tr>
        <w:trPr>
          <w:trHeight w:val="213"/>
        </w:trPr>
        <w:tc>
          <w:tcPr>
            <w:tcW w:w="79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Total equity</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649,127</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744,949</w:t>
            </w:r>
          </w:p>
        </w:tc>
        <w:tc>
          <w:tcPr>
            <w:tcW w:w="0" w:type="dxa"/>
            <w:vAlign w:val="bottom"/>
          </w:tcPr>
          <w:p>
            <w:pPr>
              <w:spacing w:after="0"/>
              <w:rPr>
                <w:sz w:val="1"/>
                <w:szCs w:val="1"/>
                <w:color w:val="auto"/>
              </w:rPr>
            </w:pPr>
          </w:p>
        </w:tc>
      </w:tr>
      <w:tr>
        <w:trPr>
          <w:trHeight w:val="212"/>
        </w:trPr>
        <w:tc>
          <w:tcPr>
            <w:tcW w:w="796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1,197,023</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1,083,702</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340" w:top="1211" w:right="105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EZCORP,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Fiscal Year Ended September 30,</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3"/>
              </w:rPr>
              <w:t>2018</w:t>
            </w:r>
          </w:p>
        </w:tc>
        <w:tc>
          <w:tcPr>
            <w:tcW w:w="0" w:type="dxa"/>
            <w:vAlign w:val="bottom"/>
          </w:tcPr>
          <w:p>
            <w:pPr>
              <w:spacing w:after="0"/>
              <w:rPr>
                <w:sz w:val="1"/>
                <w:szCs w:val="1"/>
                <w:color w:val="auto"/>
              </w:rPr>
            </w:pPr>
          </w:p>
        </w:tc>
      </w:tr>
      <w:tr>
        <w:trPr>
          <w:trHeight w:val="246"/>
        </w:trPr>
        <w:tc>
          <w:tcPr>
            <w:tcW w:w="7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Operating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(68,463)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36,294</w:t>
            </w:r>
          </w:p>
        </w:tc>
        <w:tc>
          <w:tcPr>
            <w:tcW w:w="0" w:type="dxa"/>
            <w:vAlign w:val="bottom"/>
          </w:tcPr>
          <w:p>
            <w:pPr>
              <w:spacing w:after="0"/>
              <w:rPr>
                <w:sz w:val="1"/>
                <w:szCs w:val="1"/>
                <w:color w:val="auto"/>
              </w:rPr>
            </w:pPr>
          </w:p>
        </w:tc>
      </w:tr>
      <w:tr>
        <w:trPr>
          <w:trHeight w:val="216"/>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25,484</w:t>
            </w:r>
          </w:p>
        </w:tc>
        <w:tc>
          <w:tcPr>
            <w:tcW w:w="0" w:type="dxa"/>
            <w:vAlign w:val="bottom"/>
          </w:tcPr>
          <w:p>
            <w:pPr>
              <w:spacing w:after="0"/>
              <w:rPr>
                <w:sz w:val="1"/>
                <w:szCs w:val="1"/>
                <w:color w:val="auto"/>
              </w:rPr>
            </w:pPr>
          </w:p>
        </w:tc>
      </w:tr>
      <w:tr>
        <w:trPr>
          <w:trHeight w:val="216"/>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Amortization of debt discount and deferred financing costs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17,595</w:t>
            </w:r>
          </w:p>
        </w:tc>
        <w:tc>
          <w:tcPr>
            <w:tcW w:w="0" w:type="dxa"/>
            <w:vAlign w:val="bottom"/>
          </w:tcPr>
          <w:p>
            <w:pPr>
              <w:spacing w:after="0"/>
              <w:rPr>
                <w:sz w:val="1"/>
                <w:szCs w:val="1"/>
                <w:color w:val="auto"/>
              </w:rPr>
            </w:pPr>
          </w:p>
        </w:tc>
      </w:tr>
      <w:tr>
        <w:trPr>
          <w:trHeight w:val="216"/>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Amortization of lease right-of-use asset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Accretion of notes receivable discount and deferred compensation fee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(9,150)</w:t>
            </w:r>
          </w:p>
        </w:tc>
        <w:tc>
          <w:tcPr>
            <w:tcW w:w="0" w:type="dxa"/>
            <w:vAlign w:val="bottom"/>
          </w:tcPr>
          <w:p>
            <w:pPr>
              <w:spacing w:after="0"/>
              <w:rPr>
                <w:sz w:val="1"/>
                <w:szCs w:val="1"/>
                <w:color w:val="auto"/>
              </w:rPr>
            </w:pPr>
          </w:p>
        </w:tc>
      </w:tr>
      <w:tr>
        <w:trPr>
          <w:trHeight w:val="216"/>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7,916</w:t>
            </w:r>
          </w:p>
        </w:tc>
        <w:tc>
          <w:tcPr>
            <w:tcW w:w="0" w:type="dxa"/>
            <w:vAlign w:val="bottom"/>
          </w:tcPr>
          <w:p>
            <w:pPr>
              <w:spacing w:after="0"/>
              <w:rPr>
                <w:sz w:val="1"/>
                <w:szCs w:val="1"/>
                <w:color w:val="auto"/>
              </w:rPr>
            </w:pPr>
          </w:p>
        </w:tc>
      </w:tr>
      <w:tr>
        <w:trPr>
          <w:trHeight w:val="216"/>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Impairment of goodwill, intangibles and other assets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Other adjustments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0" w:type="dxa"/>
            <w:vAlign w:val="bottom"/>
          </w:tcPr>
          <w:p>
            <w:pPr>
              <w:spacing w:after="0"/>
              <w:rPr>
                <w:sz w:val="1"/>
                <w:szCs w:val="1"/>
                <w:color w:val="auto"/>
              </w:rPr>
            </w:pPr>
          </w:p>
        </w:tc>
      </w:tr>
      <w:tr>
        <w:trPr>
          <w:trHeight w:val="216"/>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Reserve on jewelry scrap receivable</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10,784</w:t>
            </w:r>
          </w:p>
        </w:tc>
        <w:tc>
          <w:tcPr>
            <w:tcW w:w="0" w:type="dxa"/>
            <w:vAlign w:val="bottom"/>
          </w:tcPr>
          <w:p>
            <w:pPr>
              <w:spacing w:after="0"/>
              <w:rPr>
                <w:sz w:val="1"/>
                <w:szCs w:val="1"/>
                <w:color w:val="auto"/>
              </w:rPr>
            </w:pPr>
          </w:p>
        </w:tc>
      </w:tr>
      <w:tr>
        <w:trPr>
          <w:trHeight w:val="216"/>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Equity in net loss (gain) from investment in unconsolidated affiliates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(5,529)</w:t>
            </w:r>
          </w:p>
        </w:tc>
        <w:tc>
          <w:tcPr>
            <w:tcW w:w="0" w:type="dxa"/>
            <w:vAlign w:val="bottom"/>
          </w:tcPr>
          <w:p>
            <w:pPr>
              <w:spacing w:after="0"/>
              <w:rPr>
                <w:sz w:val="1"/>
                <w:szCs w:val="1"/>
                <w:color w:val="auto"/>
              </w:rPr>
            </w:pPr>
          </w:p>
        </w:tc>
      </w:tr>
      <w:tr>
        <w:trPr>
          <w:trHeight w:val="216"/>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Impairment of investment in unconsolidated affiliates</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11,712</w:t>
            </w:r>
          </w:p>
        </w:tc>
        <w:tc>
          <w:tcPr>
            <w:tcW w:w="0" w:type="dxa"/>
            <w:vAlign w:val="bottom"/>
          </w:tcPr>
          <w:p>
            <w:pPr>
              <w:spacing w:after="0"/>
              <w:rPr>
                <w:sz w:val="1"/>
                <w:szCs w:val="1"/>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 net of business acquisitions: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Pawn service charges receivable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0" w:type="dxa"/>
            <w:vAlign w:val="bottom"/>
          </w:tcPr>
          <w:p>
            <w:pPr>
              <w:spacing w:after="0"/>
              <w:rPr>
                <w:sz w:val="1"/>
                <w:szCs w:val="1"/>
                <w:color w:val="auto"/>
              </w:rPr>
            </w:pPr>
          </w:p>
        </w:tc>
      </w:tr>
      <w:tr>
        <w:trPr>
          <w:trHeight w:val="216"/>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Inventory</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0" w:type="dxa"/>
            <w:vAlign w:val="bottom"/>
          </w:tcPr>
          <w:p>
            <w:pPr>
              <w:spacing w:after="0"/>
              <w:rPr>
                <w:sz w:val="1"/>
                <w:szCs w:val="1"/>
                <w:color w:val="auto"/>
              </w:rPr>
            </w:pPr>
          </w:p>
        </w:tc>
      </w:tr>
      <w:tr>
        <w:trPr>
          <w:trHeight w:val="216"/>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other current assets and other assets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0" w:type="dxa"/>
            <w:vAlign w:val="bottom"/>
          </w:tcPr>
          <w:p>
            <w:pPr>
              <w:spacing w:after="0"/>
              <w:rPr>
                <w:sz w:val="1"/>
                <w:szCs w:val="1"/>
                <w:color w:val="auto"/>
              </w:rPr>
            </w:pPr>
          </w:p>
        </w:tc>
      </w:tr>
      <w:tr>
        <w:trPr>
          <w:trHeight w:val="216"/>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22,246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(3,271)</w:t>
            </w:r>
          </w:p>
        </w:tc>
        <w:tc>
          <w:tcPr>
            <w:tcW w:w="0" w:type="dxa"/>
            <w:vAlign w:val="bottom"/>
          </w:tcPr>
          <w:p>
            <w:pPr>
              <w:spacing w:after="0"/>
              <w:rPr>
                <w:sz w:val="1"/>
                <w:szCs w:val="1"/>
                <w:color w:val="auto"/>
              </w:rPr>
            </w:pPr>
          </w:p>
        </w:tc>
      </w:tr>
      <w:tr>
        <w:trPr>
          <w:trHeight w:val="216"/>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Customer layaway deposits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0" w:type="dxa"/>
            <w:vAlign w:val="bottom"/>
          </w:tcPr>
          <w:p>
            <w:pPr>
              <w:spacing w:after="0"/>
              <w:rPr>
                <w:sz w:val="1"/>
                <w:szCs w:val="1"/>
                <w:color w:val="auto"/>
              </w:rPr>
            </w:pPr>
          </w:p>
        </w:tc>
      </w:tr>
      <w:tr>
        <w:trPr>
          <w:trHeight w:val="216"/>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taxes, net of excess tax benefit from stock compensation</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(10,404)</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(3,785)</w:t>
            </w:r>
          </w:p>
        </w:tc>
        <w:tc>
          <w:tcPr>
            <w:tcW w:w="0" w:type="dxa"/>
            <w:vAlign w:val="bottom"/>
          </w:tcPr>
          <w:p>
            <w:pPr>
              <w:spacing w:after="0"/>
              <w:rPr>
                <w:sz w:val="1"/>
                <w:szCs w:val="1"/>
                <w:color w:val="auto"/>
              </w:rPr>
            </w:pPr>
          </w:p>
        </w:tc>
      </w:tr>
      <w:tr>
        <w:trPr>
          <w:trHeight w:val="210"/>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88,981</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Investing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Loans made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(568,368)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(737,585)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(707,220)</w:t>
            </w:r>
          </w:p>
        </w:tc>
        <w:tc>
          <w:tcPr>
            <w:tcW w:w="0" w:type="dxa"/>
            <w:vAlign w:val="bottom"/>
          </w:tcPr>
          <w:p>
            <w:pPr>
              <w:spacing w:after="0"/>
              <w:rPr>
                <w:sz w:val="1"/>
                <w:szCs w:val="1"/>
                <w:color w:val="auto"/>
              </w:rPr>
            </w:pPr>
          </w:p>
        </w:tc>
      </w:tr>
      <w:tr>
        <w:trPr>
          <w:trHeight w:val="216"/>
        </w:trPr>
        <w:tc>
          <w:tcPr>
            <w:tcW w:w="7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Loans repaid</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434,142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421,331</w:t>
            </w:r>
          </w:p>
        </w:tc>
        <w:tc>
          <w:tcPr>
            <w:tcW w:w="0" w:type="dxa"/>
            <w:vAlign w:val="bottom"/>
          </w:tcPr>
          <w:p>
            <w:pPr>
              <w:spacing w:after="0"/>
              <w:rPr>
                <w:sz w:val="1"/>
                <w:szCs w:val="1"/>
                <w:color w:val="auto"/>
              </w:rPr>
            </w:pPr>
          </w:p>
        </w:tc>
      </w:tr>
      <w:tr>
        <w:trPr>
          <w:trHeight w:val="216"/>
        </w:trPr>
        <w:tc>
          <w:tcPr>
            <w:tcW w:w="7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Recovery of pawn loan principal through sale of forfeited collateral</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304,323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288,502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266,962</w:t>
            </w:r>
          </w:p>
        </w:tc>
        <w:tc>
          <w:tcPr>
            <w:tcW w:w="0" w:type="dxa"/>
            <w:vAlign w:val="bottom"/>
          </w:tcPr>
          <w:p>
            <w:pPr>
              <w:spacing w:after="0"/>
              <w:rPr>
                <w:sz w:val="1"/>
                <w:szCs w:val="1"/>
                <w:color w:val="auto"/>
              </w:rPr>
            </w:pPr>
          </w:p>
        </w:tc>
      </w:tr>
      <w:tr>
        <w:trPr>
          <w:trHeight w:val="216"/>
        </w:trPr>
        <w:tc>
          <w:tcPr>
            <w:tcW w:w="7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(38,839)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(40,474)</w:t>
            </w:r>
          </w:p>
        </w:tc>
        <w:tc>
          <w:tcPr>
            <w:tcW w:w="0" w:type="dxa"/>
            <w:vAlign w:val="bottom"/>
          </w:tcPr>
          <w:p>
            <w:pPr>
              <w:spacing w:after="0"/>
              <w:rPr>
                <w:sz w:val="1"/>
                <w:szCs w:val="1"/>
                <w:color w:val="auto"/>
              </w:rPr>
            </w:pPr>
          </w:p>
        </w:tc>
      </w:tr>
      <w:tr>
        <w:trPr>
          <w:trHeight w:val="216"/>
        </w:trPr>
        <w:tc>
          <w:tcPr>
            <w:tcW w:w="7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(93,165)</w:t>
            </w:r>
          </w:p>
        </w:tc>
        <w:tc>
          <w:tcPr>
            <w:tcW w:w="0" w:type="dxa"/>
            <w:vAlign w:val="bottom"/>
          </w:tcPr>
          <w:p>
            <w:pPr>
              <w:spacing w:after="0"/>
              <w:rPr>
                <w:sz w:val="1"/>
                <w:szCs w:val="1"/>
                <w:color w:val="auto"/>
              </w:rPr>
            </w:pPr>
          </w:p>
        </w:tc>
      </w:tr>
      <w:tr>
        <w:trPr>
          <w:trHeight w:val="216"/>
        </w:trPr>
        <w:tc>
          <w:tcPr>
            <w:tcW w:w="7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Investment in unconsolidated affiliate</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(14,036)</w:t>
            </w:r>
          </w:p>
        </w:tc>
        <w:tc>
          <w:tcPr>
            <w:tcW w:w="0" w:type="dxa"/>
            <w:vAlign w:val="bottom"/>
          </w:tcPr>
          <w:p>
            <w:pPr>
              <w:spacing w:after="0"/>
              <w:rPr>
                <w:sz w:val="1"/>
                <w:szCs w:val="1"/>
                <w:color w:val="auto"/>
              </w:rPr>
            </w:pPr>
          </w:p>
        </w:tc>
      </w:tr>
      <w:tr>
        <w:trPr>
          <w:trHeight w:val="216"/>
        </w:trPr>
        <w:tc>
          <w:tcPr>
            <w:tcW w:w="7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Principal collections on notes receivable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34,067</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32,396</w:t>
            </w:r>
          </w:p>
        </w:tc>
        <w:tc>
          <w:tcPr>
            <w:tcW w:w="0" w:type="dxa"/>
            <w:vAlign w:val="bottom"/>
          </w:tcPr>
          <w:p>
            <w:pPr>
              <w:spacing w:after="0"/>
              <w:rPr>
                <w:sz w:val="1"/>
                <w:szCs w:val="1"/>
                <w:color w:val="auto"/>
              </w:rPr>
            </w:pPr>
          </w:p>
        </w:tc>
      </w:tr>
      <w:tr>
        <w:trPr>
          <w:trHeight w:val="210"/>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(27,829)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(134,206)</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Financing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216"/>
        </w:trPr>
        <w:tc>
          <w:tcPr>
            <w:tcW w:w="7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Payout of deferred consideration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borrowings, net of issuance costs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171,409</w:t>
            </w:r>
          </w:p>
        </w:tc>
        <w:tc>
          <w:tcPr>
            <w:tcW w:w="0" w:type="dxa"/>
            <w:vAlign w:val="bottom"/>
          </w:tcPr>
          <w:p>
            <w:pPr>
              <w:spacing w:after="0"/>
              <w:rPr>
                <w:sz w:val="1"/>
                <w:szCs w:val="1"/>
                <w:color w:val="auto"/>
              </w:rPr>
            </w:pPr>
          </w:p>
        </w:tc>
      </w:tr>
      <w:tr>
        <w:trPr>
          <w:trHeight w:val="216"/>
        </w:trPr>
        <w:tc>
          <w:tcPr>
            <w:tcW w:w="7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on borrowings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(196,093)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(3,510)</w:t>
            </w:r>
          </w:p>
        </w:tc>
        <w:tc>
          <w:tcPr>
            <w:tcW w:w="0" w:type="dxa"/>
            <w:vAlign w:val="bottom"/>
          </w:tcPr>
          <w:p>
            <w:pPr>
              <w:spacing w:after="0"/>
              <w:rPr>
                <w:sz w:val="1"/>
                <w:szCs w:val="1"/>
                <w:color w:val="auto"/>
              </w:rPr>
            </w:pPr>
          </w:p>
        </w:tc>
      </w:tr>
      <w:tr>
        <w:trPr>
          <w:trHeight w:val="216"/>
        </w:trPr>
        <w:tc>
          <w:tcPr>
            <w:tcW w:w="7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(198,317)</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167,588</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 and restricted cash</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0" w:type="dxa"/>
            <w:vAlign w:val="bottom"/>
          </w:tcPr>
          <w:p>
            <w:pPr>
              <w:spacing w:after="0"/>
              <w:rPr>
                <w:sz w:val="1"/>
                <w:szCs w:val="1"/>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 and restricted cash</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(123,136)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121,709</w:t>
            </w:r>
          </w:p>
        </w:tc>
        <w:tc>
          <w:tcPr>
            <w:tcW w:w="0" w:type="dxa"/>
            <w:vAlign w:val="bottom"/>
          </w:tcPr>
          <w:p>
            <w:pPr>
              <w:spacing w:after="0"/>
              <w:rPr>
                <w:sz w:val="1"/>
                <w:szCs w:val="1"/>
                <w:color w:val="auto"/>
              </w:rPr>
            </w:pPr>
          </w:p>
        </w:tc>
      </w:tr>
      <w:tr>
        <w:trPr>
          <w:trHeight w:val="219"/>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period</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162,442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285,578</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163,869</w:t>
            </w:r>
          </w:p>
        </w:tc>
        <w:tc>
          <w:tcPr>
            <w:tcW w:w="0" w:type="dxa"/>
            <w:vAlign w:val="bottom"/>
          </w:tcPr>
          <w:p>
            <w:pPr>
              <w:spacing w:after="0"/>
              <w:rPr>
                <w:sz w:val="1"/>
                <w:szCs w:val="1"/>
                <w:color w:val="auto"/>
              </w:rPr>
            </w:pPr>
          </w:p>
        </w:tc>
      </w:tr>
      <w:tr>
        <w:trPr>
          <w:trHeight w:val="213"/>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312,553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162,442</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285,578</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4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304,542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157,567</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285,311</w:t>
            </w:r>
          </w:p>
        </w:tc>
        <w:tc>
          <w:tcPr>
            <w:tcW w:w="0" w:type="dxa"/>
            <w:vAlign w:val="bottom"/>
          </w:tcPr>
          <w:p>
            <w:pPr>
              <w:spacing w:after="0"/>
              <w:rPr>
                <w:sz w:val="1"/>
                <w:szCs w:val="1"/>
                <w:color w:val="auto"/>
              </w:rPr>
            </w:pPr>
          </w:p>
        </w:tc>
      </w:tr>
      <w:tr>
        <w:trPr>
          <w:trHeight w:val="219"/>
        </w:trPr>
        <w:tc>
          <w:tcPr>
            <w:tcW w:w="7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4,875</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13"/>
        </w:trPr>
        <w:tc>
          <w:tcPr>
            <w:tcW w:w="7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cash and cash equivalents and restricted cash</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312,553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162,442</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285,578</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during the period for interest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12,900</w:t>
            </w:r>
          </w:p>
        </w:tc>
        <w:tc>
          <w:tcPr>
            <w:tcW w:w="10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8,412</w:t>
            </w:r>
          </w:p>
        </w:tc>
        <w:tc>
          <w:tcPr>
            <w:tcW w:w="0" w:type="dxa"/>
            <w:vAlign w:val="bottom"/>
          </w:tcPr>
          <w:p>
            <w:pPr>
              <w:spacing w:after="0"/>
              <w:rPr>
                <w:sz w:val="1"/>
                <w:szCs w:val="1"/>
                <w:color w:val="auto"/>
              </w:rPr>
            </w:pPr>
          </w:p>
        </w:tc>
      </w:tr>
      <w:tr>
        <w:trPr>
          <w:trHeight w:val="216"/>
        </w:trPr>
        <w:tc>
          <w:tcPr>
            <w:tcW w:w="7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during the period for income taxes, net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11,132</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13,676</w:t>
            </w:r>
          </w:p>
        </w:tc>
        <w:tc>
          <w:tcPr>
            <w:tcW w:w="0" w:type="dxa"/>
            <w:vAlign w:val="bottom"/>
          </w:tcPr>
          <w:p>
            <w:pPr>
              <w:spacing w:after="0"/>
              <w:rPr>
                <w:sz w:val="1"/>
                <w:szCs w:val="1"/>
                <w:color w:val="auto"/>
              </w:rPr>
            </w:pPr>
          </w:p>
        </w:tc>
      </w:tr>
      <w:tr>
        <w:trPr>
          <w:trHeight w:val="418"/>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Pawn loans forfeited and transferred to inventory</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241,252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301,357</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274,590</w:t>
            </w:r>
          </w:p>
        </w:tc>
        <w:tc>
          <w:tcPr>
            <w:tcW w:w="0" w:type="dxa"/>
            <w:vAlign w:val="bottom"/>
          </w:tcPr>
          <w:p>
            <w:pPr>
              <w:spacing w:after="0"/>
              <w:rPr>
                <w:sz w:val="1"/>
                <w:szCs w:val="1"/>
                <w:color w:val="auto"/>
              </w:rPr>
            </w:pPr>
          </w:p>
        </w:tc>
      </w:tr>
    </w:tbl>
    <w:p>
      <w:pPr>
        <w:sectPr>
          <w:pgSz w:w="11900" w:h="16838" w:orient="portrait"/>
          <w:cols w:equalWidth="0" w:num="1">
            <w:col w:w="11220"/>
          </w:cols>
          <w:pgMar w:left="340" w:top="1211"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OPERATING SEGMENT RESULTS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(Unaudited and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8"/>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2020</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U.S. Pawn</w:t>
            </w:r>
          </w:p>
        </w:tc>
        <w:tc>
          <w:tcPr>
            <w:tcW w:w="100" w:type="dxa"/>
            <w:vAlign w:val="bottom"/>
            <w:vMerge w:val="restart"/>
          </w:tcPr>
          <w:p>
            <w:pPr>
              <w:spacing w:after="0"/>
              <w:rPr>
                <w:sz w:val="13"/>
                <w:szCs w:val="13"/>
                <w:color w:val="auto"/>
              </w:rPr>
            </w:pPr>
          </w:p>
        </w:tc>
        <w:tc>
          <w:tcPr>
            <w:tcW w:w="120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Latin America</w:t>
            </w:r>
          </w:p>
        </w:tc>
        <w:tc>
          <w:tcPr>
            <w:tcW w:w="240" w:type="dxa"/>
            <w:vAlign w:val="bottom"/>
          </w:tcPr>
          <w:p>
            <w:pPr>
              <w:spacing w:after="0"/>
              <w:rPr>
                <w:sz w:val="13"/>
                <w:szCs w:val="13"/>
                <w:color w:val="auto"/>
              </w:rPr>
            </w:pPr>
          </w:p>
        </w:tc>
        <w:tc>
          <w:tcPr>
            <w:tcW w:w="84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Lana</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300"/>
              <w:spacing w:after="0" w:line="158" w:lineRule="exact"/>
              <w:rPr>
                <w:sz w:val="20"/>
                <w:szCs w:val="20"/>
                <w:color w:val="auto"/>
              </w:rPr>
            </w:pPr>
            <w:r>
              <w:rPr>
                <w:rFonts w:ascii="Times New Roman" w:cs="Times New Roman" w:eastAsia="Times New Roman" w:hAnsi="Times New Roman"/>
                <w:sz w:val="16"/>
                <w:szCs w:val="16"/>
                <w:b w:val="1"/>
                <w:bCs w:val="1"/>
                <w:color w:val="auto"/>
              </w:rPr>
              <w:t>Other</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Segments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3"/>
                <w:szCs w:val="13"/>
                <w:color w:val="auto"/>
              </w:rPr>
            </w:pPr>
          </w:p>
        </w:tc>
        <w:tc>
          <w:tcPr>
            <w:tcW w:w="11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Pawn</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00" w:type="dxa"/>
            <w:vAlign w:val="bottom"/>
          </w:tcPr>
          <w:p>
            <w:pPr>
              <w:spacing w:after="0"/>
              <w:rPr>
                <w:sz w:val="18"/>
                <w:szCs w:val="18"/>
                <w:color w:val="auto"/>
              </w:rPr>
            </w:pPr>
          </w:p>
        </w:tc>
        <w:tc>
          <w:tcPr>
            <w:tcW w:w="1100" w:type="dxa"/>
            <w:vAlign w:val="bottom"/>
            <w:tcBorders>
              <w:bottom w:val="single" w:sz="8" w:color="auto"/>
            </w:tcBorders>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Items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Merchandise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77,862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105,118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105,118</w:t>
            </w:r>
          </w:p>
        </w:tc>
        <w:tc>
          <w:tcPr>
            <w:tcW w:w="0" w:type="dxa"/>
            <w:vAlign w:val="bottom"/>
          </w:tcPr>
          <w:p>
            <w:pPr>
              <w:spacing w:after="0"/>
              <w:rPr>
                <w:sz w:val="1"/>
                <w:szCs w:val="1"/>
                <w:color w:val="auto"/>
              </w:rPr>
            </w:pPr>
          </w:p>
        </w:tc>
      </w:tr>
      <w:tr>
        <w:trPr>
          <w:trHeight w:val="216"/>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Jewelry scrapping sales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6,244</w:t>
            </w:r>
          </w:p>
        </w:tc>
        <w:tc>
          <w:tcPr>
            <w:tcW w:w="0" w:type="dxa"/>
            <w:vAlign w:val="bottom"/>
          </w:tcPr>
          <w:p>
            <w:pPr>
              <w:spacing w:after="0"/>
              <w:rPr>
                <w:sz w:val="1"/>
                <w:szCs w:val="1"/>
                <w:color w:val="auto"/>
              </w:rPr>
            </w:pPr>
          </w:p>
        </w:tc>
      </w:tr>
      <w:tr>
        <w:trPr>
          <w:trHeight w:val="216"/>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Pawn service charges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55,231</w:t>
            </w:r>
          </w:p>
        </w:tc>
        <w:tc>
          <w:tcPr>
            <w:tcW w:w="0" w:type="dxa"/>
            <w:vAlign w:val="bottom"/>
          </w:tcPr>
          <w:p>
            <w:pPr>
              <w:spacing w:after="0"/>
              <w:rPr>
                <w:sz w:val="1"/>
                <w:szCs w:val="1"/>
                <w:color w:val="auto"/>
              </w:rPr>
            </w:pPr>
          </w:p>
        </w:tc>
      </w:tr>
      <w:tr>
        <w:trPr>
          <w:trHeight w:val="216"/>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revenues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10"/>
        </w:trPr>
        <w:tc>
          <w:tcPr>
            <w:tcW w:w="25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124,913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41,673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166,860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166,860</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Merchandise cost of goods sold</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72,770</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Jewelry scrapping cost of goods sold</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4,512</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Other cost of revenues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0"/>
        </w:trPr>
        <w:tc>
          <w:tcPr>
            <w:tcW w:w="25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revenues</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73,223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16,049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89,617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89,617</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 (income):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78,205</w:t>
            </w:r>
          </w:p>
        </w:tc>
        <w:tc>
          <w:tcPr>
            <w:tcW w:w="0" w:type="dxa"/>
            <w:vAlign w:val="bottom"/>
          </w:tcPr>
          <w:p>
            <w:pPr>
              <w:spacing w:after="0"/>
              <w:rPr>
                <w:sz w:val="1"/>
                <w:szCs w:val="1"/>
                <w:color w:val="auto"/>
              </w:rPr>
            </w:pPr>
          </w:p>
        </w:tc>
      </w:tr>
      <w:tr>
        <w:trPr>
          <w:trHeight w:val="216"/>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Administrative</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0" w:type="dxa"/>
            <w:vAlign w:val="bottom"/>
          </w:tcPr>
          <w:p>
            <w:pPr>
              <w:spacing w:after="0"/>
              <w:rPr>
                <w:sz w:val="1"/>
                <w:szCs w:val="1"/>
                <w:color w:val="auto"/>
              </w:rPr>
            </w:pPr>
          </w:p>
        </w:tc>
      </w:tr>
      <w:tr>
        <w:trPr>
          <w:trHeight w:val="168"/>
        </w:trPr>
        <w:tc>
          <w:tcPr>
            <w:tcW w:w="2520" w:type="dxa"/>
            <w:vAlign w:val="bottom"/>
          </w:tcPr>
          <w:p>
            <w:pPr>
              <w:ind w:left="200"/>
              <w:spacing w:after="0" w:line="168" w:lineRule="exact"/>
              <w:rPr>
                <w:sz w:val="20"/>
                <w:szCs w:val="20"/>
                <w:color w:val="auto"/>
              </w:rPr>
            </w:pPr>
            <w:r>
              <w:rPr>
                <w:rFonts w:ascii="Times New Roman" w:cs="Times New Roman" w:eastAsia="Times New Roman" w:hAnsi="Times New Roman"/>
                <w:sz w:val="16"/>
                <w:szCs w:val="16"/>
                <w:color w:val="auto"/>
              </w:rPr>
              <w:t>Impairment of goodwill,</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7,579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7,606</w:t>
            </w:r>
          </w:p>
        </w:tc>
        <w:tc>
          <w:tcPr>
            <w:tcW w:w="0" w:type="dxa"/>
            <w:vAlign w:val="bottom"/>
          </w:tcPr>
          <w:p>
            <w:pPr>
              <w:spacing w:after="0"/>
              <w:rPr>
                <w:sz w:val="1"/>
                <w:szCs w:val="1"/>
                <w:color w:val="auto"/>
              </w:rPr>
            </w:pPr>
          </w:p>
        </w:tc>
      </w:tr>
      <w:tr>
        <w:trPr>
          <w:trHeight w:val="210"/>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intangibles and other assets</w:t>
            </w: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7,653</w:t>
            </w:r>
          </w:p>
        </w:tc>
        <w:tc>
          <w:tcPr>
            <w:tcW w:w="0" w:type="dxa"/>
            <w:vAlign w:val="bottom"/>
          </w:tcPr>
          <w:p>
            <w:pPr>
              <w:spacing w:after="0"/>
              <w:rPr>
                <w:sz w:val="1"/>
                <w:szCs w:val="1"/>
                <w:color w:val="auto"/>
              </w:rPr>
            </w:pPr>
          </w:p>
        </w:tc>
      </w:tr>
      <w:tr>
        <w:trPr>
          <w:trHeight w:val="168"/>
        </w:trPr>
        <w:tc>
          <w:tcPr>
            <w:tcW w:w="2520" w:type="dxa"/>
            <w:vAlign w:val="bottom"/>
          </w:tcPr>
          <w:p>
            <w:pPr>
              <w:ind w:left="200"/>
              <w:spacing w:after="0" w:line="168" w:lineRule="exact"/>
              <w:rPr>
                <w:sz w:val="20"/>
                <w:szCs w:val="20"/>
                <w:color w:val="auto"/>
              </w:rPr>
            </w:pPr>
            <w:r>
              <w:rPr>
                <w:rFonts w:ascii="Times New Roman" w:cs="Times New Roman" w:eastAsia="Times New Roman" w:hAnsi="Times New Roman"/>
                <w:sz w:val="16"/>
                <w:szCs w:val="16"/>
                <w:color w:val="auto"/>
              </w:rPr>
              <w:t>Loss (gain) on sale or disposal of</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0" w:type="dxa"/>
            <w:vAlign w:val="bottom"/>
          </w:tcPr>
          <w:p>
            <w:pPr>
              <w:spacing w:after="0"/>
              <w:rPr>
                <w:sz w:val="1"/>
                <w:szCs w:val="1"/>
                <w:color w:val="auto"/>
              </w:rPr>
            </w:pPr>
          </w:p>
        </w:tc>
      </w:tr>
      <w:tr>
        <w:trPr>
          <w:trHeight w:val="210"/>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assets and other</w:t>
            </w: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Charges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20,388</w:t>
            </w:r>
          </w:p>
        </w:tc>
        <w:tc>
          <w:tcPr>
            <w:tcW w:w="0" w:type="dxa"/>
            <w:vAlign w:val="bottom"/>
          </w:tcPr>
          <w:p>
            <w:pPr>
              <w:spacing w:after="0"/>
              <w:rPr>
                <w:sz w:val="1"/>
                <w:szCs w:val="1"/>
                <w:color w:val="auto"/>
              </w:rPr>
            </w:pPr>
          </w:p>
        </w:tc>
      </w:tr>
      <w:tr>
        <w:trPr>
          <w:trHeight w:val="216"/>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5,883</w:t>
            </w:r>
          </w:p>
        </w:tc>
        <w:tc>
          <w:tcPr>
            <w:tcW w:w="0" w:type="dxa"/>
            <w:vAlign w:val="bottom"/>
          </w:tcPr>
          <w:p>
            <w:pPr>
              <w:spacing w:after="0"/>
              <w:rPr>
                <w:sz w:val="1"/>
                <w:szCs w:val="1"/>
                <w:color w:val="auto"/>
              </w:rPr>
            </w:pPr>
          </w:p>
        </w:tc>
      </w:tr>
      <w:tr>
        <w:trPr>
          <w:trHeight w:val="216"/>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0" w:type="dxa"/>
            <w:vAlign w:val="bottom"/>
          </w:tcPr>
          <w:p>
            <w:pPr>
              <w:spacing w:after="0"/>
              <w:rPr>
                <w:sz w:val="1"/>
                <w:szCs w:val="1"/>
                <w:color w:val="auto"/>
              </w:rPr>
            </w:pPr>
          </w:p>
        </w:tc>
      </w:tr>
      <w:tr>
        <w:trPr>
          <w:trHeight w:val="168"/>
        </w:trPr>
        <w:tc>
          <w:tcPr>
            <w:tcW w:w="2520" w:type="dxa"/>
            <w:vAlign w:val="bottom"/>
          </w:tcPr>
          <w:p>
            <w:pPr>
              <w:ind w:left="200"/>
              <w:spacing w:after="0" w:line="168" w:lineRule="exact"/>
              <w:rPr>
                <w:sz w:val="20"/>
                <w:szCs w:val="20"/>
                <w:color w:val="auto"/>
              </w:rPr>
            </w:pPr>
            <w:r>
              <w:rPr>
                <w:rFonts w:ascii="Times New Roman" w:cs="Times New Roman" w:eastAsia="Times New Roman" w:hAnsi="Times New Roman"/>
                <w:sz w:val="16"/>
                <w:szCs w:val="16"/>
                <w:color w:val="auto"/>
              </w:rPr>
              <w:t>Equity in net loss of</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0" w:type="dxa"/>
            <w:vAlign w:val="bottom"/>
          </w:tcPr>
          <w:p>
            <w:pPr>
              <w:spacing w:after="0"/>
              <w:rPr>
                <w:sz w:val="1"/>
                <w:szCs w:val="1"/>
                <w:color w:val="auto"/>
              </w:rPr>
            </w:pPr>
          </w:p>
        </w:tc>
      </w:tr>
      <w:tr>
        <w:trPr>
          <w:trHeight w:val="210"/>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unconsolidated affiliates</w:t>
            </w: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expense (income)</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Segment contribution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100" w:type="dxa"/>
            <w:vAlign w:val="bottom"/>
          </w:tcPr>
          <w:p>
            <w:pPr>
              <w:spacing w:after="0"/>
              <w:rPr>
                <w:sz w:val="18"/>
                <w:szCs w:val="18"/>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520" w:type="dxa"/>
            <w:vAlign w:val="bottom"/>
            <w:vMerge w:val="restart"/>
          </w:tcPr>
          <w:p>
            <w:pPr>
              <w:spacing w:after="0" w:line="169" w:lineRule="exact"/>
              <w:rPr>
                <w:sz w:val="20"/>
                <w:szCs w:val="20"/>
                <w:color w:val="auto"/>
              </w:rPr>
            </w:pPr>
            <w:r>
              <w:rPr>
                <w:rFonts w:ascii="Times New Roman" w:cs="Times New Roman" w:eastAsia="Times New Roman" w:hAnsi="Times New Roman"/>
                <w:sz w:val="16"/>
                <w:szCs w:val="16"/>
                <w:color w:val="auto"/>
              </w:rPr>
              <w:t>Income (loss) from continuing</w:t>
            </w: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5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10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(26,611)</w:t>
            </w:r>
          </w:p>
        </w:tc>
        <w:tc>
          <w:tcPr>
            <w:tcW w:w="12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(28,729)</w:t>
            </w:r>
          </w:p>
        </w:tc>
        <w:tc>
          <w:tcPr>
            <w:tcW w:w="0" w:type="dxa"/>
            <w:vAlign w:val="bottom"/>
          </w:tcPr>
          <w:p>
            <w:pPr>
              <w:spacing w:after="0"/>
              <w:rPr>
                <w:sz w:val="1"/>
                <w:szCs w:val="1"/>
                <w:color w:val="auto"/>
              </w:rPr>
            </w:pPr>
          </w:p>
        </w:tc>
      </w:tr>
      <w:tr>
        <w:trPr>
          <w:trHeight w:val="194"/>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operations before income taxes</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893"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8"/>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 September 30, 2019</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U.S. Pawn</w:t>
            </w:r>
          </w:p>
        </w:tc>
        <w:tc>
          <w:tcPr>
            <w:tcW w:w="100" w:type="dxa"/>
            <w:vAlign w:val="bottom"/>
            <w:vMerge w:val="restart"/>
          </w:tcPr>
          <w:p>
            <w:pPr>
              <w:spacing w:after="0"/>
              <w:rPr>
                <w:sz w:val="13"/>
                <w:szCs w:val="13"/>
                <w:color w:val="auto"/>
              </w:rPr>
            </w:pPr>
          </w:p>
        </w:tc>
        <w:tc>
          <w:tcPr>
            <w:tcW w:w="120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Latin America</w:t>
            </w:r>
          </w:p>
        </w:tc>
        <w:tc>
          <w:tcPr>
            <w:tcW w:w="240" w:type="dxa"/>
            <w:vAlign w:val="bottom"/>
          </w:tcPr>
          <w:p>
            <w:pPr>
              <w:spacing w:after="0"/>
              <w:rPr>
                <w:sz w:val="13"/>
                <w:szCs w:val="13"/>
                <w:color w:val="auto"/>
              </w:rPr>
            </w:pPr>
          </w:p>
        </w:tc>
        <w:tc>
          <w:tcPr>
            <w:tcW w:w="84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Lana</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300"/>
              <w:spacing w:after="0" w:line="158" w:lineRule="exact"/>
              <w:rPr>
                <w:sz w:val="20"/>
                <w:szCs w:val="20"/>
                <w:color w:val="auto"/>
              </w:rPr>
            </w:pPr>
            <w:r>
              <w:rPr>
                <w:rFonts w:ascii="Times New Roman" w:cs="Times New Roman" w:eastAsia="Times New Roman" w:hAnsi="Times New Roman"/>
                <w:sz w:val="16"/>
                <w:szCs w:val="16"/>
                <w:b w:val="1"/>
                <w:bCs w:val="1"/>
                <w:color w:val="auto"/>
              </w:rPr>
              <w:t>Other</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Segments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3"/>
                <w:szCs w:val="13"/>
                <w:color w:val="auto"/>
              </w:rPr>
            </w:pPr>
          </w:p>
        </w:tc>
        <w:tc>
          <w:tcPr>
            <w:tcW w:w="11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Pawn</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00" w:type="dxa"/>
            <w:vAlign w:val="bottom"/>
          </w:tcPr>
          <w:p>
            <w:pPr>
              <w:spacing w:after="0"/>
              <w:rPr>
                <w:sz w:val="18"/>
                <w:szCs w:val="18"/>
                <w:color w:val="auto"/>
              </w:rPr>
            </w:pPr>
          </w:p>
        </w:tc>
        <w:tc>
          <w:tcPr>
            <w:tcW w:w="1100" w:type="dxa"/>
            <w:vAlign w:val="bottom"/>
            <w:tcBorders>
              <w:bottom w:val="single" w:sz="8" w:color="auto"/>
            </w:tcBorders>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Items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Merchandise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80,357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26,832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107,189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107,189</w:t>
            </w:r>
          </w:p>
        </w:tc>
        <w:tc>
          <w:tcPr>
            <w:tcW w:w="0" w:type="dxa"/>
            <w:vAlign w:val="bottom"/>
          </w:tcPr>
          <w:p>
            <w:pPr>
              <w:spacing w:after="0"/>
              <w:rPr>
                <w:sz w:val="1"/>
                <w:szCs w:val="1"/>
                <w:color w:val="auto"/>
              </w:rPr>
            </w:pPr>
          </w:p>
        </w:tc>
      </w:tr>
      <w:tr>
        <w:trPr>
          <w:trHeight w:val="216"/>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Jewelry scrapping sales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22,572</w:t>
            </w:r>
          </w:p>
        </w:tc>
        <w:tc>
          <w:tcPr>
            <w:tcW w:w="0" w:type="dxa"/>
            <w:vAlign w:val="bottom"/>
          </w:tcPr>
          <w:p>
            <w:pPr>
              <w:spacing w:after="0"/>
              <w:rPr>
                <w:sz w:val="1"/>
                <w:szCs w:val="1"/>
                <w:color w:val="auto"/>
              </w:rPr>
            </w:pPr>
          </w:p>
        </w:tc>
      </w:tr>
      <w:tr>
        <w:trPr>
          <w:trHeight w:val="216"/>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Pawn service charges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83,068</w:t>
            </w:r>
          </w:p>
        </w:tc>
        <w:tc>
          <w:tcPr>
            <w:tcW w:w="0" w:type="dxa"/>
            <w:vAlign w:val="bottom"/>
          </w:tcPr>
          <w:p>
            <w:pPr>
              <w:spacing w:after="0"/>
              <w:rPr>
                <w:sz w:val="1"/>
                <w:szCs w:val="1"/>
                <w:color w:val="auto"/>
              </w:rPr>
            </w:pPr>
          </w:p>
        </w:tc>
      </w:tr>
      <w:tr>
        <w:trPr>
          <w:trHeight w:val="216"/>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revenues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0" w:type="dxa"/>
            <w:vAlign w:val="bottom"/>
          </w:tcPr>
          <w:p>
            <w:pPr>
              <w:spacing w:after="0"/>
              <w:rPr>
                <w:sz w:val="1"/>
                <w:szCs w:val="1"/>
                <w:color w:val="auto"/>
              </w:rPr>
            </w:pPr>
          </w:p>
        </w:tc>
      </w:tr>
      <w:tr>
        <w:trPr>
          <w:trHeight w:val="210"/>
        </w:trPr>
        <w:tc>
          <w:tcPr>
            <w:tcW w:w="25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161,634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51,348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214,339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214,339</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Merchandise cost of goods sold</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72,325</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Jewelry scrapping cost of goods sold</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20,287</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Other cost of revenues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0" w:type="dxa"/>
            <w:vAlign w:val="bottom"/>
          </w:tcPr>
          <w:p>
            <w:pPr>
              <w:spacing w:after="0"/>
              <w:rPr>
                <w:sz w:val="1"/>
                <w:szCs w:val="1"/>
                <w:color w:val="auto"/>
              </w:rPr>
            </w:pPr>
          </w:p>
        </w:tc>
      </w:tr>
      <w:tr>
        <w:trPr>
          <w:trHeight w:val="210"/>
        </w:trPr>
        <w:tc>
          <w:tcPr>
            <w:tcW w:w="25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revenues</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93,791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26,579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120,856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120,856</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 (income):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91,516</w:t>
            </w:r>
          </w:p>
        </w:tc>
        <w:tc>
          <w:tcPr>
            <w:tcW w:w="0" w:type="dxa"/>
            <w:vAlign w:val="bottom"/>
          </w:tcPr>
          <w:p>
            <w:pPr>
              <w:spacing w:after="0"/>
              <w:rPr>
                <w:sz w:val="1"/>
                <w:szCs w:val="1"/>
                <w:color w:val="auto"/>
              </w:rPr>
            </w:pPr>
          </w:p>
        </w:tc>
      </w:tr>
      <w:tr>
        <w:trPr>
          <w:trHeight w:val="216"/>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Administrative</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14,176</w:t>
            </w:r>
          </w:p>
        </w:tc>
        <w:tc>
          <w:tcPr>
            <w:tcW w:w="0" w:type="dxa"/>
            <w:vAlign w:val="bottom"/>
          </w:tcPr>
          <w:p>
            <w:pPr>
              <w:spacing w:after="0"/>
              <w:rPr>
                <w:sz w:val="1"/>
                <w:szCs w:val="1"/>
                <w:color w:val="auto"/>
              </w:rPr>
            </w:pPr>
          </w:p>
        </w:tc>
      </w:tr>
      <w:tr>
        <w:trPr>
          <w:trHeight w:val="216"/>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7,683</w:t>
            </w:r>
          </w:p>
        </w:tc>
        <w:tc>
          <w:tcPr>
            <w:tcW w:w="0" w:type="dxa"/>
            <w:vAlign w:val="bottom"/>
          </w:tcPr>
          <w:p>
            <w:pPr>
              <w:spacing w:after="0"/>
              <w:rPr>
                <w:sz w:val="1"/>
                <w:szCs w:val="1"/>
                <w:color w:val="auto"/>
              </w:rPr>
            </w:pPr>
          </w:p>
        </w:tc>
      </w:tr>
      <w:tr>
        <w:trPr>
          <w:trHeight w:val="168"/>
        </w:trPr>
        <w:tc>
          <w:tcPr>
            <w:tcW w:w="2520" w:type="dxa"/>
            <w:vAlign w:val="bottom"/>
          </w:tcPr>
          <w:p>
            <w:pPr>
              <w:ind w:left="200"/>
              <w:spacing w:after="0" w:line="168" w:lineRule="exact"/>
              <w:rPr>
                <w:sz w:val="20"/>
                <w:szCs w:val="20"/>
                <w:color w:val="auto"/>
              </w:rPr>
            </w:pPr>
            <w:r>
              <w:rPr>
                <w:rFonts w:ascii="Times New Roman" w:cs="Times New Roman" w:eastAsia="Times New Roman" w:hAnsi="Times New Roman"/>
                <w:sz w:val="16"/>
                <w:szCs w:val="16"/>
                <w:color w:val="auto"/>
              </w:rPr>
              <w:t>Loss (gain) on sale or disposal of</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0" w:type="dxa"/>
            <w:vAlign w:val="bottom"/>
          </w:tcPr>
          <w:p>
            <w:pPr>
              <w:spacing w:after="0"/>
              <w:rPr>
                <w:sz w:val="1"/>
                <w:szCs w:val="1"/>
                <w:color w:val="auto"/>
              </w:rPr>
            </w:pPr>
          </w:p>
        </w:tc>
      </w:tr>
      <w:tr>
        <w:trPr>
          <w:trHeight w:val="210"/>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assets</w:t>
            </w: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5,425</w:t>
            </w:r>
          </w:p>
        </w:tc>
        <w:tc>
          <w:tcPr>
            <w:tcW w:w="0" w:type="dxa"/>
            <w:vAlign w:val="bottom"/>
          </w:tcPr>
          <w:p>
            <w:pPr>
              <w:spacing w:after="0"/>
              <w:rPr>
                <w:sz w:val="1"/>
                <w:szCs w:val="1"/>
                <w:color w:val="auto"/>
              </w:rPr>
            </w:pPr>
          </w:p>
        </w:tc>
      </w:tr>
      <w:tr>
        <w:trPr>
          <w:trHeight w:val="216"/>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0" w:type="dxa"/>
            <w:vAlign w:val="bottom"/>
          </w:tcPr>
          <w:p>
            <w:pPr>
              <w:spacing w:after="0"/>
              <w:rPr>
                <w:sz w:val="1"/>
                <w:szCs w:val="1"/>
                <w:color w:val="auto"/>
              </w:rPr>
            </w:pPr>
          </w:p>
        </w:tc>
      </w:tr>
      <w:tr>
        <w:trPr>
          <w:trHeight w:val="168"/>
        </w:trPr>
        <w:tc>
          <w:tcPr>
            <w:tcW w:w="2520" w:type="dxa"/>
            <w:vAlign w:val="bottom"/>
          </w:tcPr>
          <w:p>
            <w:pPr>
              <w:ind w:left="200"/>
              <w:spacing w:after="0" w:line="168" w:lineRule="exact"/>
              <w:rPr>
                <w:sz w:val="20"/>
                <w:szCs w:val="20"/>
                <w:color w:val="auto"/>
              </w:rPr>
            </w:pPr>
            <w:r>
              <w:rPr>
                <w:rFonts w:ascii="Times New Roman" w:cs="Times New Roman" w:eastAsia="Times New Roman" w:hAnsi="Times New Roman"/>
                <w:sz w:val="16"/>
                <w:szCs w:val="16"/>
                <w:color w:val="auto"/>
              </w:rPr>
              <w:t>Equity in net income of</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0" w:type="dxa"/>
            <w:vAlign w:val="bottom"/>
          </w:tcPr>
          <w:p>
            <w:pPr>
              <w:spacing w:after="0"/>
              <w:rPr>
                <w:sz w:val="1"/>
                <w:szCs w:val="1"/>
                <w:color w:val="auto"/>
              </w:rPr>
            </w:pPr>
          </w:p>
        </w:tc>
      </w:tr>
      <w:tr>
        <w:trPr>
          <w:trHeight w:val="210"/>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unconsolidated affiliates</w:t>
            </w: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(income) expense</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Segment contribution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22,198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5,777</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(3,593)</w:t>
            </w:r>
          </w:p>
        </w:tc>
        <w:tc>
          <w:tcPr>
            <w:tcW w:w="100" w:type="dxa"/>
            <w:vAlign w:val="bottom"/>
          </w:tcPr>
          <w:p>
            <w:pPr>
              <w:spacing w:after="0"/>
              <w:rPr>
                <w:sz w:val="18"/>
                <w:szCs w:val="18"/>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520" w:type="dxa"/>
            <w:vAlign w:val="bottom"/>
            <w:vMerge w:val="restart"/>
          </w:tcPr>
          <w:p>
            <w:pPr>
              <w:spacing w:after="0" w:line="169" w:lineRule="exact"/>
              <w:rPr>
                <w:sz w:val="20"/>
                <w:szCs w:val="20"/>
                <w:color w:val="auto"/>
              </w:rPr>
            </w:pPr>
            <w:r>
              <w:rPr>
                <w:rFonts w:ascii="Times New Roman" w:cs="Times New Roman" w:eastAsia="Times New Roman" w:hAnsi="Times New Roman"/>
                <w:sz w:val="16"/>
                <w:szCs w:val="16"/>
                <w:color w:val="auto"/>
              </w:rPr>
              <w:t>Income from continuing operations</w:t>
            </w: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5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21,678</w:t>
            </w:r>
          </w:p>
        </w:tc>
        <w:tc>
          <w:tcPr>
            <w:tcW w:w="10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(21,241)</w:t>
            </w:r>
          </w:p>
        </w:tc>
        <w:tc>
          <w:tcPr>
            <w:tcW w:w="12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0" w:type="dxa"/>
            <w:vAlign w:val="bottom"/>
          </w:tcPr>
          <w:p>
            <w:pPr>
              <w:spacing w:after="0"/>
              <w:rPr>
                <w:sz w:val="1"/>
                <w:szCs w:val="1"/>
                <w:color w:val="auto"/>
              </w:rPr>
            </w:pPr>
          </w:p>
        </w:tc>
      </w:tr>
      <w:tr>
        <w:trPr>
          <w:trHeight w:val="194"/>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before income taxes</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934"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8"/>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Fiscal Year Ended September 30, 2020</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U.S. Pawn</w:t>
            </w:r>
          </w:p>
        </w:tc>
        <w:tc>
          <w:tcPr>
            <w:tcW w:w="100" w:type="dxa"/>
            <w:vAlign w:val="bottom"/>
            <w:vMerge w:val="restart"/>
          </w:tcPr>
          <w:p>
            <w:pPr>
              <w:spacing w:after="0"/>
              <w:rPr>
                <w:sz w:val="13"/>
                <w:szCs w:val="13"/>
                <w:color w:val="auto"/>
              </w:rPr>
            </w:pPr>
          </w:p>
        </w:tc>
        <w:tc>
          <w:tcPr>
            <w:tcW w:w="11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Latin America</w:t>
            </w:r>
          </w:p>
        </w:tc>
        <w:tc>
          <w:tcPr>
            <w:tcW w:w="220" w:type="dxa"/>
            <w:vAlign w:val="bottom"/>
          </w:tcPr>
          <w:p>
            <w:pPr>
              <w:spacing w:after="0"/>
              <w:rPr>
                <w:sz w:val="13"/>
                <w:szCs w:val="13"/>
                <w:color w:val="auto"/>
              </w:rPr>
            </w:pPr>
          </w:p>
        </w:tc>
        <w:tc>
          <w:tcPr>
            <w:tcW w:w="84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Lana</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280"/>
              <w:spacing w:after="0" w:line="158" w:lineRule="exact"/>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3"/>
                <w:szCs w:val="13"/>
                <w:color w:val="auto"/>
              </w:rPr>
            </w:pPr>
          </w:p>
        </w:tc>
        <w:tc>
          <w:tcPr>
            <w:tcW w:w="1040" w:type="dxa"/>
            <w:vAlign w:val="bottom"/>
            <w:gridSpan w:val="2"/>
          </w:tcPr>
          <w:p>
            <w:pPr>
              <w:jc w:val="right"/>
              <w:ind w:right="480"/>
              <w:spacing w:after="0" w:line="158" w:lineRule="exact"/>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3"/>
                <w:szCs w:val="13"/>
                <w:color w:val="auto"/>
              </w:rPr>
            </w:pPr>
          </w:p>
        </w:tc>
        <w:tc>
          <w:tcPr>
            <w:tcW w:w="10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3"/>
                <w:szCs w:val="13"/>
                <w:color w:val="auto"/>
              </w:rPr>
            </w:pPr>
          </w:p>
        </w:tc>
        <w:tc>
          <w:tcPr>
            <w:tcW w:w="11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Pawn</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Items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Merchandise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391,921</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106,292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498,213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498,213</w:t>
            </w:r>
          </w:p>
        </w:tc>
        <w:tc>
          <w:tcPr>
            <w:tcW w:w="0" w:type="dxa"/>
            <w:vAlign w:val="bottom"/>
          </w:tcPr>
          <w:p>
            <w:pPr>
              <w:spacing w:after="0"/>
              <w:rPr>
                <w:sz w:val="1"/>
                <w:szCs w:val="1"/>
                <w:color w:val="auto"/>
              </w:rPr>
            </w:pPr>
          </w:p>
        </w:tc>
      </w:tr>
      <w:tr>
        <w:trPr>
          <w:trHeight w:val="216"/>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Jewelry scrapping sales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47,953</w:t>
            </w:r>
          </w:p>
        </w:tc>
        <w:tc>
          <w:tcPr>
            <w:tcW w:w="0" w:type="dxa"/>
            <w:vAlign w:val="bottom"/>
          </w:tcPr>
          <w:p>
            <w:pPr>
              <w:spacing w:after="0"/>
              <w:rPr>
                <w:sz w:val="1"/>
                <w:szCs w:val="1"/>
                <w:color w:val="auto"/>
              </w:rPr>
            </w:pPr>
          </w:p>
        </w:tc>
      </w:tr>
      <w:tr>
        <w:trPr>
          <w:trHeight w:val="216"/>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Pawn service charges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272,638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272,638</w:t>
            </w:r>
          </w:p>
        </w:tc>
        <w:tc>
          <w:tcPr>
            <w:tcW w:w="0" w:type="dxa"/>
            <w:vAlign w:val="bottom"/>
          </w:tcPr>
          <w:p>
            <w:pPr>
              <w:spacing w:after="0"/>
              <w:rPr>
                <w:sz w:val="1"/>
                <w:szCs w:val="1"/>
                <w:color w:val="auto"/>
              </w:rPr>
            </w:pPr>
          </w:p>
        </w:tc>
      </w:tr>
      <w:tr>
        <w:trPr>
          <w:trHeight w:val="216"/>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revenues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0" w:type="dxa"/>
            <w:vAlign w:val="bottom"/>
          </w:tcPr>
          <w:p>
            <w:pPr>
              <w:spacing w:after="0"/>
              <w:rPr>
                <w:sz w:val="1"/>
                <w:szCs w:val="1"/>
                <w:color w:val="auto"/>
              </w:rPr>
            </w:pPr>
          </w:p>
        </w:tc>
      </w:tr>
      <w:tr>
        <w:trPr>
          <w:trHeight w:val="210"/>
        </w:trPr>
        <w:tc>
          <w:tcPr>
            <w:tcW w:w="2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638,843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180,111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822,811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822,811</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Merchandise cost of goods sold</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334,481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334,481</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Jewelry scrapping cost of goods sold</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38,041</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Other cost of revenues</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0" w:type="dxa"/>
            <w:vAlign w:val="bottom"/>
          </w:tcPr>
          <w:p>
            <w:pPr>
              <w:spacing w:after="0"/>
              <w:rPr>
                <w:sz w:val="1"/>
                <w:szCs w:val="1"/>
                <w:color w:val="auto"/>
              </w:rPr>
            </w:pPr>
          </w:p>
        </w:tc>
      </w:tr>
      <w:tr>
        <w:trPr>
          <w:trHeight w:val="210"/>
        </w:trPr>
        <w:tc>
          <w:tcPr>
            <w:tcW w:w="2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revenues</w:t>
            </w: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359,235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87,096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449,235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449,235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 (income):</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Operations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261,608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341,040</w:t>
            </w:r>
          </w:p>
        </w:tc>
        <w:tc>
          <w:tcPr>
            <w:tcW w:w="0" w:type="dxa"/>
            <w:vAlign w:val="bottom"/>
          </w:tcPr>
          <w:p>
            <w:pPr>
              <w:spacing w:after="0"/>
              <w:rPr>
                <w:sz w:val="1"/>
                <w:szCs w:val="1"/>
                <w:color w:val="auto"/>
              </w:rPr>
            </w:pPr>
          </w:p>
        </w:tc>
      </w:tr>
      <w:tr>
        <w:trPr>
          <w:trHeight w:val="216"/>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Administrative</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49,897</w:t>
            </w:r>
          </w:p>
        </w:tc>
        <w:tc>
          <w:tcPr>
            <w:tcW w:w="0" w:type="dxa"/>
            <w:vAlign w:val="bottom"/>
          </w:tcPr>
          <w:p>
            <w:pPr>
              <w:spacing w:after="0"/>
              <w:rPr>
                <w:sz w:val="1"/>
                <w:szCs w:val="1"/>
                <w:color w:val="auto"/>
              </w:rPr>
            </w:pPr>
          </w:p>
        </w:tc>
      </w:tr>
      <w:tr>
        <w:trPr>
          <w:trHeight w:val="168"/>
        </w:trPr>
        <w:tc>
          <w:tcPr>
            <w:tcW w:w="2420" w:type="dxa"/>
            <w:vAlign w:val="bottom"/>
          </w:tcPr>
          <w:p>
            <w:pPr>
              <w:ind w:left="200"/>
              <w:spacing w:after="0" w:line="168" w:lineRule="exact"/>
              <w:rPr>
                <w:sz w:val="20"/>
                <w:szCs w:val="20"/>
                <w:color w:val="auto"/>
              </w:rPr>
            </w:pPr>
            <w:r>
              <w:rPr>
                <w:rFonts w:ascii="Times New Roman" w:cs="Times New Roman" w:eastAsia="Times New Roman" w:hAnsi="Times New Roman"/>
                <w:sz w:val="16"/>
                <w:szCs w:val="16"/>
                <w:color w:val="auto"/>
              </w:rPr>
              <w:t>Impairment of goodwill,</w:t>
            </w: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35,938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47,087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7,579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54,666</w:t>
            </w:r>
          </w:p>
        </w:tc>
        <w:tc>
          <w:tcPr>
            <w:tcW w:w="0" w:type="dxa"/>
            <w:vAlign w:val="bottom"/>
          </w:tcPr>
          <w:p>
            <w:pPr>
              <w:spacing w:after="0"/>
              <w:rPr>
                <w:sz w:val="1"/>
                <w:szCs w:val="1"/>
                <w:color w:val="auto"/>
              </w:rPr>
            </w:pPr>
          </w:p>
        </w:tc>
      </w:tr>
      <w:tr>
        <w:trPr>
          <w:trHeight w:val="210"/>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intangibles and other assets</w:t>
            </w: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30,827</w:t>
            </w:r>
          </w:p>
        </w:tc>
        <w:tc>
          <w:tcPr>
            <w:tcW w:w="0" w:type="dxa"/>
            <w:vAlign w:val="bottom"/>
          </w:tcPr>
          <w:p>
            <w:pPr>
              <w:spacing w:after="0"/>
              <w:rPr>
                <w:sz w:val="1"/>
                <w:szCs w:val="1"/>
                <w:color w:val="auto"/>
              </w:rPr>
            </w:pPr>
          </w:p>
        </w:tc>
      </w:tr>
      <w:tr>
        <w:trPr>
          <w:trHeight w:val="168"/>
        </w:trPr>
        <w:tc>
          <w:tcPr>
            <w:tcW w:w="2420" w:type="dxa"/>
            <w:vAlign w:val="bottom"/>
          </w:tcPr>
          <w:p>
            <w:pPr>
              <w:ind w:left="200"/>
              <w:spacing w:after="0" w:line="168" w:lineRule="exact"/>
              <w:rPr>
                <w:sz w:val="20"/>
                <w:szCs w:val="20"/>
                <w:color w:val="auto"/>
              </w:rPr>
            </w:pPr>
            <w:r>
              <w:rPr>
                <w:rFonts w:ascii="Times New Roman" w:cs="Times New Roman" w:eastAsia="Times New Roman" w:hAnsi="Times New Roman"/>
                <w:sz w:val="16"/>
                <w:szCs w:val="16"/>
                <w:color w:val="auto"/>
              </w:rPr>
              <w:t>Loss (gain) on sale or disposal of</w:t>
            </w: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0" w:type="dxa"/>
            <w:vAlign w:val="bottom"/>
          </w:tcPr>
          <w:p>
            <w:pPr>
              <w:spacing w:after="0"/>
              <w:rPr>
                <w:sz w:val="1"/>
                <w:szCs w:val="1"/>
                <w:color w:val="auto"/>
              </w:rPr>
            </w:pPr>
          </w:p>
        </w:tc>
      </w:tr>
      <w:tr>
        <w:trPr>
          <w:trHeight w:val="210"/>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assets and other</w:t>
            </w: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Charges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20,388</w:t>
            </w:r>
          </w:p>
        </w:tc>
        <w:tc>
          <w:tcPr>
            <w:tcW w:w="0" w:type="dxa"/>
            <w:vAlign w:val="bottom"/>
          </w:tcPr>
          <w:p>
            <w:pPr>
              <w:spacing w:after="0"/>
              <w:rPr>
                <w:sz w:val="1"/>
                <w:szCs w:val="1"/>
                <w:color w:val="auto"/>
              </w:rPr>
            </w:pPr>
          </w:p>
        </w:tc>
      </w:tr>
      <w:tr>
        <w:trPr>
          <w:trHeight w:val="216"/>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22,472</w:t>
            </w:r>
          </w:p>
        </w:tc>
        <w:tc>
          <w:tcPr>
            <w:tcW w:w="0" w:type="dxa"/>
            <w:vAlign w:val="bottom"/>
          </w:tcPr>
          <w:p>
            <w:pPr>
              <w:spacing w:after="0"/>
              <w:rPr>
                <w:sz w:val="1"/>
                <w:szCs w:val="1"/>
                <w:color w:val="auto"/>
              </w:rPr>
            </w:pPr>
          </w:p>
        </w:tc>
      </w:tr>
      <w:tr>
        <w:trPr>
          <w:trHeight w:val="216"/>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w:t>
            </w:r>
          </w:p>
        </w:tc>
        <w:tc>
          <w:tcPr>
            <w:tcW w:w="0" w:type="dxa"/>
            <w:vAlign w:val="bottom"/>
          </w:tcPr>
          <w:p>
            <w:pPr>
              <w:spacing w:after="0"/>
              <w:rPr>
                <w:sz w:val="1"/>
                <w:szCs w:val="1"/>
                <w:color w:val="auto"/>
              </w:rPr>
            </w:pPr>
          </w:p>
        </w:tc>
      </w:tr>
      <w:tr>
        <w:trPr>
          <w:trHeight w:val="168"/>
        </w:trPr>
        <w:tc>
          <w:tcPr>
            <w:tcW w:w="2420" w:type="dxa"/>
            <w:vAlign w:val="bottom"/>
          </w:tcPr>
          <w:p>
            <w:pPr>
              <w:ind w:left="200"/>
              <w:spacing w:after="0" w:line="168" w:lineRule="exact"/>
              <w:rPr>
                <w:sz w:val="20"/>
                <w:szCs w:val="20"/>
                <w:color w:val="auto"/>
              </w:rPr>
            </w:pPr>
            <w:r>
              <w:rPr>
                <w:rFonts w:ascii="Times New Roman" w:cs="Times New Roman" w:eastAsia="Times New Roman" w:hAnsi="Times New Roman"/>
                <w:sz w:val="16"/>
                <w:szCs w:val="16"/>
                <w:color w:val="auto"/>
              </w:rPr>
              <w:t>Equity in net loss of</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0" w:type="dxa"/>
            <w:vAlign w:val="bottom"/>
          </w:tcPr>
          <w:p>
            <w:pPr>
              <w:spacing w:after="0"/>
              <w:rPr>
                <w:sz w:val="1"/>
                <w:szCs w:val="1"/>
                <w:color w:val="auto"/>
              </w:rPr>
            </w:pPr>
          </w:p>
        </w:tc>
      </w:tr>
      <w:tr>
        <w:trPr>
          <w:trHeight w:val="210"/>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unconsolidated affiliates</w:t>
            </w: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expense (income)</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Segment contribution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73,106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(26,659)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420" w:type="dxa"/>
            <w:vAlign w:val="bottom"/>
            <w:vMerge w:val="restart"/>
          </w:tcPr>
          <w:p>
            <w:pPr>
              <w:spacing w:after="0" w:line="169" w:lineRule="exact"/>
              <w:rPr>
                <w:sz w:val="20"/>
                <w:szCs w:val="20"/>
                <w:color w:val="auto"/>
              </w:rPr>
            </w:pPr>
            <w:r>
              <w:rPr>
                <w:rFonts w:ascii="Times New Roman" w:cs="Times New Roman" w:eastAsia="Times New Roman" w:hAnsi="Times New Roman"/>
                <w:sz w:val="16"/>
                <w:szCs w:val="16"/>
                <w:color w:val="auto"/>
              </w:rPr>
              <w:t>Income from continuing operations</w:t>
            </w: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4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27,536</w:t>
            </w:r>
          </w:p>
        </w:tc>
        <w:tc>
          <w:tcPr>
            <w:tcW w:w="12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(97,631)</w:t>
            </w:r>
          </w:p>
        </w:tc>
        <w:tc>
          <w:tcPr>
            <w:tcW w:w="10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(70,095)</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before income taxes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40" w:top="1190" w:right="65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8"/>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Fiscal Year Ended September 30, 2019</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U.S. Pawn</w:t>
            </w:r>
          </w:p>
        </w:tc>
        <w:tc>
          <w:tcPr>
            <w:tcW w:w="100" w:type="dxa"/>
            <w:vAlign w:val="bottom"/>
            <w:vMerge w:val="restart"/>
          </w:tcPr>
          <w:p>
            <w:pPr>
              <w:spacing w:after="0"/>
              <w:rPr>
                <w:sz w:val="13"/>
                <w:szCs w:val="13"/>
                <w:color w:val="auto"/>
              </w:rPr>
            </w:pPr>
          </w:p>
        </w:tc>
        <w:tc>
          <w:tcPr>
            <w:tcW w:w="11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Latin America</w:t>
            </w:r>
          </w:p>
        </w:tc>
        <w:tc>
          <w:tcPr>
            <w:tcW w:w="220" w:type="dxa"/>
            <w:vAlign w:val="bottom"/>
          </w:tcPr>
          <w:p>
            <w:pPr>
              <w:spacing w:after="0"/>
              <w:rPr>
                <w:sz w:val="13"/>
                <w:szCs w:val="13"/>
                <w:color w:val="auto"/>
              </w:rPr>
            </w:pPr>
          </w:p>
        </w:tc>
        <w:tc>
          <w:tcPr>
            <w:tcW w:w="84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Lana</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280"/>
              <w:spacing w:after="0" w:line="158" w:lineRule="exact"/>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3"/>
                <w:szCs w:val="13"/>
                <w:color w:val="auto"/>
              </w:rPr>
            </w:pPr>
          </w:p>
        </w:tc>
        <w:tc>
          <w:tcPr>
            <w:tcW w:w="1040" w:type="dxa"/>
            <w:vAlign w:val="bottom"/>
            <w:gridSpan w:val="2"/>
          </w:tcPr>
          <w:p>
            <w:pPr>
              <w:jc w:val="right"/>
              <w:ind w:right="480"/>
              <w:spacing w:after="0" w:line="158" w:lineRule="exact"/>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3"/>
                <w:szCs w:val="13"/>
                <w:color w:val="auto"/>
              </w:rPr>
            </w:pPr>
          </w:p>
        </w:tc>
        <w:tc>
          <w:tcPr>
            <w:tcW w:w="10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3"/>
                <w:szCs w:val="13"/>
                <w:color w:val="auto"/>
              </w:rPr>
            </w:pPr>
          </w:p>
        </w:tc>
        <w:tc>
          <w:tcPr>
            <w:tcW w:w="11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Pawn</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Items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Merchandise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355,996</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97,379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453,375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453,375</w:t>
            </w:r>
          </w:p>
        </w:tc>
        <w:tc>
          <w:tcPr>
            <w:tcW w:w="0" w:type="dxa"/>
            <w:vAlign w:val="bottom"/>
          </w:tcPr>
          <w:p>
            <w:pPr>
              <w:spacing w:after="0"/>
              <w:rPr>
                <w:sz w:val="1"/>
                <w:szCs w:val="1"/>
                <w:color w:val="auto"/>
              </w:rPr>
            </w:pPr>
          </w:p>
        </w:tc>
      </w:tr>
      <w:tr>
        <w:trPr>
          <w:trHeight w:val="216"/>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Jewelry scrapping sales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60,445</w:t>
            </w:r>
          </w:p>
        </w:tc>
        <w:tc>
          <w:tcPr>
            <w:tcW w:w="0" w:type="dxa"/>
            <w:vAlign w:val="bottom"/>
          </w:tcPr>
          <w:p>
            <w:pPr>
              <w:spacing w:after="0"/>
              <w:rPr>
                <w:sz w:val="1"/>
                <w:szCs w:val="1"/>
                <w:color w:val="auto"/>
              </w:rPr>
            </w:pPr>
          </w:p>
        </w:tc>
      </w:tr>
      <w:tr>
        <w:trPr>
          <w:trHeight w:val="216"/>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Pawn service charges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248,369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327,366</w:t>
            </w:r>
          </w:p>
        </w:tc>
        <w:tc>
          <w:tcPr>
            <w:tcW w:w="0" w:type="dxa"/>
            <w:vAlign w:val="bottom"/>
          </w:tcPr>
          <w:p>
            <w:pPr>
              <w:spacing w:after="0"/>
              <w:rPr>
                <w:sz w:val="1"/>
                <w:szCs w:val="1"/>
                <w:color w:val="auto"/>
              </w:rPr>
            </w:pPr>
          </w:p>
        </w:tc>
      </w:tr>
      <w:tr>
        <w:trPr>
          <w:trHeight w:val="216"/>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revenues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6,043</w:t>
            </w:r>
          </w:p>
        </w:tc>
        <w:tc>
          <w:tcPr>
            <w:tcW w:w="0" w:type="dxa"/>
            <w:vAlign w:val="bottom"/>
          </w:tcPr>
          <w:p>
            <w:pPr>
              <w:spacing w:after="0"/>
              <w:rPr>
                <w:sz w:val="1"/>
                <w:szCs w:val="1"/>
                <w:color w:val="auto"/>
              </w:rPr>
            </w:pPr>
          </w:p>
        </w:tc>
      </w:tr>
      <w:tr>
        <w:trPr>
          <w:trHeight w:val="210"/>
        </w:trPr>
        <w:tc>
          <w:tcPr>
            <w:tcW w:w="2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650,413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191,185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847,229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847,229</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Merchandise cost of goods sold</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297,508</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Jewelry scrapping cost of goods sold</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52,935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Other cost of revenues</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0" w:type="dxa"/>
            <w:vAlign w:val="bottom"/>
          </w:tcPr>
          <w:p>
            <w:pPr>
              <w:spacing w:after="0"/>
              <w:rPr>
                <w:sz w:val="1"/>
                <w:szCs w:val="1"/>
                <w:color w:val="auto"/>
              </w:rPr>
            </w:pPr>
          </w:p>
        </w:tc>
      </w:tr>
      <w:tr>
        <w:trPr>
          <w:trHeight w:val="210"/>
        </w:trPr>
        <w:tc>
          <w:tcPr>
            <w:tcW w:w="2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revenues</w:t>
            </w: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385,959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105,196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494,448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494,448</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 (income):</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Operations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358,253</w:t>
            </w:r>
          </w:p>
        </w:tc>
        <w:tc>
          <w:tcPr>
            <w:tcW w:w="0" w:type="dxa"/>
            <w:vAlign w:val="bottom"/>
          </w:tcPr>
          <w:p>
            <w:pPr>
              <w:spacing w:after="0"/>
              <w:rPr>
                <w:sz w:val="1"/>
                <w:szCs w:val="1"/>
                <w:color w:val="auto"/>
              </w:rPr>
            </w:pPr>
          </w:p>
        </w:tc>
      </w:tr>
      <w:tr>
        <w:trPr>
          <w:trHeight w:val="216"/>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Administrative</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55,990</w:t>
            </w:r>
          </w:p>
        </w:tc>
        <w:tc>
          <w:tcPr>
            <w:tcW w:w="0" w:type="dxa"/>
            <w:vAlign w:val="bottom"/>
          </w:tcPr>
          <w:p>
            <w:pPr>
              <w:spacing w:after="0"/>
              <w:rPr>
                <w:sz w:val="1"/>
                <w:szCs w:val="1"/>
                <w:color w:val="auto"/>
              </w:rPr>
            </w:pPr>
          </w:p>
        </w:tc>
      </w:tr>
      <w:tr>
        <w:trPr>
          <w:trHeight w:val="216"/>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28,797</w:t>
            </w:r>
          </w:p>
        </w:tc>
        <w:tc>
          <w:tcPr>
            <w:tcW w:w="0" w:type="dxa"/>
            <w:vAlign w:val="bottom"/>
          </w:tcPr>
          <w:p>
            <w:pPr>
              <w:spacing w:after="0"/>
              <w:rPr>
                <w:sz w:val="1"/>
                <w:szCs w:val="1"/>
                <w:color w:val="auto"/>
              </w:rPr>
            </w:pPr>
          </w:p>
        </w:tc>
      </w:tr>
      <w:tr>
        <w:trPr>
          <w:trHeight w:val="216"/>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sale or disposal of assets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4,399</w:t>
            </w:r>
          </w:p>
        </w:tc>
        <w:tc>
          <w:tcPr>
            <w:tcW w:w="0" w:type="dxa"/>
            <w:vAlign w:val="bottom"/>
          </w:tcPr>
          <w:p>
            <w:pPr>
              <w:spacing w:after="0"/>
              <w:rPr>
                <w:sz w:val="1"/>
                <w:szCs w:val="1"/>
                <w:color w:val="auto"/>
              </w:rPr>
            </w:pPr>
          </w:p>
        </w:tc>
      </w:tr>
      <w:tr>
        <w:trPr>
          <w:trHeight w:val="216"/>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32,637</w:t>
            </w:r>
          </w:p>
        </w:tc>
        <w:tc>
          <w:tcPr>
            <w:tcW w:w="0" w:type="dxa"/>
            <w:vAlign w:val="bottom"/>
          </w:tcPr>
          <w:p>
            <w:pPr>
              <w:spacing w:after="0"/>
              <w:rPr>
                <w:sz w:val="1"/>
                <w:szCs w:val="1"/>
                <w:color w:val="auto"/>
              </w:rPr>
            </w:pPr>
          </w:p>
        </w:tc>
      </w:tr>
      <w:tr>
        <w:trPr>
          <w:trHeight w:val="216"/>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(11,086)</w:t>
            </w:r>
          </w:p>
        </w:tc>
        <w:tc>
          <w:tcPr>
            <w:tcW w:w="0" w:type="dxa"/>
            <w:vAlign w:val="bottom"/>
          </w:tcPr>
          <w:p>
            <w:pPr>
              <w:spacing w:after="0"/>
              <w:rPr>
                <w:sz w:val="1"/>
                <w:szCs w:val="1"/>
                <w:color w:val="auto"/>
              </w:rPr>
            </w:pPr>
          </w:p>
        </w:tc>
      </w:tr>
      <w:tr>
        <w:trPr>
          <w:trHeight w:val="168"/>
        </w:trPr>
        <w:tc>
          <w:tcPr>
            <w:tcW w:w="2420" w:type="dxa"/>
            <w:vAlign w:val="bottom"/>
          </w:tcPr>
          <w:p>
            <w:pPr>
              <w:ind w:left="200"/>
              <w:spacing w:after="0" w:line="168" w:lineRule="exact"/>
              <w:rPr>
                <w:sz w:val="20"/>
                <w:szCs w:val="20"/>
                <w:color w:val="auto"/>
              </w:rPr>
            </w:pPr>
            <w:r>
              <w:rPr>
                <w:rFonts w:ascii="Times New Roman" w:cs="Times New Roman" w:eastAsia="Times New Roman" w:hAnsi="Times New Roman"/>
                <w:sz w:val="16"/>
                <w:szCs w:val="16"/>
                <w:color w:val="auto"/>
              </w:rPr>
              <w:t>Equity in net income of</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10"/>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unconsolidated affiliates</w:t>
            </w: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0"/>
              <w:spacing w:after="0" w:line="168" w:lineRule="exact"/>
              <w:rPr>
                <w:sz w:val="20"/>
                <w:szCs w:val="20"/>
                <w:color w:val="auto"/>
              </w:rPr>
            </w:pPr>
            <w:r>
              <w:rPr>
                <w:rFonts w:ascii="Times New Roman" w:cs="Times New Roman" w:eastAsia="Times New Roman" w:hAnsi="Times New Roman"/>
                <w:sz w:val="16"/>
                <w:szCs w:val="16"/>
                <w:color w:val="auto"/>
              </w:rPr>
              <w:t>Impairment of investment in</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19,725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19,725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19,725</w:t>
            </w:r>
          </w:p>
        </w:tc>
        <w:tc>
          <w:tcPr>
            <w:tcW w:w="0" w:type="dxa"/>
            <w:vAlign w:val="bottom"/>
          </w:tcPr>
          <w:p>
            <w:pPr>
              <w:spacing w:after="0"/>
              <w:rPr>
                <w:sz w:val="1"/>
                <w:szCs w:val="1"/>
                <w:color w:val="auto"/>
              </w:rPr>
            </w:pPr>
          </w:p>
        </w:tc>
      </w:tr>
      <w:tr>
        <w:trPr>
          <w:trHeight w:val="210"/>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unconsolidated affiliates</w:t>
            </w: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Segment contribution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101,675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24,124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(26,830)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420" w:type="dxa"/>
            <w:vAlign w:val="bottom"/>
            <w:vMerge w:val="restart"/>
          </w:tcPr>
          <w:p>
            <w:pPr>
              <w:spacing w:after="0" w:line="169" w:lineRule="exact"/>
              <w:rPr>
                <w:sz w:val="20"/>
                <w:szCs w:val="20"/>
                <w:color w:val="auto"/>
              </w:rPr>
            </w:pPr>
            <w:r>
              <w:rPr>
                <w:rFonts w:ascii="Times New Roman" w:cs="Times New Roman" w:eastAsia="Times New Roman" w:hAnsi="Times New Roman"/>
                <w:sz w:val="16"/>
                <w:szCs w:val="16"/>
                <w:color w:val="auto"/>
              </w:rPr>
              <w:t>Income from continuing operations</w:t>
            </w: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4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91,284</w:t>
            </w:r>
          </w:p>
        </w:tc>
        <w:tc>
          <w:tcPr>
            <w:tcW w:w="12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(87,110)</w:t>
            </w:r>
          </w:p>
        </w:tc>
        <w:tc>
          <w:tcPr>
            <w:tcW w:w="10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4,174</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before income taxes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40" w:top="988" w:right="65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STORE COUNT ACTIVITY</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2020</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U.S. Pawn</w:t>
            </w:r>
          </w:p>
        </w:tc>
        <w:tc>
          <w:tcPr>
            <w:tcW w:w="120" w:type="dxa"/>
            <w:vAlign w:val="bottom"/>
          </w:tcPr>
          <w:p>
            <w:pPr>
              <w:spacing w:after="0"/>
              <w:rPr>
                <w:sz w:val="13"/>
                <w:szCs w:val="13"/>
                <w:color w:val="auto"/>
              </w:rPr>
            </w:pPr>
          </w:p>
        </w:tc>
        <w:tc>
          <w:tcPr>
            <w:tcW w:w="142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Latin America</w:t>
            </w:r>
          </w:p>
        </w:tc>
        <w:tc>
          <w:tcPr>
            <w:tcW w:w="14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Other</w:t>
            </w:r>
          </w:p>
        </w:tc>
        <w:tc>
          <w:tcPr>
            <w:tcW w:w="13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5620" w:type="dxa"/>
            <w:vAlign w:val="bottom"/>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Pawn</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As of June 30, 2020</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21"/>
                <w:szCs w:val="21"/>
                <w:color w:val="auto"/>
              </w:rPr>
            </w:pPr>
          </w:p>
        </w:tc>
        <w:tc>
          <w:tcPr>
            <w:tcW w:w="1320" w:type="dxa"/>
            <w:vAlign w:val="bottom"/>
          </w:tcPr>
          <w:p>
            <w:pPr>
              <w:jc w:val="center"/>
              <w:ind w:left="959"/>
              <w:spacing w:after="0"/>
              <w:rPr>
                <w:sz w:val="20"/>
                <w:szCs w:val="20"/>
                <w:color w:val="auto"/>
              </w:rPr>
            </w:pPr>
            <w:r>
              <w:rPr>
                <w:rFonts w:ascii="Times New Roman" w:cs="Times New Roman" w:eastAsia="Times New Roman" w:hAnsi="Times New Roman"/>
                <w:sz w:val="16"/>
                <w:szCs w:val="16"/>
                <w:color w:val="auto"/>
                <w:w w:val="99"/>
              </w:rPr>
              <w:t>22</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 locations opened</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440" w:type="dxa"/>
            <w:vAlign w:val="bottom"/>
            <w:gridSpan w:val="2"/>
          </w:tcPr>
          <w:p>
            <w:pPr>
              <w:jc w:val="center"/>
              <w:ind w:left="8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Locations acquired</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center"/>
              <w:ind w:left="8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Locations sold, combined or closed</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320" w:type="dxa"/>
            <w:vAlign w:val="bottom"/>
          </w:tcPr>
          <w:p>
            <w:pPr>
              <w:jc w:val="center"/>
              <w:ind w:left="939"/>
              <w:spacing w:after="0"/>
              <w:rPr>
                <w:sz w:val="20"/>
                <w:szCs w:val="20"/>
                <w:color w:val="auto"/>
              </w:rPr>
            </w:pPr>
            <w:r>
              <w:rPr>
                <w:rFonts w:ascii="Times New Roman" w:cs="Times New Roman" w:eastAsia="Times New Roman" w:hAnsi="Times New Roman"/>
                <w:sz w:val="16"/>
                <w:szCs w:val="16"/>
                <w:color w:val="auto"/>
                <w:w w:val="97"/>
              </w:rPr>
              <w:t>(22)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As of September 30, 2020</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center"/>
              <w:ind w:left="95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2019</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U.S. Pawn</w:t>
            </w:r>
          </w:p>
        </w:tc>
        <w:tc>
          <w:tcPr>
            <w:tcW w:w="120" w:type="dxa"/>
            <w:vAlign w:val="bottom"/>
          </w:tcPr>
          <w:p>
            <w:pPr>
              <w:spacing w:after="0"/>
              <w:rPr>
                <w:sz w:val="13"/>
                <w:szCs w:val="13"/>
                <w:color w:val="auto"/>
              </w:rPr>
            </w:pPr>
          </w:p>
        </w:tc>
        <w:tc>
          <w:tcPr>
            <w:tcW w:w="142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Latin America</w:t>
            </w:r>
          </w:p>
        </w:tc>
        <w:tc>
          <w:tcPr>
            <w:tcW w:w="1440" w:type="dxa"/>
            <w:vAlign w:val="bottom"/>
            <w:gridSpan w:val="2"/>
          </w:tcPr>
          <w:p>
            <w:pPr>
              <w:ind w:left="460"/>
              <w:spacing w:after="0" w:line="158" w:lineRule="exact"/>
              <w:rPr>
                <w:sz w:val="20"/>
                <w:szCs w:val="20"/>
                <w:color w:val="auto"/>
              </w:rPr>
            </w:pPr>
            <w:r>
              <w:rPr>
                <w:rFonts w:ascii="Times New Roman" w:cs="Times New Roman" w:eastAsia="Times New Roman" w:hAnsi="Times New Roman"/>
                <w:sz w:val="16"/>
                <w:szCs w:val="16"/>
                <w:b w:val="1"/>
                <w:bCs w:val="1"/>
                <w:color w:val="auto"/>
              </w:rPr>
              <w:t>Other</w:t>
            </w:r>
          </w:p>
        </w:tc>
        <w:tc>
          <w:tcPr>
            <w:tcW w:w="13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5620" w:type="dxa"/>
            <w:vAlign w:val="bottom"/>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Pawn</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As of June 30, 2019</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 locations opened</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Locations acquired</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Locations sold, combined or closed</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As of September 30, 2019</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Twelve Months Ended September 30, 2020</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U.S. Pawn</w:t>
            </w:r>
          </w:p>
        </w:tc>
        <w:tc>
          <w:tcPr>
            <w:tcW w:w="120" w:type="dxa"/>
            <w:vAlign w:val="bottom"/>
          </w:tcPr>
          <w:p>
            <w:pPr>
              <w:spacing w:after="0"/>
              <w:rPr>
                <w:sz w:val="13"/>
                <w:szCs w:val="13"/>
                <w:color w:val="auto"/>
              </w:rPr>
            </w:pPr>
          </w:p>
        </w:tc>
        <w:tc>
          <w:tcPr>
            <w:tcW w:w="142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Latin America</w:t>
            </w:r>
          </w:p>
        </w:tc>
        <w:tc>
          <w:tcPr>
            <w:tcW w:w="14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Other</w:t>
            </w:r>
          </w:p>
        </w:tc>
        <w:tc>
          <w:tcPr>
            <w:tcW w:w="13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5620" w:type="dxa"/>
            <w:vAlign w:val="bottom"/>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Pawn</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As of September 30, 2019</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21"/>
                <w:szCs w:val="21"/>
                <w:color w:val="auto"/>
              </w:rPr>
            </w:pPr>
          </w:p>
        </w:tc>
        <w:tc>
          <w:tcPr>
            <w:tcW w:w="1320" w:type="dxa"/>
            <w:vAlign w:val="bottom"/>
          </w:tcPr>
          <w:p>
            <w:pPr>
              <w:jc w:val="center"/>
              <w:ind w:left="959"/>
              <w:spacing w:after="0"/>
              <w:rPr>
                <w:sz w:val="20"/>
                <w:szCs w:val="20"/>
                <w:color w:val="auto"/>
              </w:rPr>
            </w:pPr>
            <w:r>
              <w:rPr>
                <w:rFonts w:ascii="Times New Roman" w:cs="Times New Roman" w:eastAsia="Times New Roman" w:hAnsi="Times New Roman"/>
                <w:sz w:val="16"/>
                <w:szCs w:val="16"/>
                <w:color w:val="auto"/>
                <w:w w:val="99"/>
              </w:rPr>
              <w:t>22</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 locations opened</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440" w:type="dxa"/>
            <w:vAlign w:val="bottom"/>
            <w:gridSpan w:val="2"/>
          </w:tcPr>
          <w:p>
            <w:pPr>
              <w:jc w:val="center"/>
              <w:ind w:left="8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Locations acquired</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center"/>
              <w:ind w:left="8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Locations sold, combined or closed</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320" w:type="dxa"/>
            <w:vAlign w:val="bottom"/>
          </w:tcPr>
          <w:p>
            <w:pPr>
              <w:jc w:val="center"/>
              <w:ind w:left="939"/>
              <w:spacing w:after="0"/>
              <w:rPr>
                <w:sz w:val="20"/>
                <w:szCs w:val="20"/>
                <w:color w:val="auto"/>
              </w:rPr>
            </w:pPr>
            <w:r>
              <w:rPr>
                <w:rFonts w:ascii="Times New Roman" w:cs="Times New Roman" w:eastAsia="Times New Roman" w:hAnsi="Times New Roman"/>
                <w:sz w:val="16"/>
                <w:szCs w:val="16"/>
                <w:color w:val="auto"/>
                <w:w w:val="97"/>
              </w:rPr>
              <w:t>(22)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As of September 30, 2020</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center"/>
              <w:ind w:left="95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Twelve Months Ended September 30, 2019</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U.S. Pawn</w:t>
            </w:r>
          </w:p>
        </w:tc>
        <w:tc>
          <w:tcPr>
            <w:tcW w:w="120" w:type="dxa"/>
            <w:vAlign w:val="bottom"/>
          </w:tcPr>
          <w:p>
            <w:pPr>
              <w:spacing w:after="0"/>
              <w:rPr>
                <w:sz w:val="13"/>
                <w:szCs w:val="13"/>
                <w:color w:val="auto"/>
              </w:rPr>
            </w:pPr>
          </w:p>
        </w:tc>
        <w:tc>
          <w:tcPr>
            <w:tcW w:w="142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Latin America</w:t>
            </w:r>
          </w:p>
        </w:tc>
        <w:tc>
          <w:tcPr>
            <w:tcW w:w="1440" w:type="dxa"/>
            <w:vAlign w:val="bottom"/>
            <w:gridSpan w:val="2"/>
          </w:tcPr>
          <w:p>
            <w:pPr>
              <w:ind w:left="460"/>
              <w:spacing w:after="0" w:line="158" w:lineRule="exact"/>
              <w:rPr>
                <w:sz w:val="20"/>
                <w:szCs w:val="20"/>
                <w:color w:val="auto"/>
              </w:rPr>
            </w:pPr>
            <w:r>
              <w:rPr>
                <w:rFonts w:ascii="Times New Roman" w:cs="Times New Roman" w:eastAsia="Times New Roman" w:hAnsi="Times New Roman"/>
                <w:sz w:val="16"/>
                <w:szCs w:val="16"/>
                <w:b w:val="1"/>
                <w:bCs w:val="1"/>
                <w:color w:val="auto"/>
              </w:rPr>
              <w:t>Other</w:t>
            </w:r>
          </w:p>
        </w:tc>
        <w:tc>
          <w:tcPr>
            <w:tcW w:w="13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5620" w:type="dxa"/>
            <w:vAlign w:val="bottom"/>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Pawn</w:t>
            </w:r>
          </w:p>
        </w:tc>
        <w:tc>
          <w:tcPr>
            <w:tcW w:w="100" w:type="dxa"/>
            <w:vAlign w:val="bottom"/>
          </w:tcPr>
          <w:p>
            <w:pPr>
              <w:spacing w:after="0"/>
              <w:rPr>
                <w:sz w:val="18"/>
                <w:szCs w:val="18"/>
                <w:color w:val="auto"/>
              </w:rPr>
            </w:pPr>
          </w:p>
        </w:tc>
        <w:tc>
          <w:tcPr>
            <w:tcW w:w="13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As of September 30, 2018</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21"/>
                <w:szCs w:val="21"/>
                <w:color w:val="auto"/>
              </w:rPr>
            </w:pPr>
          </w:p>
        </w:tc>
        <w:tc>
          <w:tcPr>
            <w:tcW w:w="132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 locations opened</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Locations acquired</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Locations sold, combined or closed</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96"/>
              </w:rPr>
              <w:t>(5)</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As of September 30, 2019</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89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Information (Unaudited)</w:t>
      </w:r>
    </w:p>
    <w:p>
      <w:pPr>
        <w:spacing w:after="0" w:line="175"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11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and twelve months ended September 30, 2020 and 2019 were as follows: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7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0" w:type="dxa"/>
            <w:vAlign w:val="bottom"/>
          </w:tcPr>
          <w:p>
            <w:pPr>
              <w:spacing w:after="0"/>
              <w:rPr>
                <w:sz w:val="1"/>
                <w:szCs w:val="1"/>
                <w:color w:val="auto"/>
              </w:rPr>
            </w:pPr>
          </w:p>
        </w:tc>
      </w:tr>
      <w:tr>
        <w:trPr>
          <w:trHeight w:val="214"/>
        </w:trPr>
        <w:tc>
          <w:tcPr>
            <w:tcW w:w="28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vMerge w:val="continue"/>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Borders>
              <w:bottom w:val="single" w:sz="8" w:color="auto"/>
            </w:tcBorders>
            <w:gridSpan w:val="3"/>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8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0" w:type="dxa"/>
            <w:vAlign w:val="bottom"/>
          </w:tcPr>
          <w:p>
            <w:pPr>
              <w:spacing w:after="0"/>
              <w:rPr>
                <w:sz w:val="1"/>
                <w:szCs w:val="1"/>
                <w:color w:val="auto"/>
              </w:rPr>
            </w:pPr>
          </w:p>
        </w:tc>
      </w:tr>
      <w:tr>
        <w:trPr>
          <w:trHeight w:val="246"/>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Mexican peso</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21"/>
                <w:szCs w:val="21"/>
                <w:color w:val="auto"/>
              </w:rPr>
            </w:pPr>
          </w:p>
        </w:tc>
        <w:tc>
          <w:tcPr>
            <w:tcW w:w="188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22.1</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Guatemalan quetzal</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188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7.5</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Honduran lempira</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8"/>
                <w:szCs w:val="18"/>
                <w:color w:val="auto"/>
              </w:rPr>
            </w:pPr>
          </w:p>
        </w:tc>
        <w:tc>
          <w:tcPr>
            <w:tcW w:w="188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24.3</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Peruvian sol</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88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3.5</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statement of operations constant currency results reflect the monthly exchange rate fluctuations and so are not directly calculable from the above rates.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Constant currency results, where presented, also exclude the foreign currency gain or loss.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Miscellaneous Non-GAAP Financial Measures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 Q4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2019 Q4</w:t>
            </w:r>
          </w:p>
        </w:tc>
      </w:tr>
      <w:tr>
        <w:trPr>
          <w:trHeight w:val="247"/>
        </w:trPr>
        <w:tc>
          <w:tcPr>
            <w:tcW w:w="8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960" w:type="dxa"/>
            <w:vAlign w:val="bottom"/>
          </w:tcPr>
          <w:p>
            <w:pPr>
              <w:spacing w:after="0"/>
              <w:rPr>
                <w:sz w:val="21"/>
                <w:szCs w:val="21"/>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0"/>
        </w:trPr>
        <w:tc>
          <w:tcPr>
            <w:tcW w:w="8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r>
    </w:tbl>
    <w:p>
      <w:pPr>
        <w:sectPr>
          <w:pgSz w:w="11900" w:h="16838" w:orient="portrait"/>
          <w:cols w:equalWidth="0" w:num="1">
            <w:col w:w="11240"/>
          </w:cols>
          <w:pgMar w:left="320" w:top="1049" w:right="339" w:bottom="1440" w:gutter="0" w:footer="0" w:header="0"/>
        </w:sectPr>
      </w:pPr>
    </w:p>
    <w:bookmarkStart w:id="16" w:name="page17"/>
    <w:bookmarkEnd w:id="16"/>
    <w:p>
      <w:pPr>
        <w:spacing w:after="0" w:line="1" w:lineRule="exact"/>
        <w:rPr>
          <w:sz w:val="20"/>
          <w:szCs w:val="20"/>
          <w:color w:val="auto"/>
        </w:rPr>
      </w:pPr>
    </w:p>
    <w:tbl>
      <w:tblPr>
        <w:tblLayout w:type="fixed"/>
        <w:tblInd w:w="12"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(Loss) Income</w:t>
            </w:r>
          </w:p>
        </w:tc>
        <w:tc>
          <w:tcPr>
            <w:tcW w:w="120" w:type="dxa"/>
            <w:vAlign w:val="bottom"/>
          </w:tcPr>
          <w:p>
            <w:pPr>
              <w:spacing w:after="0"/>
              <w:rPr>
                <w:sz w:val="16"/>
                <w:szCs w:val="16"/>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4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1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Before Tax</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2020 Q4 Reported</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120" w:type="dxa"/>
            <w:vAlign w:val="bottom"/>
          </w:tcPr>
          <w:p>
            <w:pPr>
              <w:spacing w:after="0"/>
              <w:rPr>
                <w:sz w:val="21"/>
                <w:szCs w:val="21"/>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center"/>
              <w:ind w:left="459"/>
              <w:spacing w:after="0"/>
              <w:rPr>
                <w:sz w:val="20"/>
                <w:szCs w:val="20"/>
                <w:color w:val="auto"/>
              </w:rPr>
            </w:pPr>
            <w:r>
              <w:rPr>
                <w:rFonts w:ascii="Times New Roman" w:cs="Times New Roman" w:eastAsia="Times New Roman" w:hAnsi="Times New Roman"/>
                <w:sz w:val="16"/>
                <w:szCs w:val="16"/>
                <w:color w:val="auto"/>
                <w:w w:val="99"/>
              </w:rPr>
              <w:t>5.4</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21"/>
                <w:szCs w:val="21"/>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center"/>
              <w:ind w:left="159"/>
              <w:spacing w:after="0"/>
              <w:rPr>
                <w:sz w:val="20"/>
                <w:szCs w:val="20"/>
                <w:color w:val="auto"/>
              </w:rPr>
            </w:pPr>
            <w:r>
              <w:rPr>
                <w:rFonts w:ascii="Times New Roman" w:cs="Times New Roman" w:eastAsia="Times New Roman" w:hAnsi="Times New Roman"/>
                <w:sz w:val="16"/>
                <w:szCs w:val="16"/>
                <w:color w:val="auto"/>
              </w:rPr>
              <w:t>(0.42)</w:t>
            </w:r>
          </w:p>
        </w:tc>
        <w:tc>
          <w:tcPr>
            <w:tcW w:w="0" w:type="dxa"/>
            <w:vAlign w:val="bottom"/>
          </w:tcPr>
          <w:p>
            <w:pPr>
              <w:spacing w:after="0"/>
              <w:rPr>
                <w:sz w:val="1"/>
                <w:szCs w:val="1"/>
                <w:color w:val="auto"/>
              </w:rPr>
            </w:pPr>
          </w:p>
        </w:tc>
      </w:tr>
      <w:tr>
        <w:trPr>
          <w:trHeight w:val="311"/>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Other charges</w:t>
            </w:r>
          </w:p>
        </w:tc>
        <w:tc>
          <w:tcPr>
            <w:tcW w:w="14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w w:val="97"/>
              </w:rPr>
              <w:t>(3.7)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0.30</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w w:val="97"/>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w w:val="99"/>
              </w:rPr>
              <w:t>0.11</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Non cash interest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w w:val="97"/>
              </w:rPr>
              <w:t>(0.8)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6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Other adjustments</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Constant currency impact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w w:val="97"/>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100"/>
        </w:trPr>
        <w:tc>
          <w:tcPr>
            <w:tcW w:w="29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2020 Q4 Adjusted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center"/>
              <w:ind w:left="459"/>
              <w:spacing w:after="0"/>
              <w:rPr>
                <w:sz w:val="20"/>
                <w:szCs w:val="20"/>
                <w:color w:val="auto"/>
              </w:rPr>
            </w:pPr>
            <w:r>
              <w:rPr>
                <w:rFonts w:ascii="Times New Roman" w:cs="Times New Roman" w:eastAsia="Times New Roman" w:hAnsi="Times New Roman"/>
                <w:sz w:val="16"/>
                <w:szCs w:val="16"/>
                <w:color w:val="auto"/>
                <w:w w:val="99"/>
              </w:rPr>
              <w:t>0.9</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color w:val="auto"/>
              </w:rPr>
              <w:t>0.07</w:t>
            </w: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2"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 Income</w:t>
            </w:r>
          </w:p>
        </w:tc>
        <w:tc>
          <w:tcPr>
            <w:tcW w:w="140" w:type="dxa"/>
            <w:vAlign w:val="bottom"/>
          </w:tcPr>
          <w:p>
            <w:pPr>
              <w:spacing w:after="0"/>
              <w:rPr>
                <w:sz w:val="16"/>
                <w:szCs w:val="16"/>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4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0" w:type="dxa"/>
            <w:vAlign w:val="bottom"/>
          </w:tcPr>
          <w:p>
            <w:pPr>
              <w:spacing w:after="0"/>
              <w:rPr>
                <w:sz w:val="1"/>
                <w:szCs w:val="1"/>
                <w:color w:val="auto"/>
              </w:rPr>
            </w:pPr>
          </w:p>
        </w:tc>
      </w:tr>
      <w:tr>
        <w:trPr>
          <w:trHeight w:val="214"/>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1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Before Tax</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2019 Q4 Reported</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120" w:type="dxa"/>
            <w:vAlign w:val="bottom"/>
          </w:tcPr>
          <w:p>
            <w:pPr>
              <w:spacing w:after="0"/>
              <w:rPr>
                <w:sz w:val="21"/>
                <w:szCs w:val="21"/>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center"/>
              <w:ind w:left="459"/>
              <w:spacing w:after="0"/>
              <w:rPr>
                <w:sz w:val="20"/>
                <w:szCs w:val="20"/>
                <w:color w:val="auto"/>
              </w:rPr>
            </w:pPr>
            <w:r>
              <w:rPr>
                <w:rFonts w:ascii="Times New Roman" w:cs="Times New Roman" w:eastAsia="Times New Roman" w:hAnsi="Times New Roman"/>
                <w:sz w:val="16"/>
                <w:szCs w:val="16"/>
                <w:color w:val="auto"/>
                <w:w w:val="97"/>
              </w:rPr>
              <w:t>(0.6)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21"/>
                <w:szCs w:val="21"/>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center"/>
              <w:ind w:left="159"/>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311"/>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Other charges</w:t>
            </w:r>
          </w:p>
        </w:tc>
        <w:tc>
          <w:tcPr>
            <w:tcW w:w="14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9"/>
              </w:rPr>
              <w:t>2.0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6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9"/>
              </w:rPr>
              <w:t>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Non cash interest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9"/>
              </w:rPr>
              <w:t>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Other adjustments</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9"/>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Constant currency impact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9"/>
              </w:rPr>
              <w:t>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100"/>
        </w:trPr>
        <w:tc>
          <w:tcPr>
            <w:tcW w:w="29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2019 Q4 Adjusted*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center"/>
              <w:ind w:left="479"/>
              <w:spacing w:after="0"/>
              <w:rPr>
                <w:sz w:val="20"/>
                <w:szCs w:val="20"/>
                <w:color w:val="auto"/>
              </w:rPr>
            </w:pPr>
            <w:r>
              <w:rPr>
                <w:rFonts w:ascii="Times New Roman" w:cs="Times New Roman" w:eastAsia="Times New Roman" w:hAnsi="Times New Roman"/>
                <w:sz w:val="16"/>
                <w:szCs w:val="16"/>
                <w:color w:val="auto"/>
                <w:w w:val="99"/>
              </w:rPr>
              <w:t>7.4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21"/>
        </w:trPr>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8" w:firstLine="8"/>
        <w:spacing w:after="0" w:line="261" w:lineRule="auto"/>
        <w:tabs>
          <w:tab w:leader="none" w:pos="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fiscal 2020, we revised the financial information our chief operating decision maker (our chief executive officer) reviews for operational decision-making purposes to include the separate financial results of our Lana business. Our historical segment results have been recast to conform to current presentation including the removal of discretionary strategic investment in digital platform costs in historically adjusted results. We additionally recast certain other adjustments to conform to restated historical results.</w:t>
      </w:r>
    </w:p>
    <w:p>
      <w:pPr>
        <w:sectPr>
          <w:pgSz w:w="11900" w:h="16838" w:orient="portrait"/>
          <w:cols w:equalWidth="0" w:num="1">
            <w:col w:w="11172"/>
          </w:cols>
          <w:pgMar w:left="328" w:top="1009" w:right="3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4"/>
        </w:trPr>
        <w:tc>
          <w:tcPr>
            <w:tcW w:w="8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2020 Q4:</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U.S. Dollar</w:t>
            </w: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214"/>
        </w:trPr>
        <w:tc>
          <w:tcPr>
            <w:tcW w:w="876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Change YOY</w:t>
            </w:r>
          </w:p>
        </w:tc>
        <w:tc>
          <w:tcPr>
            <w:tcW w:w="0" w:type="dxa"/>
            <w:vAlign w:val="bottom"/>
          </w:tcPr>
          <w:p>
            <w:pPr>
              <w:spacing w:after="0"/>
              <w:rPr>
                <w:sz w:val="1"/>
                <w:szCs w:val="1"/>
                <w:color w:val="auto"/>
              </w:rPr>
            </w:pPr>
          </w:p>
        </w:tc>
      </w:tr>
      <w:tr>
        <w:trPr>
          <w:trHeight w:val="246"/>
        </w:trPr>
        <w:tc>
          <w:tcPr>
            <w:tcW w:w="8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revenue (three months ended September 30, 2020)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Currency exchange rate fluctuations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Constant currency consolidated revenue (three months ended September 30, 2020)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net revenue (three months ended September 30, 2020)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Currency exchange rate fluctuations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Constant currency consolidated net revenue (three months ended September 30, 2020)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net inventory</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Currency exchange rate fluctuations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Constant currency consolidated net inventory</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310"/>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Latin America Pawn net revenue (three months ended September 30, 2020)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Currency exchange rate fluctuations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Constant currency Latin America Pawn net revenue (three months ended September 30, 2020)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Latin America Pawn PLO</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Currency exchange rate fluctuations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Constant currency Latin America Pawn PLO</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Latin America Pawn PSC revenues (three months ended September 30, 2020)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Currency exchange rate fluctuations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Constant currency Latin America Pawn PSC revenues (three months ended September 30, 2020)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Latin America Pawn merchandise sales (three months ended September 30, 2020)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Currency exchange rate fluctuations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Constant currency Latin America Pawn merchandise sales (three months ended September 30, 2020)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Latin America Pawn segment profit before tax (three months ended September 30, 2020)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Currency exchange rate fluctuations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Constant currency Latin America Pawn segment profit before tax (three months ended September 30, 2020)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10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2020-12-14T16:25:50Z</dcterms:created>
  <dcterms:modified xsi:type="dcterms:W3CDTF">2020-12-14T16:25:50Z</dcterms:modified>
</cp:coreProperties>
</file>