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886426.xml.htm"/>
      <w:bookmarkStart w:id="1" w:name="kswkform4_17748864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Kulas Jason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8"/>
        <w:gridCol w:w="904"/>
        <w:gridCol w:w="774"/>
        <w:gridCol w:w="600"/>
        <w:gridCol w:w="346"/>
        <w:gridCol w:w="880"/>
        <w:gridCol w:w="446"/>
        <w:gridCol w:w="707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03/26/2026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186,307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shares vest on the day immediately preceding the date of the Company's 2027 Annual Meeting of Stockholders (but no later than March 31, 2027)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market value on March 25, 2026. No consideration was paid for the award other than services rendered and to be rendered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by POA from Jason A. Kulas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6158" TargetMode="External"/><Relationship Id="rId5" Type="http://schemas.openxmlformats.org/officeDocument/2006/relationships/hyperlink" Target="http://www.sec.gov/cgi-bin/browse-edgar?action=getcompany&amp;CIK=00008765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3335</Characters>
  <CharactersWithSpaces>3896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